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6CFFB" w14:textId="6E462D03" w:rsidR="00056846" w:rsidRDefault="00056846">
      <w:pPr>
        <w:rPr>
          <w:rFonts w:ascii="Arial" w:hAnsi="Arial" w:cs="Arial"/>
          <w:b/>
        </w:rPr>
      </w:pPr>
    </w:p>
    <w:p w14:paraId="6A359198" w14:textId="77777777" w:rsidR="00056846" w:rsidRDefault="00056846">
      <w:pPr>
        <w:rPr>
          <w:rFonts w:ascii="Arial" w:hAnsi="Arial" w:cs="Arial"/>
          <w:b/>
        </w:rPr>
      </w:pPr>
    </w:p>
    <w:p w14:paraId="241F6404" w14:textId="77777777" w:rsidR="00056846" w:rsidRDefault="00056846">
      <w:pPr>
        <w:rPr>
          <w:rFonts w:ascii="Arial" w:hAnsi="Arial" w:cs="Arial"/>
          <w:b/>
        </w:rPr>
      </w:pPr>
    </w:p>
    <w:p w14:paraId="634CA13A" w14:textId="77777777" w:rsidR="00056846" w:rsidRDefault="00056846">
      <w:pPr>
        <w:rPr>
          <w:rFonts w:ascii="Arial" w:hAnsi="Arial" w:cs="Arial"/>
          <w:b/>
        </w:rPr>
      </w:pPr>
    </w:p>
    <w:p w14:paraId="0DD21B9E" w14:textId="6B545DAC" w:rsidR="00056846" w:rsidRDefault="00056846">
      <w:pPr>
        <w:rPr>
          <w:rFonts w:ascii="Arial" w:hAnsi="Arial" w:cs="Arial"/>
          <w:b/>
        </w:rPr>
      </w:pPr>
    </w:p>
    <w:p w14:paraId="507A454E" w14:textId="77777777" w:rsidR="00056846" w:rsidRDefault="00056846">
      <w:pPr>
        <w:rPr>
          <w:rFonts w:ascii="Arial" w:hAnsi="Arial" w:cs="Arial"/>
          <w:b/>
        </w:rPr>
      </w:pPr>
    </w:p>
    <w:p w14:paraId="7DC1910E" w14:textId="77777777" w:rsidR="00056846" w:rsidRDefault="00056846">
      <w:pPr>
        <w:rPr>
          <w:rFonts w:ascii="Arial" w:hAnsi="Arial" w:cs="Arial"/>
          <w:b/>
        </w:rPr>
      </w:pPr>
    </w:p>
    <w:p w14:paraId="05E6D07B" w14:textId="77777777" w:rsidR="00056846" w:rsidRDefault="00056846">
      <w:pPr>
        <w:rPr>
          <w:rFonts w:ascii="Arial" w:hAnsi="Arial" w:cs="Arial"/>
          <w:b/>
          <w:sz w:val="28"/>
          <w:szCs w:val="28"/>
        </w:rPr>
      </w:pPr>
    </w:p>
    <w:p w14:paraId="02D8C50C" w14:textId="77777777" w:rsidR="00056846" w:rsidRPr="00925BCD" w:rsidRDefault="00E54725">
      <w:pPr>
        <w:spacing w:line="360" w:lineRule="auto"/>
        <w:jc w:val="center"/>
        <w:rPr>
          <w:rFonts w:ascii="Arial" w:hAnsi="Arial" w:cs="Arial"/>
          <w:b/>
          <w:sz w:val="28"/>
          <w:szCs w:val="28"/>
        </w:rPr>
      </w:pPr>
      <w:r w:rsidRPr="00925BCD">
        <w:rPr>
          <w:rFonts w:ascii="Arial" w:hAnsi="Arial" w:cs="Arial"/>
          <w:b/>
          <w:sz w:val="28"/>
          <w:szCs w:val="28"/>
        </w:rPr>
        <w:t>Sprawozdanie</w:t>
      </w:r>
    </w:p>
    <w:p w14:paraId="5E52BA74" w14:textId="11FF7BC9" w:rsidR="00056846" w:rsidRPr="00925BCD" w:rsidRDefault="00E54725">
      <w:pPr>
        <w:spacing w:line="360" w:lineRule="auto"/>
        <w:jc w:val="center"/>
        <w:rPr>
          <w:rFonts w:ascii="Arial" w:hAnsi="Arial" w:cs="Arial"/>
          <w:b/>
          <w:i/>
          <w:sz w:val="28"/>
          <w:szCs w:val="28"/>
        </w:rPr>
      </w:pPr>
      <w:r w:rsidRPr="00925BCD">
        <w:rPr>
          <w:rFonts w:ascii="Arial" w:hAnsi="Arial" w:cs="Arial"/>
          <w:b/>
          <w:sz w:val="28"/>
          <w:szCs w:val="28"/>
        </w:rPr>
        <w:t xml:space="preserve">z realizacji </w:t>
      </w:r>
      <w:r w:rsidR="004D37A7">
        <w:rPr>
          <w:rFonts w:ascii="Arial" w:hAnsi="Arial" w:cs="Arial"/>
          <w:b/>
          <w:sz w:val="28"/>
          <w:szCs w:val="28"/>
        </w:rPr>
        <w:t xml:space="preserve">trzeciego </w:t>
      </w:r>
      <w:r w:rsidRPr="00925BCD">
        <w:rPr>
          <w:rFonts w:ascii="Arial" w:hAnsi="Arial" w:cs="Arial"/>
          <w:b/>
          <w:i/>
          <w:sz w:val="28"/>
          <w:szCs w:val="28"/>
        </w:rPr>
        <w:t>krajowego planu działania na rzecz ograniczenia</w:t>
      </w:r>
      <w:r w:rsidR="004D37A7">
        <w:rPr>
          <w:rFonts w:ascii="Arial" w:hAnsi="Arial" w:cs="Arial"/>
          <w:b/>
          <w:i/>
          <w:sz w:val="28"/>
          <w:szCs w:val="28"/>
        </w:rPr>
        <w:t xml:space="preserve"> </w:t>
      </w:r>
      <w:r w:rsidRPr="00925BCD">
        <w:rPr>
          <w:rFonts w:ascii="Arial" w:hAnsi="Arial" w:cs="Arial"/>
          <w:b/>
          <w:i/>
          <w:sz w:val="28"/>
          <w:szCs w:val="28"/>
        </w:rPr>
        <w:t xml:space="preserve">ryzyka związanego ze stosowaniem środków ochrony roślin </w:t>
      </w:r>
      <w:r w:rsidR="00AD074E">
        <w:rPr>
          <w:rFonts w:ascii="Arial" w:hAnsi="Arial" w:cs="Arial"/>
          <w:b/>
          <w:i/>
          <w:sz w:val="28"/>
          <w:szCs w:val="28"/>
        </w:rPr>
        <w:t>w latach</w:t>
      </w:r>
      <w:r w:rsidRPr="00925BCD">
        <w:rPr>
          <w:rFonts w:ascii="Arial" w:hAnsi="Arial" w:cs="Arial"/>
          <w:b/>
          <w:i/>
          <w:sz w:val="28"/>
          <w:szCs w:val="28"/>
        </w:rPr>
        <w:t xml:space="preserve"> 2018–2022</w:t>
      </w:r>
    </w:p>
    <w:p w14:paraId="26C7D9D2" w14:textId="77777777" w:rsidR="00056846" w:rsidRPr="00925BCD" w:rsidRDefault="00056846">
      <w:pPr>
        <w:spacing w:line="360" w:lineRule="auto"/>
        <w:jc w:val="center"/>
        <w:rPr>
          <w:rFonts w:ascii="Arial" w:hAnsi="Arial" w:cs="Arial"/>
          <w:b/>
          <w:sz w:val="28"/>
          <w:szCs w:val="28"/>
        </w:rPr>
      </w:pPr>
    </w:p>
    <w:p w14:paraId="5BFC136C" w14:textId="77777777" w:rsidR="00056846" w:rsidRPr="00925BCD" w:rsidRDefault="00056846">
      <w:pPr>
        <w:spacing w:line="360" w:lineRule="auto"/>
        <w:jc w:val="center"/>
        <w:rPr>
          <w:rFonts w:ascii="Arial" w:hAnsi="Arial" w:cs="Arial"/>
          <w:b/>
          <w:sz w:val="28"/>
          <w:szCs w:val="28"/>
        </w:rPr>
      </w:pPr>
    </w:p>
    <w:p w14:paraId="277481F2" w14:textId="77777777" w:rsidR="00056846" w:rsidRPr="00925BCD" w:rsidRDefault="00056846">
      <w:pPr>
        <w:rPr>
          <w:rFonts w:ascii="Arial" w:hAnsi="Arial" w:cs="Arial"/>
          <w:b/>
        </w:rPr>
      </w:pPr>
    </w:p>
    <w:p w14:paraId="3BA9E241" w14:textId="77777777" w:rsidR="00056846" w:rsidRPr="00925BCD" w:rsidRDefault="00056846">
      <w:pPr>
        <w:rPr>
          <w:rFonts w:ascii="Arial" w:hAnsi="Arial" w:cs="Arial"/>
          <w:b/>
        </w:rPr>
      </w:pPr>
    </w:p>
    <w:p w14:paraId="7F599A12" w14:textId="77777777" w:rsidR="00056846" w:rsidRPr="00925BCD" w:rsidRDefault="00056846">
      <w:pPr>
        <w:rPr>
          <w:rFonts w:ascii="Arial" w:hAnsi="Arial" w:cs="Arial"/>
          <w:b/>
        </w:rPr>
      </w:pPr>
    </w:p>
    <w:p w14:paraId="2B78A92A" w14:textId="77777777" w:rsidR="00056846" w:rsidRPr="00925BCD" w:rsidRDefault="00056846">
      <w:pPr>
        <w:rPr>
          <w:rFonts w:ascii="Arial" w:hAnsi="Arial" w:cs="Arial"/>
          <w:b/>
        </w:rPr>
      </w:pPr>
    </w:p>
    <w:p w14:paraId="4EFE7737" w14:textId="77777777" w:rsidR="00056846" w:rsidRPr="00925BCD" w:rsidRDefault="00056846">
      <w:pPr>
        <w:rPr>
          <w:rFonts w:ascii="Arial" w:hAnsi="Arial" w:cs="Arial"/>
          <w:b/>
        </w:rPr>
      </w:pPr>
    </w:p>
    <w:p w14:paraId="13305359" w14:textId="77777777" w:rsidR="00056846" w:rsidRPr="00925BCD" w:rsidRDefault="00056846">
      <w:pPr>
        <w:rPr>
          <w:rFonts w:ascii="Arial" w:hAnsi="Arial" w:cs="Arial"/>
          <w:b/>
        </w:rPr>
      </w:pPr>
    </w:p>
    <w:p w14:paraId="3FFA330E" w14:textId="77777777" w:rsidR="00056846" w:rsidRPr="00925BCD" w:rsidRDefault="00056846">
      <w:pPr>
        <w:rPr>
          <w:rFonts w:ascii="Arial" w:hAnsi="Arial" w:cs="Arial"/>
          <w:b/>
        </w:rPr>
      </w:pPr>
    </w:p>
    <w:p w14:paraId="6FD24F86" w14:textId="77777777" w:rsidR="00056846" w:rsidRPr="00925BCD" w:rsidRDefault="00056846">
      <w:pPr>
        <w:rPr>
          <w:rFonts w:ascii="Arial" w:hAnsi="Arial" w:cs="Arial"/>
          <w:b/>
        </w:rPr>
      </w:pPr>
    </w:p>
    <w:p w14:paraId="7241A809" w14:textId="6A1D72A4" w:rsidR="00056846" w:rsidRPr="00925BCD" w:rsidRDefault="00D26DEB">
      <w:pPr>
        <w:rPr>
          <w:rFonts w:ascii="Arial" w:hAnsi="Arial" w:cs="Arial"/>
          <w:b/>
        </w:rPr>
      </w:pPr>
      <w:r>
        <w:rPr>
          <w:rFonts w:ascii="Arial" w:hAnsi="Arial" w:cs="Arial"/>
          <w:b/>
        </w:rPr>
        <w:t>Ministerstwo Rolnictwa i Rozwoju Wsi</w:t>
      </w:r>
      <w:r w:rsidR="00AE758D">
        <w:rPr>
          <w:rFonts w:ascii="Arial" w:hAnsi="Arial" w:cs="Arial"/>
          <w:b/>
        </w:rPr>
        <w:t xml:space="preserve"> </w:t>
      </w:r>
    </w:p>
    <w:p w14:paraId="5BD851E3" w14:textId="0E92C98B" w:rsidR="00056846" w:rsidRPr="00925BCD" w:rsidRDefault="00BF3D37">
      <w:pPr>
        <w:rPr>
          <w:rFonts w:ascii="Arial" w:hAnsi="Arial" w:cs="Arial"/>
          <w:b/>
        </w:rPr>
      </w:pPr>
      <w:r>
        <w:rPr>
          <w:rFonts w:ascii="Arial" w:hAnsi="Arial" w:cs="Arial"/>
          <w:b/>
        </w:rPr>
        <w:t>Warszawa</w:t>
      </w:r>
      <w:r w:rsidR="00D26DEB">
        <w:rPr>
          <w:rFonts w:ascii="Arial" w:hAnsi="Arial" w:cs="Arial"/>
          <w:b/>
        </w:rPr>
        <w:t>,</w:t>
      </w:r>
      <w:r>
        <w:rPr>
          <w:rFonts w:ascii="Arial" w:hAnsi="Arial" w:cs="Arial"/>
          <w:b/>
        </w:rPr>
        <w:t xml:space="preserve"> Grudzień 2022 r.</w:t>
      </w:r>
    </w:p>
    <w:p w14:paraId="14CA4B9B" w14:textId="77777777" w:rsidR="00056846" w:rsidRPr="00925BCD" w:rsidRDefault="00E54725">
      <w:pPr>
        <w:rPr>
          <w:rFonts w:ascii="Arial" w:hAnsi="Arial" w:cs="Arial"/>
          <w:b/>
        </w:rPr>
      </w:pPr>
      <w:r w:rsidRPr="00925BCD">
        <w:br w:type="page"/>
      </w:r>
    </w:p>
    <w:p w14:paraId="2FC3407E" w14:textId="77777777" w:rsidR="00056846" w:rsidRPr="00925BCD" w:rsidRDefault="00056846">
      <w:pPr>
        <w:rPr>
          <w:rFonts w:ascii="Arial" w:hAnsi="Arial" w:cs="Arial"/>
          <w:b/>
        </w:rPr>
      </w:pPr>
    </w:p>
    <w:p w14:paraId="708DEAAD" w14:textId="77777777" w:rsidR="00056846" w:rsidRPr="00925BCD" w:rsidRDefault="00E54725">
      <w:pPr>
        <w:rPr>
          <w:rFonts w:ascii="Arial" w:hAnsi="Arial" w:cs="Arial"/>
          <w:b/>
        </w:rPr>
      </w:pPr>
      <w:r w:rsidRPr="00925BCD">
        <w:rPr>
          <w:rFonts w:ascii="Arial" w:hAnsi="Arial" w:cs="Arial"/>
          <w:b/>
        </w:rPr>
        <w:t>SPIS TREŚCI</w:t>
      </w:r>
    </w:p>
    <w:p w14:paraId="0F70E4F0" w14:textId="77777777" w:rsidR="00056846" w:rsidRPr="00925BCD" w:rsidRDefault="00056846">
      <w:pPr>
        <w:jc w:val="center"/>
        <w:rPr>
          <w:rFonts w:ascii="Arial" w:hAnsi="Arial" w:cs="Arial"/>
          <w:b/>
          <w:sz w:val="16"/>
        </w:rPr>
      </w:pPr>
    </w:p>
    <w:sdt>
      <w:sdtPr>
        <w:id w:val="10429726"/>
        <w:docPartObj>
          <w:docPartGallery w:val="Table of Contents"/>
          <w:docPartUnique/>
        </w:docPartObj>
      </w:sdtPr>
      <w:sdtEndPr/>
      <w:sdtContent>
        <w:p w14:paraId="33121868" w14:textId="61F8804C" w:rsidR="003F6D11" w:rsidRDefault="00E54725">
          <w:pPr>
            <w:pStyle w:val="Spistreci1"/>
            <w:rPr>
              <w:rFonts w:asciiTheme="minorHAnsi" w:eastAsiaTheme="minorEastAsia" w:hAnsiTheme="minorHAnsi" w:cstheme="minorBidi"/>
              <w:b w:val="0"/>
              <w:bCs w:val="0"/>
              <w:caps w:val="0"/>
              <w:noProof/>
              <w:kern w:val="2"/>
              <w:sz w:val="24"/>
              <w:szCs w:val="24"/>
              <w14:ligatures w14:val="standardContextual"/>
            </w:rPr>
          </w:pPr>
          <w:r w:rsidRPr="00925BCD">
            <w:fldChar w:fldCharType="begin"/>
          </w:r>
          <w:r w:rsidRPr="00925BCD">
            <w:rPr>
              <w:rStyle w:val="czeindeksu"/>
              <w:webHidden/>
            </w:rPr>
            <w:instrText>TOC \z \o "1-5" \u \h</w:instrText>
          </w:r>
          <w:r w:rsidRPr="00925BCD">
            <w:rPr>
              <w:rStyle w:val="czeindeksu"/>
            </w:rPr>
            <w:fldChar w:fldCharType="separate"/>
          </w:r>
          <w:hyperlink w:anchor="_Toc161744858" w:history="1">
            <w:r w:rsidR="003F6D11" w:rsidRPr="00F76F97">
              <w:rPr>
                <w:rStyle w:val="Hipercze"/>
                <w:noProof/>
              </w:rPr>
              <w:t>Wstęp</w:t>
            </w:r>
            <w:r w:rsidR="003F6D11">
              <w:rPr>
                <w:noProof/>
                <w:webHidden/>
              </w:rPr>
              <w:tab/>
            </w:r>
            <w:r w:rsidR="003F6D11">
              <w:rPr>
                <w:noProof/>
                <w:webHidden/>
              </w:rPr>
              <w:fldChar w:fldCharType="begin"/>
            </w:r>
            <w:r w:rsidR="003F6D11">
              <w:rPr>
                <w:noProof/>
                <w:webHidden/>
              </w:rPr>
              <w:instrText xml:space="preserve"> PAGEREF _Toc161744858 \h </w:instrText>
            </w:r>
            <w:r w:rsidR="003F6D11">
              <w:rPr>
                <w:noProof/>
                <w:webHidden/>
              </w:rPr>
            </w:r>
            <w:r w:rsidR="003F6D11">
              <w:rPr>
                <w:noProof/>
                <w:webHidden/>
              </w:rPr>
              <w:fldChar w:fldCharType="separate"/>
            </w:r>
            <w:r w:rsidR="003F6D11">
              <w:rPr>
                <w:noProof/>
                <w:webHidden/>
              </w:rPr>
              <w:t>4</w:t>
            </w:r>
            <w:r w:rsidR="003F6D11">
              <w:rPr>
                <w:noProof/>
                <w:webHidden/>
              </w:rPr>
              <w:fldChar w:fldCharType="end"/>
            </w:r>
          </w:hyperlink>
        </w:p>
        <w:p w14:paraId="583F1569" w14:textId="1E2E9CF4"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59" w:history="1">
            <w:r w:rsidR="003F6D11" w:rsidRPr="00F76F97">
              <w:rPr>
                <w:rStyle w:val="Hipercze"/>
                <w:noProof/>
              </w:rPr>
              <w:t>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1. Szkolenia w zakresie środków ochrony roślin</w:t>
            </w:r>
            <w:r w:rsidR="003F6D11">
              <w:rPr>
                <w:noProof/>
                <w:webHidden/>
              </w:rPr>
              <w:tab/>
            </w:r>
            <w:r w:rsidR="003F6D11">
              <w:rPr>
                <w:noProof/>
                <w:webHidden/>
              </w:rPr>
              <w:fldChar w:fldCharType="begin"/>
            </w:r>
            <w:r w:rsidR="003F6D11">
              <w:rPr>
                <w:noProof/>
                <w:webHidden/>
              </w:rPr>
              <w:instrText xml:space="preserve"> PAGEREF _Toc161744859 \h </w:instrText>
            </w:r>
            <w:r w:rsidR="003F6D11">
              <w:rPr>
                <w:noProof/>
                <w:webHidden/>
              </w:rPr>
            </w:r>
            <w:r w:rsidR="003F6D11">
              <w:rPr>
                <w:noProof/>
                <w:webHidden/>
              </w:rPr>
              <w:fldChar w:fldCharType="separate"/>
            </w:r>
            <w:r w:rsidR="003F6D11">
              <w:rPr>
                <w:noProof/>
                <w:webHidden/>
              </w:rPr>
              <w:t>5</w:t>
            </w:r>
            <w:r w:rsidR="003F6D11">
              <w:rPr>
                <w:noProof/>
                <w:webHidden/>
              </w:rPr>
              <w:fldChar w:fldCharType="end"/>
            </w:r>
          </w:hyperlink>
        </w:p>
        <w:p w14:paraId="07254FDD" w14:textId="4511E224"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0" w:history="1">
            <w:r w:rsidR="003F6D11" w:rsidRPr="00F76F97">
              <w:rPr>
                <w:rStyle w:val="Hipercze"/>
                <w:noProof/>
              </w:rPr>
              <w:t>1.1.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_Toc161744860 \h </w:instrText>
            </w:r>
            <w:r w:rsidR="003F6D11">
              <w:rPr>
                <w:noProof/>
                <w:webHidden/>
              </w:rPr>
            </w:r>
            <w:r w:rsidR="003F6D11">
              <w:rPr>
                <w:noProof/>
                <w:webHidden/>
              </w:rPr>
              <w:fldChar w:fldCharType="separate"/>
            </w:r>
            <w:r w:rsidR="003F6D11">
              <w:rPr>
                <w:noProof/>
                <w:webHidden/>
              </w:rPr>
              <w:t>8</w:t>
            </w:r>
            <w:r w:rsidR="003F6D11">
              <w:rPr>
                <w:noProof/>
                <w:webHidden/>
              </w:rPr>
              <w:fldChar w:fldCharType="end"/>
            </w:r>
          </w:hyperlink>
        </w:p>
        <w:p w14:paraId="3D758848" w14:textId="27E0F4D0"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1" w:history="1">
            <w:r w:rsidR="003F6D11" w:rsidRPr="00F76F97">
              <w:rPr>
                <w:rStyle w:val="Hipercze"/>
                <w:noProof/>
              </w:rPr>
              <w:t>2.</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2. Ograniczanie ryzyka związanego ze zbywaniem środków ochrony roślin</w:t>
            </w:r>
            <w:r w:rsidR="003F6D11">
              <w:rPr>
                <w:noProof/>
                <w:webHidden/>
              </w:rPr>
              <w:tab/>
            </w:r>
            <w:r w:rsidR="003F6D11">
              <w:rPr>
                <w:noProof/>
                <w:webHidden/>
              </w:rPr>
              <w:fldChar w:fldCharType="begin"/>
            </w:r>
            <w:r w:rsidR="003F6D11">
              <w:rPr>
                <w:noProof/>
                <w:webHidden/>
              </w:rPr>
              <w:instrText xml:space="preserve"> PAGEREF _Toc161744861 \h </w:instrText>
            </w:r>
            <w:r w:rsidR="003F6D11">
              <w:rPr>
                <w:noProof/>
                <w:webHidden/>
              </w:rPr>
            </w:r>
            <w:r w:rsidR="003F6D11">
              <w:rPr>
                <w:noProof/>
                <w:webHidden/>
              </w:rPr>
              <w:fldChar w:fldCharType="separate"/>
            </w:r>
            <w:r w:rsidR="003F6D11">
              <w:rPr>
                <w:noProof/>
                <w:webHidden/>
              </w:rPr>
              <w:t>8</w:t>
            </w:r>
            <w:r w:rsidR="003F6D11">
              <w:rPr>
                <w:noProof/>
                <w:webHidden/>
              </w:rPr>
              <w:fldChar w:fldCharType="end"/>
            </w:r>
          </w:hyperlink>
        </w:p>
        <w:p w14:paraId="60FA186F" w14:textId="5EED2EF1"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2" w:history="1">
            <w:r w:rsidR="003F6D11" w:rsidRPr="00F76F97">
              <w:rPr>
                <w:rStyle w:val="Hipercze"/>
                <w:noProof/>
              </w:rPr>
              <w:t>2.1.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_Toc161744862 \h </w:instrText>
            </w:r>
            <w:r w:rsidR="003F6D11">
              <w:rPr>
                <w:noProof/>
                <w:webHidden/>
              </w:rPr>
            </w:r>
            <w:r w:rsidR="003F6D11">
              <w:rPr>
                <w:noProof/>
                <w:webHidden/>
              </w:rPr>
              <w:fldChar w:fldCharType="separate"/>
            </w:r>
            <w:r w:rsidR="003F6D11">
              <w:rPr>
                <w:noProof/>
                <w:webHidden/>
              </w:rPr>
              <w:t>10</w:t>
            </w:r>
            <w:r w:rsidR="003F6D11">
              <w:rPr>
                <w:noProof/>
                <w:webHidden/>
              </w:rPr>
              <w:fldChar w:fldCharType="end"/>
            </w:r>
          </w:hyperlink>
        </w:p>
        <w:p w14:paraId="758831D6" w14:textId="0B99CA35"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3" w:history="1">
            <w:r w:rsidR="003F6D11" w:rsidRPr="00F76F97">
              <w:rPr>
                <w:rStyle w:val="Hipercze"/>
                <w:noProof/>
              </w:rPr>
              <w:t>3.</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3. Upowszechnianie w społeczeństwie wiedzy o środkach ochrony roślin</w:t>
            </w:r>
            <w:r w:rsidR="003F6D11">
              <w:rPr>
                <w:noProof/>
                <w:webHidden/>
              </w:rPr>
              <w:tab/>
            </w:r>
            <w:r w:rsidR="003F6D11">
              <w:rPr>
                <w:noProof/>
                <w:webHidden/>
              </w:rPr>
              <w:fldChar w:fldCharType="begin"/>
            </w:r>
            <w:r w:rsidR="003F6D11">
              <w:rPr>
                <w:noProof/>
                <w:webHidden/>
              </w:rPr>
              <w:instrText xml:space="preserve"> PAGEREF _Toc161744863 \h </w:instrText>
            </w:r>
            <w:r w:rsidR="003F6D11">
              <w:rPr>
                <w:noProof/>
                <w:webHidden/>
              </w:rPr>
            </w:r>
            <w:r w:rsidR="003F6D11">
              <w:rPr>
                <w:noProof/>
                <w:webHidden/>
              </w:rPr>
              <w:fldChar w:fldCharType="separate"/>
            </w:r>
            <w:r w:rsidR="003F6D11">
              <w:rPr>
                <w:noProof/>
                <w:webHidden/>
              </w:rPr>
              <w:t>10</w:t>
            </w:r>
            <w:r w:rsidR="003F6D11">
              <w:rPr>
                <w:noProof/>
                <w:webHidden/>
              </w:rPr>
              <w:fldChar w:fldCharType="end"/>
            </w:r>
          </w:hyperlink>
        </w:p>
        <w:p w14:paraId="04ECE4F1" w14:textId="11DD24B7"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64" w:history="1">
            <w:r w:rsidR="003F6D11" w:rsidRPr="00F76F97">
              <w:rPr>
                <w:rStyle w:val="Hipercze"/>
                <w:noProof/>
              </w:rPr>
              <w:t>Zadanie 1. Promowanie dobrych praktyk bezpiecznego stosowania środków ochrony roślin</w:t>
            </w:r>
            <w:r w:rsidR="003F6D11">
              <w:rPr>
                <w:noProof/>
                <w:webHidden/>
              </w:rPr>
              <w:tab/>
            </w:r>
            <w:r w:rsidR="003F6D11">
              <w:rPr>
                <w:noProof/>
                <w:webHidden/>
              </w:rPr>
              <w:fldChar w:fldCharType="begin"/>
            </w:r>
            <w:r w:rsidR="003F6D11">
              <w:rPr>
                <w:noProof/>
                <w:webHidden/>
              </w:rPr>
              <w:instrText xml:space="preserve"> PAGEREF _Toc161744864 \h </w:instrText>
            </w:r>
            <w:r w:rsidR="003F6D11">
              <w:rPr>
                <w:noProof/>
                <w:webHidden/>
              </w:rPr>
            </w:r>
            <w:r w:rsidR="003F6D11">
              <w:rPr>
                <w:noProof/>
                <w:webHidden/>
              </w:rPr>
              <w:fldChar w:fldCharType="separate"/>
            </w:r>
            <w:r w:rsidR="003F6D11">
              <w:rPr>
                <w:noProof/>
                <w:webHidden/>
              </w:rPr>
              <w:t>11</w:t>
            </w:r>
            <w:r w:rsidR="003F6D11">
              <w:rPr>
                <w:noProof/>
                <w:webHidden/>
              </w:rPr>
              <w:fldChar w:fldCharType="end"/>
            </w:r>
          </w:hyperlink>
        </w:p>
        <w:p w14:paraId="0F17B151" w14:textId="04B82447"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65" w:history="1">
            <w:r w:rsidR="003F6D11" w:rsidRPr="00F76F97">
              <w:rPr>
                <w:rStyle w:val="Hipercze"/>
                <w:noProof/>
              </w:rPr>
              <w:t>Zadanie 2. Gromadzenie informacji o zatruciach ludzi środkami ochrony roślin</w:t>
            </w:r>
            <w:r w:rsidR="003F6D11">
              <w:rPr>
                <w:noProof/>
                <w:webHidden/>
              </w:rPr>
              <w:tab/>
            </w:r>
            <w:r w:rsidR="003F6D11">
              <w:rPr>
                <w:noProof/>
                <w:webHidden/>
              </w:rPr>
              <w:fldChar w:fldCharType="begin"/>
            </w:r>
            <w:r w:rsidR="003F6D11">
              <w:rPr>
                <w:noProof/>
                <w:webHidden/>
              </w:rPr>
              <w:instrText xml:space="preserve"> PAGEREF _Toc161744865 \h </w:instrText>
            </w:r>
            <w:r w:rsidR="003F6D11">
              <w:rPr>
                <w:noProof/>
                <w:webHidden/>
              </w:rPr>
            </w:r>
            <w:r w:rsidR="003F6D11">
              <w:rPr>
                <w:noProof/>
                <w:webHidden/>
              </w:rPr>
              <w:fldChar w:fldCharType="separate"/>
            </w:r>
            <w:r w:rsidR="003F6D11">
              <w:rPr>
                <w:noProof/>
                <w:webHidden/>
              </w:rPr>
              <w:t>13</w:t>
            </w:r>
            <w:r w:rsidR="003F6D11">
              <w:rPr>
                <w:noProof/>
                <w:webHidden/>
              </w:rPr>
              <w:fldChar w:fldCharType="end"/>
            </w:r>
          </w:hyperlink>
        </w:p>
        <w:p w14:paraId="1AFA3A02" w14:textId="37196926"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6" w:history="1">
            <w:r w:rsidR="003F6D11" w:rsidRPr="00F76F97">
              <w:rPr>
                <w:rStyle w:val="Hipercze"/>
                <w:noProof/>
              </w:rPr>
              <w:t>3.1.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_Toc161744866 \h </w:instrText>
            </w:r>
            <w:r w:rsidR="003F6D11">
              <w:rPr>
                <w:noProof/>
                <w:webHidden/>
              </w:rPr>
            </w:r>
            <w:r w:rsidR="003F6D11">
              <w:rPr>
                <w:noProof/>
                <w:webHidden/>
              </w:rPr>
              <w:fldChar w:fldCharType="separate"/>
            </w:r>
            <w:r w:rsidR="003F6D11">
              <w:rPr>
                <w:noProof/>
                <w:webHidden/>
              </w:rPr>
              <w:t>15</w:t>
            </w:r>
            <w:r w:rsidR="003F6D11">
              <w:rPr>
                <w:noProof/>
                <w:webHidden/>
              </w:rPr>
              <w:fldChar w:fldCharType="end"/>
            </w:r>
          </w:hyperlink>
        </w:p>
        <w:p w14:paraId="0C902071" w14:textId="0486C4EF"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7" w:history="1">
            <w:r w:rsidR="003F6D11" w:rsidRPr="00F76F97">
              <w:rPr>
                <w:rStyle w:val="Hipercze"/>
                <w:noProof/>
              </w:rPr>
              <w:t>4.</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4. Zapewnienie sprawności technicznej sprzętu przeznaczonego do stosowania środków ochrony roślin</w:t>
            </w:r>
            <w:r w:rsidR="003F6D11">
              <w:rPr>
                <w:noProof/>
                <w:webHidden/>
              </w:rPr>
              <w:tab/>
            </w:r>
            <w:r w:rsidR="003F6D11">
              <w:rPr>
                <w:noProof/>
                <w:webHidden/>
              </w:rPr>
              <w:fldChar w:fldCharType="begin"/>
            </w:r>
            <w:r w:rsidR="003F6D11">
              <w:rPr>
                <w:noProof/>
                <w:webHidden/>
              </w:rPr>
              <w:instrText xml:space="preserve"> PAGEREF _Toc161744867 \h </w:instrText>
            </w:r>
            <w:r w:rsidR="003F6D11">
              <w:rPr>
                <w:noProof/>
                <w:webHidden/>
              </w:rPr>
            </w:r>
            <w:r w:rsidR="003F6D11">
              <w:rPr>
                <w:noProof/>
                <w:webHidden/>
              </w:rPr>
              <w:fldChar w:fldCharType="separate"/>
            </w:r>
            <w:r w:rsidR="003F6D11">
              <w:rPr>
                <w:noProof/>
                <w:webHidden/>
              </w:rPr>
              <w:t>15</w:t>
            </w:r>
            <w:r w:rsidR="003F6D11">
              <w:rPr>
                <w:noProof/>
                <w:webHidden/>
              </w:rPr>
              <w:fldChar w:fldCharType="end"/>
            </w:r>
          </w:hyperlink>
        </w:p>
        <w:p w14:paraId="10394DFE" w14:textId="155EC0C8"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8" w:history="1">
            <w:r w:rsidR="003F6D11" w:rsidRPr="00F76F97">
              <w:rPr>
                <w:rStyle w:val="Hipercze"/>
                <w:noProof/>
              </w:rPr>
              <w:t>4.1.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_Toc161744868 \h </w:instrText>
            </w:r>
            <w:r w:rsidR="003F6D11">
              <w:rPr>
                <w:noProof/>
                <w:webHidden/>
              </w:rPr>
            </w:r>
            <w:r w:rsidR="003F6D11">
              <w:rPr>
                <w:noProof/>
                <w:webHidden/>
              </w:rPr>
              <w:fldChar w:fldCharType="separate"/>
            </w:r>
            <w:r w:rsidR="003F6D11">
              <w:rPr>
                <w:noProof/>
                <w:webHidden/>
              </w:rPr>
              <w:t>18</w:t>
            </w:r>
            <w:r w:rsidR="003F6D11">
              <w:rPr>
                <w:noProof/>
                <w:webHidden/>
              </w:rPr>
              <w:fldChar w:fldCharType="end"/>
            </w:r>
          </w:hyperlink>
        </w:p>
        <w:p w14:paraId="0171D2EF" w14:textId="620814B7"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69" w:history="1">
            <w:r w:rsidR="003F6D11" w:rsidRPr="00F76F97">
              <w:rPr>
                <w:rStyle w:val="Hipercze"/>
                <w:noProof/>
              </w:rPr>
              <w:t>5.</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5. Zabiegi agrolotnicze</w:t>
            </w:r>
            <w:r w:rsidR="003F6D11">
              <w:rPr>
                <w:noProof/>
                <w:webHidden/>
              </w:rPr>
              <w:tab/>
            </w:r>
            <w:r w:rsidR="003F6D11">
              <w:rPr>
                <w:noProof/>
                <w:webHidden/>
              </w:rPr>
              <w:fldChar w:fldCharType="begin"/>
            </w:r>
            <w:r w:rsidR="003F6D11">
              <w:rPr>
                <w:noProof/>
                <w:webHidden/>
              </w:rPr>
              <w:instrText xml:space="preserve"> PAGEREF _Toc161744869 \h </w:instrText>
            </w:r>
            <w:r w:rsidR="003F6D11">
              <w:rPr>
                <w:noProof/>
                <w:webHidden/>
              </w:rPr>
            </w:r>
            <w:r w:rsidR="003F6D11">
              <w:rPr>
                <w:noProof/>
                <w:webHidden/>
              </w:rPr>
              <w:fldChar w:fldCharType="separate"/>
            </w:r>
            <w:r w:rsidR="003F6D11">
              <w:rPr>
                <w:noProof/>
                <w:webHidden/>
              </w:rPr>
              <w:t>19</w:t>
            </w:r>
            <w:r w:rsidR="003F6D11">
              <w:rPr>
                <w:noProof/>
                <w:webHidden/>
              </w:rPr>
              <w:fldChar w:fldCharType="end"/>
            </w:r>
          </w:hyperlink>
        </w:p>
        <w:p w14:paraId="06B5BD25" w14:textId="3AAAEEF3"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70" w:history="1">
            <w:r w:rsidR="003F6D11" w:rsidRPr="00F76F97">
              <w:rPr>
                <w:rStyle w:val="Hipercze"/>
                <w:noProof/>
              </w:rPr>
              <w:t>5.1.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_Toc161744870 \h </w:instrText>
            </w:r>
            <w:r w:rsidR="003F6D11">
              <w:rPr>
                <w:noProof/>
                <w:webHidden/>
              </w:rPr>
            </w:r>
            <w:r w:rsidR="003F6D11">
              <w:rPr>
                <w:noProof/>
                <w:webHidden/>
              </w:rPr>
              <w:fldChar w:fldCharType="separate"/>
            </w:r>
            <w:r w:rsidR="003F6D11">
              <w:rPr>
                <w:noProof/>
                <w:webHidden/>
              </w:rPr>
              <w:t>20</w:t>
            </w:r>
            <w:r w:rsidR="003F6D11">
              <w:rPr>
                <w:noProof/>
                <w:webHidden/>
              </w:rPr>
              <w:fldChar w:fldCharType="end"/>
            </w:r>
          </w:hyperlink>
        </w:p>
        <w:p w14:paraId="0525EF44" w14:textId="4E6FD342"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71" w:history="1">
            <w:r w:rsidR="003F6D11" w:rsidRPr="00F76F97">
              <w:rPr>
                <w:rStyle w:val="Hipercze"/>
                <w:noProof/>
              </w:rPr>
              <w:t>6.</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6. Ostrzeganie osób postronnych o zabiegach ochrony roślin</w:t>
            </w:r>
            <w:r w:rsidR="003F6D11">
              <w:rPr>
                <w:noProof/>
                <w:webHidden/>
              </w:rPr>
              <w:tab/>
            </w:r>
            <w:r w:rsidR="003F6D11">
              <w:rPr>
                <w:noProof/>
                <w:webHidden/>
              </w:rPr>
              <w:fldChar w:fldCharType="begin"/>
            </w:r>
            <w:r w:rsidR="003F6D11">
              <w:rPr>
                <w:noProof/>
                <w:webHidden/>
              </w:rPr>
              <w:instrText xml:space="preserve"> PAGEREF _Toc161744871 \h </w:instrText>
            </w:r>
            <w:r w:rsidR="003F6D11">
              <w:rPr>
                <w:noProof/>
                <w:webHidden/>
              </w:rPr>
            </w:r>
            <w:r w:rsidR="003F6D11">
              <w:rPr>
                <w:noProof/>
                <w:webHidden/>
              </w:rPr>
              <w:fldChar w:fldCharType="separate"/>
            </w:r>
            <w:r w:rsidR="003F6D11">
              <w:rPr>
                <w:noProof/>
                <w:webHidden/>
              </w:rPr>
              <w:t>20</w:t>
            </w:r>
            <w:r w:rsidR="003F6D11">
              <w:rPr>
                <w:noProof/>
                <w:webHidden/>
              </w:rPr>
              <w:fldChar w:fldCharType="end"/>
            </w:r>
          </w:hyperlink>
        </w:p>
        <w:p w14:paraId="1B58B2E0" w14:textId="1808DF11"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72" w:history="1">
            <w:r w:rsidR="003F6D11" w:rsidRPr="00F76F97">
              <w:rPr>
                <w:rStyle w:val="Hipercze"/>
                <w:noProof/>
              </w:rPr>
              <w:t>6.1.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_Toc161744872 \h </w:instrText>
            </w:r>
            <w:r w:rsidR="003F6D11">
              <w:rPr>
                <w:noProof/>
                <w:webHidden/>
              </w:rPr>
            </w:r>
            <w:r w:rsidR="003F6D11">
              <w:rPr>
                <w:noProof/>
                <w:webHidden/>
              </w:rPr>
              <w:fldChar w:fldCharType="separate"/>
            </w:r>
            <w:r w:rsidR="003F6D11">
              <w:rPr>
                <w:noProof/>
                <w:webHidden/>
              </w:rPr>
              <w:t>21</w:t>
            </w:r>
            <w:r w:rsidR="003F6D11">
              <w:rPr>
                <w:noProof/>
                <w:webHidden/>
              </w:rPr>
              <w:fldChar w:fldCharType="end"/>
            </w:r>
          </w:hyperlink>
        </w:p>
        <w:p w14:paraId="34D2E8D2" w14:textId="093A296F"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73" w:history="1">
            <w:r w:rsidR="003F6D11" w:rsidRPr="00F76F97">
              <w:rPr>
                <w:rStyle w:val="Hipercze"/>
                <w:noProof/>
              </w:rPr>
              <w:t>7.</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7. Środki ochrony środowiska wodnego i wody pitnej</w:t>
            </w:r>
            <w:r w:rsidR="003F6D11">
              <w:rPr>
                <w:noProof/>
                <w:webHidden/>
              </w:rPr>
              <w:tab/>
            </w:r>
            <w:r w:rsidR="003F6D11">
              <w:rPr>
                <w:noProof/>
                <w:webHidden/>
              </w:rPr>
              <w:fldChar w:fldCharType="begin"/>
            </w:r>
            <w:r w:rsidR="003F6D11">
              <w:rPr>
                <w:noProof/>
                <w:webHidden/>
              </w:rPr>
              <w:instrText xml:space="preserve"> PAGEREF _Toc161744873 \h </w:instrText>
            </w:r>
            <w:r w:rsidR="003F6D11">
              <w:rPr>
                <w:noProof/>
                <w:webHidden/>
              </w:rPr>
            </w:r>
            <w:r w:rsidR="003F6D11">
              <w:rPr>
                <w:noProof/>
                <w:webHidden/>
              </w:rPr>
              <w:fldChar w:fldCharType="separate"/>
            </w:r>
            <w:r w:rsidR="003F6D11">
              <w:rPr>
                <w:noProof/>
                <w:webHidden/>
              </w:rPr>
              <w:t>21</w:t>
            </w:r>
            <w:r w:rsidR="003F6D11">
              <w:rPr>
                <w:noProof/>
                <w:webHidden/>
              </w:rPr>
              <w:fldChar w:fldCharType="end"/>
            </w:r>
          </w:hyperlink>
        </w:p>
        <w:p w14:paraId="1A3A8D48" w14:textId="06DCA637"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74" w:history="1">
            <w:r w:rsidR="003F6D11" w:rsidRPr="00F76F97">
              <w:rPr>
                <w:rStyle w:val="Hipercze"/>
                <w:noProof/>
              </w:rPr>
              <w:t>Zadanie 1. Prowadzenie monitoringu wód powierzchniowych, podziemnych i osadów dennych</w:t>
            </w:r>
            <w:r w:rsidR="003F6D11">
              <w:rPr>
                <w:noProof/>
                <w:webHidden/>
              </w:rPr>
              <w:tab/>
            </w:r>
            <w:r w:rsidR="003F6D11">
              <w:rPr>
                <w:noProof/>
                <w:webHidden/>
              </w:rPr>
              <w:fldChar w:fldCharType="begin"/>
            </w:r>
            <w:r w:rsidR="003F6D11">
              <w:rPr>
                <w:noProof/>
                <w:webHidden/>
              </w:rPr>
              <w:instrText xml:space="preserve"> PAGEREF _Toc161744874 \h </w:instrText>
            </w:r>
            <w:r w:rsidR="003F6D11">
              <w:rPr>
                <w:noProof/>
                <w:webHidden/>
              </w:rPr>
            </w:r>
            <w:r w:rsidR="003F6D11">
              <w:rPr>
                <w:noProof/>
                <w:webHidden/>
              </w:rPr>
              <w:fldChar w:fldCharType="separate"/>
            </w:r>
            <w:r w:rsidR="003F6D11">
              <w:rPr>
                <w:noProof/>
                <w:webHidden/>
              </w:rPr>
              <w:t>22</w:t>
            </w:r>
            <w:r w:rsidR="003F6D11">
              <w:rPr>
                <w:noProof/>
                <w:webHidden/>
              </w:rPr>
              <w:fldChar w:fldCharType="end"/>
            </w:r>
          </w:hyperlink>
        </w:p>
        <w:p w14:paraId="534ABBD7" w14:textId="1A01E0D0"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875" w:history="1">
            <w:r w:rsidR="003F6D11" w:rsidRPr="00F76F97">
              <w:rPr>
                <w:rStyle w:val="Hipercze"/>
                <w:noProof/>
              </w:rPr>
              <w:t>Podzadanie 1. Wody powierzchniowe</w:t>
            </w:r>
            <w:r w:rsidR="003F6D11">
              <w:rPr>
                <w:noProof/>
                <w:webHidden/>
              </w:rPr>
              <w:tab/>
            </w:r>
            <w:r w:rsidR="003F6D11">
              <w:rPr>
                <w:noProof/>
                <w:webHidden/>
              </w:rPr>
              <w:fldChar w:fldCharType="begin"/>
            </w:r>
            <w:r w:rsidR="003F6D11">
              <w:rPr>
                <w:noProof/>
                <w:webHidden/>
              </w:rPr>
              <w:instrText xml:space="preserve"> PAGEREF _Toc161744875 \h </w:instrText>
            </w:r>
            <w:r w:rsidR="003F6D11">
              <w:rPr>
                <w:noProof/>
                <w:webHidden/>
              </w:rPr>
            </w:r>
            <w:r w:rsidR="003F6D11">
              <w:rPr>
                <w:noProof/>
                <w:webHidden/>
              </w:rPr>
              <w:fldChar w:fldCharType="separate"/>
            </w:r>
            <w:r w:rsidR="003F6D11">
              <w:rPr>
                <w:noProof/>
                <w:webHidden/>
              </w:rPr>
              <w:t>23</w:t>
            </w:r>
            <w:r w:rsidR="003F6D11">
              <w:rPr>
                <w:noProof/>
                <w:webHidden/>
              </w:rPr>
              <w:fldChar w:fldCharType="end"/>
            </w:r>
          </w:hyperlink>
        </w:p>
        <w:p w14:paraId="7514FD88" w14:textId="32BCD8CA"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876" w:history="1">
            <w:r w:rsidR="003F6D11" w:rsidRPr="00F76F97">
              <w:rPr>
                <w:rStyle w:val="Hipercze"/>
                <w:noProof/>
              </w:rPr>
              <w:t>Podzadanie 2. Wody podziemne</w:t>
            </w:r>
            <w:r w:rsidR="003F6D11">
              <w:rPr>
                <w:noProof/>
                <w:webHidden/>
              </w:rPr>
              <w:tab/>
            </w:r>
            <w:r w:rsidR="003F6D11">
              <w:rPr>
                <w:noProof/>
                <w:webHidden/>
              </w:rPr>
              <w:fldChar w:fldCharType="begin"/>
            </w:r>
            <w:r w:rsidR="003F6D11">
              <w:rPr>
                <w:noProof/>
                <w:webHidden/>
              </w:rPr>
              <w:instrText xml:space="preserve"> PAGEREF _Toc161744876 \h </w:instrText>
            </w:r>
            <w:r w:rsidR="003F6D11">
              <w:rPr>
                <w:noProof/>
                <w:webHidden/>
              </w:rPr>
            </w:r>
            <w:r w:rsidR="003F6D11">
              <w:rPr>
                <w:noProof/>
                <w:webHidden/>
              </w:rPr>
              <w:fldChar w:fldCharType="separate"/>
            </w:r>
            <w:r w:rsidR="003F6D11">
              <w:rPr>
                <w:noProof/>
                <w:webHidden/>
              </w:rPr>
              <w:t>29</w:t>
            </w:r>
            <w:r w:rsidR="003F6D11">
              <w:rPr>
                <w:noProof/>
                <w:webHidden/>
              </w:rPr>
              <w:fldChar w:fldCharType="end"/>
            </w:r>
          </w:hyperlink>
        </w:p>
        <w:p w14:paraId="414F4B6F" w14:textId="649057E1"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877" w:history="1">
            <w:r w:rsidR="003F6D11" w:rsidRPr="00F76F97">
              <w:rPr>
                <w:rStyle w:val="Hipercze"/>
                <w:noProof/>
              </w:rPr>
              <w:t>Podzadanie 3. Osady denne</w:t>
            </w:r>
            <w:r w:rsidR="003F6D11">
              <w:rPr>
                <w:noProof/>
                <w:webHidden/>
              </w:rPr>
              <w:tab/>
            </w:r>
            <w:r w:rsidR="003F6D11">
              <w:rPr>
                <w:noProof/>
                <w:webHidden/>
              </w:rPr>
              <w:fldChar w:fldCharType="begin"/>
            </w:r>
            <w:r w:rsidR="003F6D11">
              <w:rPr>
                <w:noProof/>
                <w:webHidden/>
              </w:rPr>
              <w:instrText xml:space="preserve"> PAGEREF _Toc161744877 \h </w:instrText>
            </w:r>
            <w:r w:rsidR="003F6D11">
              <w:rPr>
                <w:noProof/>
                <w:webHidden/>
              </w:rPr>
            </w:r>
            <w:r w:rsidR="003F6D11">
              <w:rPr>
                <w:noProof/>
                <w:webHidden/>
              </w:rPr>
              <w:fldChar w:fldCharType="separate"/>
            </w:r>
            <w:r w:rsidR="003F6D11">
              <w:rPr>
                <w:noProof/>
                <w:webHidden/>
              </w:rPr>
              <w:t>35</w:t>
            </w:r>
            <w:r w:rsidR="003F6D11">
              <w:rPr>
                <w:noProof/>
                <w:webHidden/>
              </w:rPr>
              <w:fldChar w:fldCharType="end"/>
            </w:r>
          </w:hyperlink>
        </w:p>
        <w:p w14:paraId="1A0DB313" w14:textId="0F0DB76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78" w:history="1">
            <w:r w:rsidR="003F6D11" w:rsidRPr="00F76F97">
              <w:rPr>
                <w:rStyle w:val="Hipercze"/>
                <w:noProof/>
              </w:rPr>
              <w:t>Zadanie 2. Prowadzenie monitoringu wody przeznaczonej do spożycia przez ludzi</w:t>
            </w:r>
            <w:r w:rsidR="003F6D11">
              <w:rPr>
                <w:noProof/>
                <w:webHidden/>
              </w:rPr>
              <w:tab/>
            </w:r>
            <w:r w:rsidR="003F6D11">
              <w:rPr>
                <w:noProof/>
                <w:webHidden/>
              </w:rPr>
              <w:fldChar w:fldCharType="begin"/>
            </w:r>
            <w:r w:rsidR="003F6D11">
              <w:rPr>
                <w:noProof/>
                <w:webHidden/>
              </w:rPr>
              <w:instrText xml:space="preserve"> PAGEREF _Toc161744878 \h </w:instrText>
            </w:r>
            <w:r w:rsidR="003F6D11">
              <w:rPr>
                <w:noProof/>
                <w:webHidden/>
              </w:rPr>
            </w:r>
            <w:r w:rsidR="003F6D11">
              <w:rPr>
                <w:noProof/>
                <w:webHidden/>
              </w:rPr>
              <w:fldChar w:fldCharType="separate"/>
            </w:r>
            <w:r w:rsidR="003F6D11">
              <w:rPr>
                <w:noProof/>
                <w:webHidden/>
              </w:rPr>
              <w:t>37</w:t>
            </w:r>
            <w:r w:rsidR="003F6D11">
              <w:rPr>
                <w:noProof/>
                <w:webHidden/>
              </w:rPr>
              <w:fldChar w:fldCharType="end"/>
            </w:r>
          </w:hyperlink>
        </w:p>
        <w:p w14:paraId="1A9B99E6" w14:textId="43BB28EA"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79" w:history="1">
            <w:r w:rsidR="003F6D11" w:rsidRPr="00F76F97">
              <w:rPr>
                <w:rStyle w:val="Hipercze"/>
                <w:noProof/>
              </w:rPr>
              <w:t>Zadanie 3. Badanie wpływu chemicznej ochrony roślin na stan wód powierzchniowych</w:t>
            </w:r>
            <w:r w:rsidR="003F6D11">
              <w:rPr>
                <w:noProof/>
                <w:webHidden/>
              </w:rPr>
              <w:tab/>
            </w:r>
            <w:r w:rsidR="003F6D11">
              <w:rPr>
                <w:noProof/>
                <w:webHidden/>
              </w:rPr>
              <w:fldChar w:fldCharType="begin"/>
            </w:r>
            <w:r w:rsidR="003F6D11">
              <w:rPr>
                <w:noProof/>
                <w:webHidden/>
              </w:rPr>
              <w:instrText xml:space="preserve"> PAGEREF _Toc161744879 \h </w:instrText>
            </w:r>
            <w:r w:rsidR="003F6D11">
              <w:rPr>
                <w:noProof/>
                <w:webHidden/>
              </w:rPr>
            </w:r>
            <w:r w:rsidR="003F6D11">
              <w:rPr>
                <w:noProof/>
                <w:webHidden/>
              </w:rPr>
              <w:fldChar w:fldCharType="separate"/>
            </w:r>
            <w:r w:rsidR="003F6D11">
              <w:rPr>
                <w:noProof/>
                <w:webHidden/>
              </w:rPr>
              <w:t>40</w:t>
            </w:r>
            <w:r w:rsidR="003F6D11">
              <w:rPr>
                <w:noProof/>
                <w:webHidden/>
              </w:rPr>
              <w:fldChar w:fldCharType="end"/>
            </w:r>
          </w:hyperlink>
        </w:p>
        <w:p w14:paraId="5E6BD6A8" w14:textId="6C6EE524"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80" w:history="1">
            <w:r w:rsidR="003F6D11" w:rsidRPr="00F76F97">
              <w:rPr>
                <w:rStyle w:val="Hipercze"/>
                <w:noProof/>
              </w:rPr>
              <w:t>Zadanie 4. Nadzór nad środkami ochrony roślin zawierającymi substancje czynne, które powinny być objęte szczególnym monitoringiem</w:t>
            </w:r>
            <w:r w:rsidR="003F6D11">
              <w:rPr>
                <w:noProof/>
                <w:webHidden/>
              </w:rPr>
              <w:tab/>
            </w:r>
            <w:r w:rsidR="003F6D11">
              <w:rPr>
                <w:noProof/>
                <w:webHidden/>
              </w:rPr>
              <w:fldChar w:fldCharType="begin"/>
            </w:r>
            <w:r w:rsidR="003F6D11">
              <w:rPr>
                <w:noProof/>
                <w:webHidden/>
              </w:rPr>
              <w:instrText xml:space="preserve"> PAGEREF _Toc161744880 \h </w:instrText>
            </w:r>
            <w:r w:rsidR="003F6D11">
              <w:rPr>
                <w:noProof/>
                <w:webHidden/>
              </w:rPr>
            </w:r>
            <w:r w:rsidR="003F6D11">
              <w:rPr>
                <w:noProof/>
                <w:webHidden/>
              </w:rPr>
              <w:fldChar w:fldCharType="separate"/>
            </w:r>
            <w:r w:rsidR="003F6D11">
              <w:rPr>
                <w:noProof/>
                <w:webHidden/>
              </w:rPr>
              <w:t>55</w:t>
            </w:r>
            <w:r w:rsidR="003F6D11">
              <w:rPr>
                <w:noProof/>
                <w:webHidden/>
              </w:rPr>
              <w:fldChar w:fldCharType="end"/>
            </w:r>
          </w:hyperlink>
        </w:p>
        <w:p w14:paraId="6A16DD85" w14:textId="1AFCA795"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1" w:history="1">
            <w:r w:rsidR="003F6D11" w:rsidRPr="00F76F97">
              <w:rPr>
                <w:rStyle w:val="Hipercze"/>
                <w:noProof/>
              </w:rPr>
              <w:t>7.1.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_Toc161744881 \h </w:instrText>
            </w:r>
            <w:r w:rsidR="003F6D11">
              <w:rPr>
                <w:noProof/>
                <w:webHidden/>
              </w:rPr>
            </w:r>
            <w:r w:rsidR="003F6D11">
              <w:rPr>
                <w:noProof/>
                <w:webHidden/>
              </w:rPr>
              <w:fldChar w:fldCharType="separate"/>
            </w:r>
            <w:r w:rsidR="003F6D11">
              <w:rPr>
                <w:noProof/>
                <w:webHidden/>
              </w:rPr>
              <w:t>57</w:t>
            </w:r>
            <w:r w:rsidR="003F6D11">
              <w:rPr>
                <w:noProof/>
                <w:webHidden/>
              </w:rPr>
              <w:fldChar w:fldCharType="end"/>
            </w:r>
          </w:hyperlink>
        </w:p>
        <w:p w14:paraId="0A3D2624" w14:textId="0724E034"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2" w:history="1">
            <w:r w:rsidR="003F6D11" w:rsidRPr="00F76F97">
              <w:rPr>
                <w:rStyle w:val="Hipercze"/>
                <w:noProof/>
              </w:rPr>
              <w:t>8.</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8. Ograniczenie stosowania środków ochrony roślin na obszarach szczególnie wrażliwych</w:t>
            </w:r>
            <w:r w:rsidR="003F6D11">
              <w:rPr>
                <w:noProof/>
                <w:webHidden/>
              </w:rPr>
              <w:tab/>
            </w:r>
            <w:r w:rsidR="003F6D11">
              <w:rPr>
                <w:noProof/>
                <w:webHidden/>
              </w:rPr>
              <w:fldChar w:fldCharType="begin"/>
            </w:r>
            <w:r w:rsidR="003F6D11">
              <w:rPr>
                <w:noProof/>
                <w:webHidden/>
              </w:rPr>
              <w:instrText xml:space="preserve"> PAGEREF _Toc161744882 \h </w:instrText>
            </w:r>
            <w:r w:rsidR="003F6D11">
              <w:rPr>
                <w:noProof/>
                <w:webHidden/>
              </w:rPr>
            </w:r>
            <w:r w:rsidR="003F6D11">
              <w:rPr>
                <w:noProof/>
                <w:webHidden/>
              </w:rPr>
              <w:fldChar w:fldCharType="separate"/>
            </w:r>
            <w:r w:rsidR="003F6D11">
              <w:rPr>
                <w:noProof/>
                <w:webHidden/>
              </w:rPr>
              <w:t>58</w:t>
            </w:r>
            <w:r w:rsidR="003F6D11">
              <w:rPr>
                <w:noProof/>
                <w:webHidden/>
              </w:rPr>
              <w:fldChar w:fldCharType="end"/>
            </w:r>
          </w:hyperlink>
        </w:p>
        <w:p w14:paraId="66ECD8FD" w14:textId="47DC98AC"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3" w:history="1">
            <w:r w:rsidR="003F6D11" w:rsidRPr="00F76F97">
              <w:rPr>
                <w:rStyle w:val="Hipercze"/>
                <w:noProof/>
              </w:rPr>
              <w:t>8.1.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_Toc161744883 \h </w:instrText>
            </w:r>
            <w:r w:rsidR="003F6D11">
              <w:rPr>
                <w:noProof/>
                <w:webHidden/>
              </w:rPr>
            </w:r>
            <w:r w:rsidR="003F6D11">
              <w:rPr>
                <w:noProof/>
                <w:webHidden/>
              </w:rPr>
              <w:fldChar w:fldCharType="separate"/>
            </w:r>
            <w:r w:rsidR="003F6D11">
              <w:rPr>
                <w:noProof/>
                <w:webHidden/>
              </w:rPr>
              <w:t>60</w:t>
            </w:r>
            <w:r w:rsidR="003F6D11">
              <w:rPr>
                <w:noProof/>
                <w:webHidden/>
              </w:rPr>
              <w:fldChar w:fldCharType="end"/>
            </w:r>
          </w:hyperlink>
        </w:p>
        <w:p w14:paraId="274D5EAB" w14:textId="01C4CFE6"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4" w:history="1">
            <w:r w:rsidR="003F6D11" w:rsidRPr="00F76F97">
              <w:rPr>
                <w:rStyle w:val="Hipercze"/>
                <w:noProof/>
              </w:rPr>
              <w:t>9.</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9. Wyeliminowanie zagrożeń na poszczególnych etapach wykonywania zabiegów ochrony roślin</w:t>
            </w:r>
            <w:r w:rsidR="003F6D11">
              <w:rPr>
                <w:noProof/>
                <w:webHidden/>
              </w:rPr>
              <w:tab/>
            </w:r>
            <w:r w:rsidR="003F6D11">
              <w:rPr>
                <w:noProof/>
                <w:webHidden/>
              </w:rPr>
              <w:fldChar w:fldCharType="begin"/>
            </w:r>
            <w:r w:rsidR="003F6D11">
              <w:rPr>
                <w:noProof/>
                <w:webHidden/>
              </w:rPr>
              <w:instrText xml:space="preserve"> PAGEREF _Toc161744884 \h </w:instrText>
            </w:r>
            <w:r w:rsidR="003F6D11">
              <w:rPr>
                <w:noProof/>
                <w:webHidden/>
              </w:rPr>
            </w:r>
            <w:r w:rsidR="003F6D11">
              <w:rPr>
                <w:noProof/>
                <w:webHidden/>
              </w:rPr>
              <w:fldChar w:fldCharType="separate"/>
            </w:r>
            <w:r w:rsidR="003F6D11">
              <w:rPr>
                <w:noProof/>
                <w:webHidden/>
              </w:rPr>
              <w:t>60</w:t>
            </w:r>
            <w:r w:rsidR="003F6D11">
              <w:rPr>
                <w:noProof/>
                <w:webHidden/>
              </w:rPr>
              <w:fldChar w:fldCharType="end"/>
            </w:r>
          </w:hyperlink>
        </w:p>
        <w:p w14:paraId="5E358A28" w14:textId="2D306155"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5" w:history="1">
            <w:r w:rsidR="003F6D11" w:rsidRPr="00F76F97">
              <w:rPr>
                <w:rStyle w:val="Hipercze"/>
                <w:noProof/>
              </w:rPr>
              <w:t>9.1.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_Toc161744885 \h </w:instrText>
            </w:r>
            <w:r w:rsidR="003F6D11">
              <w:rPr>
                <w:noProof/>
                <w:webHidden/>
              </w:rPr>
            </w:r>
            <w:r w:rsidR="003F6D11">
              <w:rPr>
                <w:noProof/>
                <w:webHidden/>
              </w:rPr>
              <w:fldChar w:fldCharType="separate"/>
            </w:r>
            <w:r w:rsidR="003F6D11">
              <w:rPr>
                <w:noProof/>
                <w:webHidden/>
              </w:rPr>
              <w:t>62</w:t>
            </w:r>
            <w:r w:rsidR="003F6D11">
              <w:rPr>
                <w:noProof/>
                <w:webHidden/>
              </w:rPr>
              <w:fldChar w:fldCharType="end"/>
            </w:r>
          </w:hyperlink>
        </w:p>
        <w:p w14:paraId="4701F7AC" w14:textId="53677C5F"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86" w:history="1">
            <w:r w:rsidR="003F6D11" w:rsidRPr="00F76F97">
              <w:rPr>
                <w:rStyle w:val="Hipercze"/>
                <w:noProof/>
              </w:rPr>
              <w:t>10.</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10. Integrowana ochrona roślin</w:t>
            </w:r>
            <w:r w:rsidR="003F6D11">
              <w:rPr>
                <w:noProof/>
                <w:webHidden/>
              </w:rPr>
              <w:tab/>
            </w:r>
            <w:r w:rsidR="003F6D11">
              <w:rPr>
                <w:noProof/>
                <w:webHidden/>
              </w:rPr>
              <w:fldChar w:fldCharType="begin"/>
            </w:r>
            <w:r w:rsidR="003F6D11">
              <w:rPr>
                <w:noProof/>
                <w:webHidden/>
              </w:rPr>
              <w:instrText xml:space="preserve"> PAGEREF _Toc161744886 \h </w:instrText>
            </w:r>
            <w:r w:rsidR="003F6D11">
              <w:rPr>
                <w:noProof/>
                <w:webHidden/>
              </w:rPr>
            </w:r>
            <w:r w:rsidR="003F6D11">
              <w:rPr>
                <w:noProof/>
                <w:webHidden/>
              </w:rPr>
              <w:fldChar w:fldCharType="separate"/>
            </w:r>
            <w:r w:rsidR="003F6D11">
              <w:rPr>
                <w:noProof/>
                <w:webHidden/>
              </w:rPr>
              <w:t>62</w:t>
            </w:r>
            <w:r w:rsidR="003F6D11">
              <w:rPr>
                <w:noProof/>
                <w:webHidden/>
              </w:rPr>
              <w:fldChar w:fldCharType="end"/>
            </w:r>
          </w:hyperlink>
        </w:p>
        <w:p w14:paraId="318764D7" w14:textId="75290EBC"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87" w:history="1">
            <w:r w:rsidR="003F6D11" w:rsidRPr="00F76F97">
              <w:rPr>
                <w:rStyle w:val="Hipercze"/>
                <w:noProof/>
              </w:rPr>
              <w:t>Zadanie 1. Upowszechnianie wiedzy z zakresu integrowanej ochrony roślin</w:t>
            </w:r>
            <w:r w:rsidR="003F6D11">
              <w:rPr>
                <w:noProof/>
                <w:webHidden/>
              </w:rPr>
              <w:tab/>
            </w:r>
            <w:r w:rsidR="003F6D11">
              <w:rPr>
                <w:noProof/>
                <w:webHidden/>
              </w:rPr>
              <w:fldChar w:fldCharType="begin"/>
            </w:r>
            <w:r w:rsidR="003F6D11">
              <w:rPr>
                <w:noProof/>
                <w:webHidden/>
              </w:rPr>
              <w:instrText xml:space="preserve"> PAGEREF _Toc161744887 \h </w:instrText>
            </w:r>
            <w:r w:rsidR="003F6D11">
              <w:rPr>
                <w:noProof/>
                <w:webHidden/>
              </w:rPr>
            </w:r>
            <w:r w:rsidR="003F6D11">
              <w:rPr>
                <w:noProof/>
                <w:webHidden/>
              </w:rPr>
              <w:fldChar w:fldCharType="separate"/>
            </w:r>
            <w:r w:rsidR="003F6D11">
              <w:rPr>
                <w:noProof/>
                <w:webHidden/>
              </w:rPr>
              <w:t>63</w:t>
            </w:r>
            <w:r w:rsidR="003F6D11">
              <w:rPr>
                <w:noProof/>
                <w:webHidden/>
              </w:rPr>
              <w:fldChar w:fldCharType="end"/>
            </w:r>
          </w:hyperlink>
        </w:p>
        <w:p w14:paraId="32346067" w14:textId="62B7424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88" w:history="1">
            <w:r w:rsidR="003F6D11" w:rsidRPr="00F76F97">
              <w:rPr>
                <w:rStyle w:val="Hipercze"/>
                <w:noProof/>
              </w:rPr>
              <w:t>Zadanie 2. Utrzymanie platformy internetowej poświęconej integrowanej ochronie roślin</w:t>
            </w:r>
            <w:r w:rsidR="003F6D11">
              <w:rPr>
                <w:noProof/>
                <w:webHidden/>
              </w:rPr>
              <w:tab/>
            </w:r>
            <w:r w:rsidR="003F6D11">
              <w:rPr>
                <w:noProof/>
                <w:webHidden/>
              </w:rPr>
              <w:fldChar w:fldCharType="begin"/>
            </w:r>
            <w:r w:rsidR="003F6D11">
              <w:rPr>
                <w:noProof/>
                <w:webHidden/>
              </w:rPr>
              <w:instrText xml:space="preserve"> PAGEREF _Toc161744888 \h </w:instrText>
            </w:r>
            <w:r w:rsidR="003F6D11">
              <w:rPr>
                <w:noProof/>
                <w:webHidden/>
              </w:rPr>
            </w:r>
            <w:r w:rsidR="003F6D11">
              <w:rPr>
                <w:noProof/>
                <w:webHidden/>
              </w:rPr>
              <w:fldChar w:fldCharType="separate"/>
            </w:r>
            <w:r w:rsidR="003F6D11">
              <w:rPr>
                <w:noProof/>
                <w:webHidden/>
              </w:rPr>
              <w:t>74</w:t>
            </w:r>
            <w:r w:rsidR="003F6D11">
              <w:rPr>
                <w:noProof/>
                <w:webHidden/>
              </w:rPr>
              <w:fldChar w:fldCharType="end"/>
            </w:r>
          </w:hyperlink>
        </w:p>
        <w:p w14:paraId="1E631029" w14:textId="0C3E9A6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89" w:history="1">
            <w:r w:rsidR="003F6D11" w:rsidRPr="00F76F97">
              <w:rPr>
                <w:rStyle w:val="Hipercze"/>
                <w:noProof/>
              </w:rPr>
              <w:t>Zadanie 3. Opracowanie, aktualizacja i udostępnienie metodyk integrowanej ochrony poszczególnych upraw</w:t>
            </w:r>
            <w:r w:rsidR="003F6D11">
              <w:rPr>
                <w:noProof/>
                <w:webHidden/>
              </w:rPr>
              <w:tab/>
            </w:r>
            <w:r w:rsidR="003F6D11">
              <w:rPr>
                <w:noProof/>
                <w:webHidden/>
              </w:rPr>
              <w:fldChar w:fldCharType="begin"/>
            </w:r>
            <w:r w:rsidR="003F6D11">
              <w:rPr>
                <w:noProof/>
                <w:webHidden/>
              </w:rPr>
              <w:instrText xml:space="preserve"> PAGEREF _Toc161744889 \h </w:instrText>
            </w:r>
            <w:r w:rsidR="003F6D11">
              <w:rPr>
                <w:noProof/>
                <w:webHidden/>
              </w:rPr>
            </w:r>
            <w:r w:rsidR="003F6D11">
              <w:rPr>
                <w:noProof/>
                <w:webHidden/>
              </w:rPr>
              <w:fldChar w:fldCharType="separate"/>
            </w:r>
            <w:r w:rsidR="003F6D11">
              <w:rPr>
                <w:noProof/>
                <w:webHidden/>
              </w:rPr>
              <w:t>76</w:t>
            </w:r>
            <w:r w:rsidR="003F6D11">
              <w:rPr>
                <w:noProof/>
                <w:webHidden/>
              </w:rPr>
              <w:fldChar w:fldCharType="end"/>
            </w:r>
          </w:hyperlink>
        </w:p>
        <w:p w14:paraId="596FA5F9" w14:textId="3B08238A"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0" w:history="1">
            <w:r w:rsidR="003F6D11" w:rsidRPr="00F76F97">
              <w:rPr>
                <w:rStyle w:val="Hipercze"/>
                <w:noProof/>
              </w:rPr>
              <w:t>Zadanie 4. Prowadzenie systemu sygnalizacji agrofagów</w:t>
            </w:r>
            <w:r w:rsidR="003F6D11">
              <w:rPr>
                <w:noProof/>
                <w:webHidden/>
              </w:rPr>
              <w:tab/>
            </w:r>
            <w:r w:rsidR="003F6D11">
              <w:rPr>
                <w:noProof/>
                <w:webHidden/>
              </w:rPr>
              <w:fldChar w:fldCharType="begin"/>
            </w:r>
            <w:r w:rsidR="003F6D11">
              <w:rPr>
                <w:noProof/>
                <w:webHidden/>
              </w:rPr>
              <w:instrText xml:space="preserve"> PAGEREF _Toc161744890 \h </w:instrText>
            </w:r>
            <w:r w:rsidR="003F6D11">
              <w:rPr>
                <w:noProof/>
                <w:webHidden/>
              </w:rPr>
            </w:r>
            <w:r w:rsidR="003F6D11">
              <w:rPr>
                <w:noProof/>
                <w:webHidden/>
              </w:rPr>
              <w:fldChar w:fldCharType="separate"/>
            </w:r>
            <w:r w:rsidR="003F6D11">
              <w:rPr>
                <w:noProof/>
                <w:webHidden/>
              </w:rPr>
              <w:t>77</w:t>
            </w:r>
            <w:r w:rsidR="003F6D11">
              <w:rPr>
                <w:noProof/>
                <w:webHidden/>
              </w:rPr>
              <w:fldChar w:fldCharType="end"/>
            </w:r>
          </w:hyperlink>
        </w:p>
        <w:p w14:paraId="2B3F1A53" w14:textId="1D9F844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1" w:history="1">
            <w:r w:rsidR="003F6D11" w:rsidRPr="00F76F97">
              <w:rPr>
                <w:rStyle w:val="Hipercze"/>
                <w:noProof/>
              </w:rPr>
              <w:t>Zadanie 5. Udostępnienie systemów wspomagania podejmowania decyzji w ochronie roślin</w:t>
            </w:r>
            <w:r w:rsidR="003F6D11">
              <w:rPr>
                <w:noProof/>
                <w:webHidden/>
              </w:rPr>
              <w:tab/>
            </w:r>
            <w:r w:rsidR="003F6D11">
              <w:rPr>
                <w:noProof/>
                <w:webHidden/>
              </w:rPr>
              <w:fldChar w:fldCharType="begin"/>
            </w:r>
            <w:r w:rsidR="003F6D11">
              <w:rPr>
                <w:noProof/>
                <w:webHidden/>
              </w:rPr>
              <w:instrText xml:space="preserve"> PAGEREF _Toc161744891 \h </w:instrText>
            </w:r>
            <w:r w:rsidR="003F6D11">
              <w:rPr>
                <w:noProof/>
                <w:webHidden/>
              </w:rPr>
            </w:r>
            <w:r w:rsidR="003F6D11">
              <w:rPr>
                <w:noProof/>
                <w:webHidden/>
              </w:rPr>
              <w:fldChar w:fldCharType="separate"/>
            </w:r>
            <w:r w:rsidR="003F6D11">
              <w:rPr>
                <w:noProof/>
                <w:webHidden/>
              </w:rPr>
              <w:t>79</w:t>
            </w:r>
            <w:r w:rsidR="003F6D11">
              <w:rPr>
                <w:noProof/>
                <w:webHidden/>
              </w:rPr>
              <w:fldChar w:fldCharType="end"/>
            </w:r>
          </w:hyperlink>
        </w:p>
        <w:p w14:paraId="2EE1A5F7" w14:textId="0B890647"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2" w:history="1">
            <w:r w:rsidR="003F6D11" w:rsidRPr="00F76F97">
              <w:rPr>
                <w:rStyle w:val="Hipercze"/>
                <w:noProof/>
              </w:rPr>
              <w:t>Zadanie 6. Udostępnienie programów integrowanej ochrony roślin</w:t>
            </w:r>
            <w:r w:rsidR="003F6D11">
              <w:rPr>
                <w:noProof/>
                <w:webHidden/>
              </w:rPr>
              <w:tab/>
            </w:r>
            <w:r w:rsidR="003F6D11">
              <w:rPr>
                <w:noProof/>
                <w:webHidden/>
              </w:rPr>
              <w:fldChar w:fldCharType="begin"/>
            </w:r>
            <w:r w:rsidR="003F6D11">
              <w:rPr>
                <w:noProof/>
                <w:webHidden/>
              </w:rPr>
              <w:instrText xml:space="preserve"> PAGEREF _Toc161744892 \h </w:instrText>
            </w:r>
            <w:r w:rsidR="003F6D11">
              <w:rPr>
                <w:noProof/>
                <w:webHidden/>
              </w:rPr>
            </w:r>
            <w:r w:rsidR="003F6D11">
              <w:rPr>
                <w:noProof/>
                <w:webHidden/>
              </w:rPr>
              <w:fldChar w:fldCharType="separate"/>
            </w:r>
            <w:r w:rsidR="003F6D11">
              <w:rPr>
                <w:noProof/>
                <w:webHidden/>
              </w:rPr>
              <w:t>81</w:t>
            </w:r>
            <w:r w:rsidR="003F6D11">
              <w:rPr>
                <w:noProof/>
                <w:webHidden/>
              </w:rPr>
              <w:fldChar w:fldCharType="end"/>
            </w:r>
          </w:hyperlink>
        </w:p>
        <w:p w14:paraId="21A8B6F8" w14:textId="5B4648A3"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3" w:history="1">
            <w:r w:rsidR="003F6D11" w:rsidRPr="00F76F97">
              <w:rPr>
                <w:rStyle w:val="Hipercze"/>
                <w:noProof/>
              </w:rPr>
              <w:t>Zadanie 7. Upowszechnianie wyników oceny prowadzonej w ramach Porejestrowego Doświadczalnictwa Odmianowego</w:t>
            </w:r>
            <w:r w:rsidR="003F6D11">
              <w:rPr>
                <w:noProof/>
                <w:webHidden/>
              </w:rPr>
              <w:tab/>
            </w:r>
            <w:r w:rsidR="003F6D11">
              <w:rPr>
                <w:noProof/>
                <w:webHidden/>
              </w:rPr>
              <w:fldChar w:fldCharType="begin"/>
            </w:r>
            <w:r w:rsidR="003F6D11">
              <w:rPr>
                <w:noProof/>
                <w:webHidden/>
              </w:rPr>
              <w:instrText xml:space="preserve"> PAGEREF _Toc161744893 \h </w:instrText>
            </w:r>
            <w:r w:rsidR="003F6D11">
              <w:rPr>
                <w:noProof/>
                <w:webHidden/>
              </w:rPr>
            </w:r>
            <w:r w:rsidR="003F6D11">
              <w:rPr>
                <w:noProof/>
                <w:webHidden/>
              </w:rPr>
              <w:fldChar w:fldCharType="separate"/>
            </w:r>
            <w:r w:rsidR="003F6D11">
              <w:rPr>
                <w:noProof/>
                <w:webHidden/>
              </w:rPr>
              <w:t>84</w:t>
            </w:r>
            <w:r w:rsidR="003F6D11">
              <w:rPr>
                <w:noProof/>
                <w:webHidden/>
              </w:rPr>
              <w:fldChar w:fldCharType="end"/>
            </w:r>
          </w:hyperlink>
        </w:p>
        <w:p w14:paraId="60801172" w14:textId="04DE4DCE"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4" w:history="1">
            <w:r w:rsidR="003F6D11" w:rsidRPr="00F76F97">
              <w:rPr>
                <w:rStyle w:val="Hipercze"/>
                <w:noProof/>
              </w:rPr>
              <w:t>Zadanie 8. Upowszechnianie systemu integrowanej produkcji roślin</w:t>
            </w:r>
            <w:r w:rsidR="003F6D11">
              <w:rPr>
                <w:noProof/>
                <w:webHidden/>
              </w:rPr>
              <w:tab/>
            </w:r>
            <w:r w:rsidR="003F6D11">
              <w:rPr>
                <w:noProof/>
                <w:webHidden/>
              </w:rPr>
              <w:fldChar w:fldCharType="begin"/>
            </w:r>
            <w:r w:rsidR="003F6D11">
              <w:rPr>
                <w:noProof/>
                <w:webHidden/>
              </w:rPr>
              <w:instrText xml:space="preserve"> PAGEREF _Toc161744894 \h </w:instrText>
            </w:r>
            <w:r w:rsidR="003F6D11">
              <w:rPr>
                <w:noProof/>
                <w:webHidden/>
              </w:rPr>
            </w:r>
            <w:r w:rsidR="003F6D11">
              <w:rPr>
                <w:noProof/>
                <w:webHidden/>
              </w:rPr>
              <w:fldChar w:fldCharType="separate"/>
            </w:r>
            <w:r w:rsidR="003F6D11">
              <w:rPr>
                <w:noProof/>
                <w:webHidden/>
              </w:rPr>
              <w:t>87</w:t>
            </w:r>
            <w:r w:rsidR="003F6D11">
              <w:rPr>
                <w:noProof/>
                <w:webHidden/>
              </w:rPr>
              <w:fldChar w:fldCharType="end"/>
            </w:r>
          </w:hyperlink>
        </w:p>
        <w:p w14:paraId="2C2A3BF3" w14:textId="0458A64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5" w:history="1">
            <w:r w:rsidR="003F6D11" w:rsidRPr="00F76F97">
              <w:rPr>
                <w:rStyle w:val="Hipercze"/>
                <w:noProof/>
              </w:rPr>
              <w:t>Zadanie 9. Prowadzenie doradztwa w ochronie roślin</w:t>
            </w:r>
            <w:r w:rsidR="003F6D11">
              <w:rPr>
                <w:noProof/>
                <w:webHidden/>
              </w:rPr>
              <w:tab/>
            </w:r>
            <w:r w:rsidR="003F6D11">
              <w:rPr>
                <w:noProof/>
                <w:webHidden/>
              </w:rPr>
              <w:fldChar w:fldCharType="begin"/>
            </w:r>
            <w:r w:rsidR="003F6D11">
              <w:rPr>
                <w:noProof/>
                <w:webHidden/>
              </w:rPr>
              <w:instrText xml:space="preserve"> PAGEREF _Toc161744895 \h </w:instrText>
            </w:r>
            <w:r w:rsidR="003F6D11">
              <w:rPr>
                <w:noProof/>
                <w:webHidden/>
              </w:rPr>
            </w:r>
            <w:r w:rsidR="003F6D11">
              <w:rPr>
                <w:noProof/>
                <w:webHidden/>
              </w:rPr>
              <w:fldChar w:fldCharType="separate"/>
            </w:r>
            <w:r w:rsidR="003F6D11">
              <w:rPr>
                <w:noProof/>
                <w:webHidden/>
              </w:rPr>
              <w:t>90</w:t>
            </w:r>
            <w:r w:rsidR="003F6D11">
              <w:rPr>
                <w:noProof/>
                <w:webHidden/>
              </w:rPr>
              <w:fldChar w:fldCharType="end"/>
            </w:r>
          </w:hyperlink>
        </w:p>
        <w:p w14:paraId="6B4AA494" w14:textId="0163B9B2"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6" w:history="1">
            <w:r w:rsidR="003F6D11" w:rsidRPr="00F76F97">
              <w:rPr>
                <w:rStyle w:val="Hipercze"/>
                <w:noProof/>
              </w:rPr>
              <w:t>Zadanie 10. Zapewnienie bezpieczeństwa owadów zapylających podczas wykonywania zabiegów ochrony roślin</w:t>
            </w:r>
            <w:r w:rsidR="003F6D11">
              <w:rPr>
                <w:noProof/>
                <w:webHidden/>
              </w:rPr>
              <w:tab/>
            </w:r>
            <w:r w:rsidR="003F6D11">
              <w:rPr>
                <w:noProof/>
                <w:webHidden/>
              </w:rPr>
              <w:fldChar w:fldCharType="begin"/>
            </w:r>
            <w:r w:rsidR="003F6D11">
              <w:rPr>
                <w:noProof/>
                <w:webHidden/>
              </w:rPr>
              <w:instrText xml:space="preserve"> PAGEREF _Toc161744896 \h </w:instrText>
            </w:r>
            <w:r w:rsidR="003F6D11">
              <w:rPr>
                <w:noProof/>
                <w:webHidden/>
              </w:rPr>
            </w:r>
            <w:r w:rsidR="003F6D11">
              <w:rPr>
                <w:noProof/>
                <w:webHidden/>
              </w:rPr>
              <w:fldChar w:fldCharType="separate"/>
            </w:r>
            <w:r w:rsidR="003F6D11">
              <w:rPr>
                <w:noProof/>
                <w:webHidden/>
              </w:rPr>
              <w:t>94</w:t>
            </w:r>
            <w:r w:rsidR="003F6D11">
              <w:rPr>
                <w:noProof/>
                <w:webHidden/>
              </w:rPr>
              <w:fldChar w:fldCharType="end"/>
            </w:r>
          </w:hyperlink>
        </w:p>
        <w:p w14:paraId="2998B0A9" w14:textId="00F9582D"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897" w:history="1">
            <w:r w:rsidR="003F6D11" w:rsidRPr="00F76F97">
              <w:rPr>
                <w:rStyle w:val="Hipercze"/>
                <w:noProof/>
              </w:rPr>
              <w:t>Zadanie 11. Monitoring odporności agrofagów na środki ochrony roślin oraz ograniczanie tego zjawiska</w:t>
            </w:r>
            <w:r w:rsidR="003F6D11">
              <w:rPr>
                <w:noProof/>
                <w:webHidden/>
              </w:rPr>
              <w:tab/>
            </w:r>
            <w:r w:rsidR="003F6D11">
              <w:rPr>
                <w:noProof/>
                <w:webHidden/>
              </w:rPr>
              <w:fldChar w:fldCharType="begin"/>
            </w:r>
            <w:r w:rsidR="003F6D11">
              <w:rPr>
                <w:noProof/>
                <w:webHidden/>
              </w:rPr>
              <w:instrText xml:space="preserve"> PAGEREF _Toc161744897 \h </w:instrText>
            </w:r>
            <w:r w:rsidR="003F6D11">
              <w:rPr>
                <w:noProof/>
                <w:webHidden/>
              </w:rPr>
            </w:r>
            <w:r w:rsidR="003F6D11">
              <w:rPr>
                <w:noProof/>
                <w:webHidden/>
              </w:rPr>
              <w:fldChar w:fldCharType="separate"/>
            </w:r>
            <w:r w:rsidR="003F6D11">
              <w:rPr>
                <w:noProof/>
                <w:webHidden/>
              </w:rPr>
              <w:t>106</w:t>
            </w:r>
            <w:r w:rsidR="003F6D11">
              <w:rPr>
                <w:noProof/>
                <w:webHidden/>
              </w:rPr>
              <w:fldChar w:fldCharType="end"/>
            </w:r>
          </w:hyperlink>
        </w:p>
        <w:p w14:paraId="61BE16A3" w14:textId="14D6AB8F"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98" w:history="1">
            <w:r w:rsidR="003F6D11" w:rsidRPr="00F76F97">
              <w:rPr>
                <w:rStyle w:val="Hipercze"/>
                <w:noProof/>
              </w:rPr>
              <w:t>10.1.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_Toc161744898 \h </w:instrText>
            </w:r>
            <w:r w:rsidR="003F6D11">
              <w:rPr>
                <w:noProof/>
                <w:webHidden/>
              </w:rPr>
            </w:r>
            <w:r w:rsidR="003F6D11">
              <w:rPr>
                <w:noProof/>
                <w:webHidden/>
              </w:rPr>
              <w:fldChar w:fldCharType="separate"/>
            </w:r>
            <w:r w:rsidR="003F6D11">
              <w:rPr>
                <w:noProof/>
                <w:webHidden/>
              </w:rPr>
              <w:t>107</w:t>
            </w:r>
            <w:r w:rsidR="003F6D11">
              <w:rPr>
                <w:noProof/>
                <w:webHidden/>
              </w:rPr>
              <w:fldChar w:fldCharType="end"/>
            </w:r>
          </w:hyperlink>
        </w:p>
        <w:p w14:paraId="547763D9" w14:textId="4C68F74C"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899" w:history="1">
            <w:r w:rsidR="003F6D11" w:rsidRPr="00F76F97">
              <w:rPr>
                <w:rStyle w:val="Hipercze"/>
                <w:noProof/>
              </w:rPr>
              <w:t>11.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11. Analiza ryzyka związanego ze stosowaniem środków ochrony roślin</w:t>
            </w:r>
            <w:r w:rsidR="003F6D11">
              <w:rPr>
                <w:noProof/>
                <w:webHidden/>
              </w:rPr>
              <w:tab/>
            </w:r>
            <w:r w:rsidR="003F6D11">
              <w:rPr>
                <w:noProof/>
                <w:webHidden/>
              </w:rPr>
              <w:fldChar w:fldCharType="begin"/>
            </w:r>
            <w:r w:rsidR="003F6D11">
              <w:rPr>
                <w:noProof/>
                <w:webHidden/>
              </w:rPr>
              <w:instrText xml:space="preserve"> PAGEREF _Toc161744899 \h </w:instrText>
            </w:r>
            <w:r w:rsidR="003F6D11">
              <w:rPr>
                <w:noProof/>
                <w:webHidden/>
              </w:rPr>
            </w:r>
            <w:r w:rsidR="003F6D11">
              <w:rPr>
                <w:noProof/>
                <w:webHidden/>
              </w:rPr>
              <w:fldChar w:fldCharType="separate"/>
            </w:r>
            <w:r w:rsidR="003F6D11">
              <w:rPr>
                <w:noProof/>
                <w:webHidden/>
              </w:rPr>
              <w:t>107</w:t>
            </w:r>
            <w:r w:rsidR="003F6D11">
              <w:rPr>
                <w:noProof/>
                <w:webHidden/>
              </w:rPr>
              <w:fldChar w:fldCharType="end"/>
            </w:r>
          </w:hyperlink>
        </w:p>
        <w:p w14:paraId="033E669C" w14:textId="4C73B031"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900" w:history="1">
            <w:r w:rsidR="003F6D11" w:rsidRPr="00F76F97">
              <w:rPr>
                <w:rStyle w:val="Hipercze"/>
                <w:noProof/>
              </w:rPr>
              <w:t>Zadanie 1. Badania statystyczne dotyczące środków ochrony roślin</w:t>
            </w:r>
            <w:r w:rsidR="003F6D11">
              <w:rPr>
                <w:noProof/>
                <w:webHidden/>
              </w:rPr>
              <w:tab/>
            </w:r>
            <w:r w:rsidR="003F6D11">
              <w:rPr>
                <w:noProof/>
                <w:webHidden/>
              </w:rPr>
              <w:fldChar w:fldCharType="begin"/>
            </w:r>
            <w:r w:rsidR="003F6D11">
              <w:rPr>
                <w:noProof/>
                <w:webHidden/>
              </w:rPr>
              <w:instrText xml:space="preserve"> PAGEREF _Toc161744900 \h </w:instrText>
            </w:r>
            <w:r w:rsidR="003F6D11">
              <w:rPr>
                <w:noProof/>
                <w:webHidden/>
              </w:rPr>
            </w:r>
            <w:r w:rsidR="003F6D11">
              <w:rPr>
                <w:noProof/>
                <w:webHidden/>
              </w:rPr>
              <w:fldChar w:fldCharType="separate"/>
            </w:r>
            <w:r w:rsidR="003F6D11">
              <w:rPr>
                <w:noProof/>
                <w:webHidden/>
              </w:rPr>
              <w:t>107</w:t>
            </w:r>
            <w:r w:rsidR="003F6D11">
              <w:rPr>
                <w:noProof/>
                <w:webHidden/>
              </w:rPr>
              <w:fldChar w:fldCharType="end"/>
            </w:r>
          </w:hyperlink>
        </w:p>
        <w:p w14:paraId="0BF31BEF" w14:textId="25FEAEA3"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1" w:history="1">
            <w:r w:rsidR="003F6D11" w:rsidRPr="00F76F97">
              <w:rPr>
                <w:rStyle w:val="Hipercze"/>
                <w:noProof/>
              </w:rPr>
              <w:t>Podzadanie 1. Prowadzenie badań statystycznych sprzedaży środków ochrony roślin</w:t>
            </w:r>
            <w:r w:rsidR="003F6D11">
              <w:rPr>
                <w:noProof/>
                <w:webHidden/>
              </w:rPr>
              <w:tab/>
            </w:r>
            <w:r w:rsidR="003F6D11">
              <w:rPr>
                <w:noProof/>
                <w:webHidden/>
              </w:rPr>
              <w:fldChar w:fldCharType="begin"/>
            </w:r>
            <w:r w:rsidR="003F6D11">
              <w:rPr>
                <w:noProof/>
                <w:webHidden/>
              </w:rPr>
              <w:instrText xml:space="preserve"> PAGEREF _Toc161744901 \h </w:instrText>
            </w:r>
            <w:r w:rsidR="003F6D11">
              <w:rPr>
                <w:noProof/>
                <w:webHidden/>
              </w:rPr>
            </w:r>
            <w:r w:rsidR="003F6D11">
              <w:rPr>
                <w:noProof/>
                <w:webHidden/>
              </w:rPr>
              <w:fldChar w:fldCharType="separate"/>
            </w:r>
            <w:r w:rsidR="003F6D11">
              <w:rPr>
                <w:noProof/>
                <w:webHidden/>
              </w:rPr>
              <w:t>107</w:t>
            </w:r>
            <w:r w:rsidR="003F6D11">
              <w:rPr>
                <w:noProof/>
                <w:webHidden/>
              </w:rPr>
              <w:fldChar w:fldCharType="end"/>
            </w:r>
          </w:hyperlink>
        </w:p>
        <w:p w14:paraId="08834837" w14:textId="7F81D1BB"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2" w:history="1">
            <w:r w:rsidR="003F6D11" w:rsidRPr="00F76F97">
              <w:rPr>
                <w:rStyle w:val="Hipercze"/>
                <w:noProof/>
              </w:rPr>
              <w:t>Podzadanie 2. Prowadzenie badań statystycznych zużycia środków ochrony roślin</w:t>
            </w:r>
            <w:r w:rsidR="003F6D11">
              <w:rPr>
                <w:noProof/>
                <w:webHidden/>
              </w:rPr>
              <w:tab/>
            </w:r>
            <w:r w:rsidR="003F6D11">
              <w:rPr>
                <w:noProof/>
                <w:webHidden/>
              </w:rPr>
              <w:fldChar w:fldCharType="begin"/>
            </w:r>
            <w:r w:rsidR="003F6D11">
              <w:rPr>
                <w:noProof/>
                <w:webHidden/>
              </w:rPr>
              <w:instrText xml:space="preserve"> PAGEREF _Toc161744902 \h </w:instrText>
            </w:r>
            <w:r w:rsidR="003F6D11">
              <w:rPr>
                <w:noProof/>
                <w:webHidden/>
              </w:rPr>
            </w:r>
            <w:r w:rsidR="003F6D11">
              <w:rPr>
                <w:noProof/>
                <w:webHidden/>
              </w:rPr>
              <w:fldChar w:fldCharType="separate"/>
            </w:r>
            <w:r w:rsidR="003F6D11">
              <w:rPr>
                <w:noProof/>
                <w:webHidden/>
              </w:rPr>
              <w:t>110</w:t>
            </w:r>
            <w:r w:rsidR="003F6D11">
              <w:rPr>
                <w:noProof/>
                <w:webHidden/>
              </w:rPr>
              <w:fldChar w:fldCharType="end"/>
            </w:r>
          </w:hyperlink>
        </w:p>
        <w:p w14:paraId="2F762CC8" w14:textId="4B7C77B0"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3" w:history="1">
            <w:r w:rsidR="003F6D11" w:rsidRPr="00F76F97">
              <w:rPr>
                <w:rStyle w:val="Hipercze"/>
                <w:noProof/>
              </w:rPr>
              <w:t>Podzadanie 3. Prowadzenie badań dotyczących integrowanej ochrony roślin</w:t>
            </w:r>
            <w:r w:rsidR="003F6D11">
              <w:rPr>
                <w:noProof/>
                <w:webHidden/>
              </w:rPr>
              <w:tab/>
            </w:r>
            <w:r w:rsidR="003F6D11">
              <w:rPr>
                <w:noProof/>
                <w:webHidden/>
              </w:rPr>
              <w:fldChar w:fldCharType="begin"/>
            </w:r>
            <w:r w:rsidR="003F6D11">
              <w:rPr>
                <w:noProof/>
                <w:webHidden/>
              </w:rPr>
              <w:instrText xml:space="preserve"> PAGEREF _Toc161744903 \h </w:instrText>
            </w:r>
            <w:r w:rsidR="003F6D11">
              <w:rPr>
                <w:noProof/>
                <w:webHidden/>
              </w:rPr>
            </w:r>
            <w:r w:rsidR="003F6D11">
              <w:rPr>
                <w:noProof/>
                <w:webHidden/>
              </w:rPr>
              <w:fldChar w:fldCharType="separate"/>
            </w:r>
            <w:r w:rsidR="003F6D11">
              <w:rPr>
                <w:noProof/>
                <w:webHidden/>
              </w:rPr>
              <w:t>113</w:t>
            </w:r>
            <w:r w:rsidR="003F6D11">
              <w:rPr>
                <w:noProof/>
                <w:webHidden/>
              </w:rPr>
              <w:fldChar w:fldCharType="end"/>
            </w:r>
          </w:hyperlink>
        </w:p>
        <w:p w14:paraId="63A0B1D3" w14:textId="042BF983"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904" w:history="1">
            <w:r w:rsidR="003F6D11" w:rsidRPr="00F76F97">
              <w:rPr>
                <w:rStyle w:val="Hipercze"/>
                <w:noProof/>
              </w:rPr>
              <w:t>Zadanie 2. Kontrole i monitoringi dotyczące środków ochrony roślin</w:t>
            </w:r>
            <w:r w:rsidR="003F6D11">
              <w:rPr>
                <w:noProof/>
                <w:webHidden/>
              </w:rPr>
              <w:tab/>
            </w:r>
            <w:r w:rsidR="003F6D11">
              <w:rPr>
                <w:noProof/>
                <w:webHidden/>
              </w:rPr>
              <w:fldChar w:fldCharType="begin"/>
            </w:r>
            <w:r w:rsidR="003F6D11">
              <w:rPr>
                <w:noProof/>
                <w:webHidden/>
              </w:rPr>
              <w:instrText xml:space="preserve"> PAGEREF _Toc161744904 \h </w:instrText>
            </w:r>
            <w:r w:rsidR="003F6D11">
              <w:rPr>
                <w:noProof/>
                <w:webHidden/>
              </w:rPr>
            </w:r>
            <w:r w:rsidR="003F6D11">
              <w:rPr>
                <w:noProof/>
                <w:webHidden/>
              </w:rPr>
              <w:fldChar w:fldCharType="separate"/>
            </w:r>
            <w:r w:rsidR="003F6D11">
              <w:rPr>
                <w:noProof/>
                <w:webHidden/>
              </w:rPr>
              <w:t>114</w:t>
            </w:r>
            <w:r w:rsidR="003F6D11">
              <w:rPr>
                <w:noProof/>
                <w:webHidden/>
              </w:rPr>
              <w:fldChar w:fldCharType="end"/>
            </w:r>
          </w:hyperlink>
        </w:p>
        <w:p w14:paraId="26D2D54E" w14:textId="0622AC50"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5" w:history="1">
            <w:r w:rsidR="003F6D11" w:rsidRPr="00F76F97">
              <w:rPr>
                <w:rStyle w:val="Hipercze"/>
                <w:noProof/>
              </w:rPr>
              <w:t>Podzadanie 1. Kontrola żywności pochodzenia roślinnego na obecność pozostałości środkami ochrony roślin</w:t>
            </w:r>
            <w:r w:rsidR="003F6D11">
              <w:rPr>
                <w:noProof/>
                <w:webHidden/>
              </w:rPr>
              <w:tab/>
            </w:r>
            <w:r w:rsidR="003F6D11">
              <w:rPr>
                <w:noProof/>
                <w:webHidden/>
              </w:rPr>
              <w:fldChar w:fldCharType="begin"/>
            </w:r>
            <w:r w:rsidR="003F6D11">
              <w:rPr>
                <w:noProof/>
                <w:webHidden/>
              </w:rPr>
              <w:instrText xml:space="preserve"> PAGEREF _Toc161744905 \h </w:instrText>
            </w:r>
            <w:r w:rsidR="003F6D11">
              <w:rPr>
                <w:noProof/>
                <w:webHidden/>
              </w:rPr>
            </w:r>
            <w:r w:rsidR="003F6D11">
              <w:rPr>
                <w:noProof/>
                <w:webHidden/>
              </w:rPr>
              <w:fldChar w:fldCharType="separate"/>
            </w:r>
            <w:r w:rsidR="003F6D11">
              <w:rPr>
                <w:noProof/>
                <w:webHidden/>
              </w:rPr>
              <w:t>114</w:t>
            </w:r>
            <w:r w:rsidR="003F6D11">
              <w:rPr>
                <w:noProof/>
                <w:webHidden/>
              </w:rPr>
              <w:fldChar w:fldCharType="end"/>
            </w:r>
          </w:hyperlink>
        </w:p>
        <w:p w14:paraId="014DC929" w14:textId="53CC71BA"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6" w:history="1">
            <w:r w:rsidR="003F6D11" w:rsidRPr="00F76F97">
              <w:rPr>
                <w:rStyle w:val="Hipercze"/>
                <w:noProof/>
              </w:rPr>
              <w:t>Podzadanie 2. Kontrola pasz na obecność pozostałości środków ochrony roślin</w:t>
            </w:r>
            <w:r w:rsidR="003F6D11">
              <w:rPr>
                <w:noProof/>
                <w:webHidden/>
              </w:rPr>
              <w:tab/>
            </w:r>
            <w:r w:rsidR="003F6D11">
              <w:rPr>
                <w:noProof/>
                <w:webHidden/>
              </w:rPr>
              <w:fldChar w:fldCharType="begin"/>
            </w:r>
            <w:r w:rsidR="003F6D11">
              <w:rPr>
                <w:noProof/>
                <w:webHidden/>
              </w:rPr>
              <w:instrText xml:space="preserve"> PAGEREF _Toc161744906 \h </w:instrText>
            </w:r>
            <w:r w:rsidR="003F6D11">
              <w:rPr>
                <w:noProof/>
                <w:webHidden/>
              </w:rPr>
            </w:r>
            <w:r w:rsidR="003F6D11">
              <w:rPr>
                <w:noProof/>
                <w:webHidden/>
              </w:rPr>
              <w:fldChar w:fldCharType="separate"/>
            </w:r>
            <w:r w:rsidR="003F6D11">
              <w:rPr>
                <w:noProof/>
                <w:webHidden/>
              </w:rPr>
              <w:t>119</w:t>
            </w:r>
            <w:r w:rsidR="003F6D11">
              <w:rPr>
                <w:noProof/>
                <w:webHidden/>
              </w:rPr>
              <w:fldChar w:fldCharType="end"/>
            </w:r>
          </w:hyperlink>
        </w:p>
        <w:p w14:paraId="202AE9BC" w14:textId="6098A137" w:rsidR="003F6D11" w:rsidRDefault="00550533">
          <w:pPr>
            <w:pStyle w:val="Spistreci3"/>
            <w:rPr>
              <w:rFonts w:asciiTheme="minorHAnsi" w:eastAsiaTheme="minorEastAsia" w:hAnsiTheme="minorHAnsi" w:cstheme="minorBidi"/>
              <w:iCs w:val="0"/>
              <w:noProof/>
              <w:kern w:val="2"/>
              <w:sz w:val="24"/>
              <w:szCs w:val="24"/>
              <w14:ligatures w14:val="standardContextual"/>
            </w:rPr>
          </w:pPr>
          <w:hyperlink w:anchor="_Toc161744907" w:history="1">
            <w:r w:rsidR="003F6D11" w:rsidRPr="00F76F97">
              <w:rPr>
                <w:rStyle w:val="Hipercze"/>
                <w:noProof/>
              </w:rPr>
              <w:t>Podzadanie 3. Kontrola żywności pochodzenia zwierzęcego na obecność pozostałości środków ochrony roślin</w:t>
            </w:r>
            <w:r w:rsidR="003F6D11">
              <w:rPr>
                <w:noProof/>
                <w:webHidden/>
              </w:rPr>
              <w:tab/>
            </w:r>
            <w:r w:rsidR="003F6D11">
              <w:rPr>
                <w:noProof/>
                <w:webHidden/>
              </w:rPr>
              <w:fldChar w:fldCharType="begin"/>
            </w:r>
            <w:r w:rsidR="003F6D11">
              <w:rPr>
                <w:noProof/>
                <w:webHidden/>
              </w:rPr>
              <w:instrText xml:space="preserve"> PAGEREF _Toc161744907 \h </w:instrText>
            </w:r>
            <w:r w:rsidR="003F6D11">
              <w:rPr>
                <w:noProof/>
                <w:webHidden/>
              </w:rPr>
            </w:r>
            <w:r w:rsidR="003F6D11">
              <w:rPr>
                <w:noProof/>
                <w:webHidden/>
              </w:rPr>
              <w:fldChar w:fldCharType="separate"/>
            </w:r>
            <w:r w:rsidR="003F6D11">
              <w:rPr>
                <w:noProof/>
                <w:webHidden/>
              </w:rPr>
              <w:t>121</w:t>
            </w:r>
            <w:r w:rsidR="003F6D11">
              <w:rPr>
                <w:noProof/>
                <w:webHidden/>
              </w:rPr>
              <w:fldChar w:fldCharType="end"/>
            </w:r>
          </w:hyperlink>
        </w:p>
        <w:p w14:paraId="2955A1D9" w14:textId="6097A52D" w:rsidR="003F6D11" w:rsidRDefault="00550533">
          <w:pPr>
            <w:pStyle w:val="Spistreci2"/>
            <w:rPr>
              <w:rFonts w:asciiTheme="minorHAnsi" w:eastAsiaTheme="minorEastAsia" w:hAnsiTheme="minorHAnsi" w:cstheme="minorBidi"/>
              <w:smallCaps w:val="0"/>
              <w:noProof/>
              <w:kern w:val="2"/>
              <w:sz w:val="24"/>
              <w:szCs w:val="24"/>
              <w14:ligatures w14:val="standardContextual"/>
            </w:rPr>
          </w:pPr>
          <w:hyperlink w:anchor="_Toc161744908" w:history="1">
            <w:r w:rsidR="003F6D11" w:rsidRPr="00F76F97">
              <w:rPr>
                <w:rStyle w:val="Hipercze"/>
                <w:noProof/>
              </w:rPr>
              <w:t>Zadanie 3. Opracowanie wskaźników oraz analiza ryzyka związanego ze stosowaniem środków ochrony roślin</w:t>
            </w:r>
            <w:r w:rsidR="003F6D11">
              <w:rPr>
                <w:noProof/>
                <w:webHidden/>
              </w:rPr>
              <w:tab/>
            </w:r>
            <w:r w:rsidR="003F6D11">
              <w:rPr>
                <w:noProof/>
                <w:webHidden/>
              </w:rPr>
              <w:fldChar w:fldCharType="begin"/>
            </w:r>
            <w:r w:rsidR="003F6D11">
              <w:rPr>
                <w:noProof/>
                <w:webHidden/>
              </w:rPr>
              <w:instrText xml:space="preserve"> PAGEREF _Toc161744908 \h </w:instrText>
            </w:r>
            <w:r w:rsidR="003F6D11">
              <w:rPr>
                <w:noProof/>
                <w:webHidden/>
              </w:rPr>
            </w:r>
            <w:r w:rsidR="003F6D11">
              <w:rPr>
                <w:noProof/>
                <w:webHidden/>
              </w:rPr>
              <w:fldChar w:fldCharType="separate"/>
            </w:r>
            <w:r w:rsidR="003F6D11">
              <w:rPr>
                <w:noProof/>
                <w:webHidden/>
              </w:rPr>
              <w:t>122</w:t>
            </w:r>
            <w:r w:rsidR="003F6D11">
              <w:rPr>
                <w:noProof/>
                <w:webHidden/>
              </w:rPr>
              <w:fldChar w:fldCharType="end"/>
            </w:r>
          </w:hyperlink>
        </w:p>
        <w:p w14:paraId="552ECAEC" w14:textId="01004991"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09" w:history="1">
            <w:r w:rsidR="003F6D11" w:rsidRPr="00F76F97">
              <w:rPr>
                <w:rStyle w:val="Hipercze"/>
                <w:noProof/>
              </w:rPr>
              <w:t>11.1.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_Toc161744909 \h </w:instrText>
            </w:r>
            <w:r w:rsidR="003F6D11">
              <w:rPr>
                <w:noProof/>
                <w:webHidden/>
              </w:rPr>
            </w:r>
            <w:r w:rsidR="003F6D11">
              <w:rPr>
                <w:noProof/>
                <w:webHidden/>
              </w:rPr>
              <w:fldChar w:fldCharType="separate"/>
            </w:r>
            <w:r w:rsidR="003F6D11">
              <w:rPr>
                <w:noProof/>
                <w:webHidden/>
              </w:rPr>
              <w:t>123</w:t>
            </w:r>
            <w:r w:rsidR="003F6D11">
              <w:rPr>
                <w:noProof/>
                <w:webHidden/>
              </w:rPr>
              <w:fldChar w:fldCharType="end"/>
            </w:r>
          </w:hyperlink>
        </w:p>
        <w:p w14:paraId="7F2BB40F" w14:textId="781EFDDE"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10" w:history="1">
            <w:r w:rsidR="003F6D11" w:rsidRPr="00F76F97">
              <w:rPr>
                <w:rStyle w:val="Hipercze"/>
                <w:noProof/>
              </w:rPr>
              <w:t>12.</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12. Utrzymanie efektywnego nadzoru nad obrotem i stosowaniem środków ochrony roślin</w:t>
            </w:r>
            <w:r w:rsidR="003F6D11">
              <w:rPr>
                <w:noProof/>
                <w:webHidden/>
              </w:rPr>
              <w:tab/>
            </w:r>
            <w:r w:rsidR="003F6D11">
              <w:rPr>
                <w:noProof/>
                <w:webHidden/>
              </w:rPr>
              <w:fldChar w:fldCharType="begin"/>
            </w:r>
            <w:r w:rsidR="003F6D11">
              <w:rPr>
                <w:noProof/>
                <w:webHidden/>
              </w:rPr>
              <w:instrText xml:space="preserve"> PAGEREF _Toc161744910 \h </w:instrText>
            </w:r>
            <w:r w:rsidR="003F6D11">
              <w:rPr>
                <w:noProof/>
                <w:webHidden/>
              </w:rPr>
            </w:r>
            <w:r w:rsidR="003F6D11">
              <w:rPr>
                <w:noProof/>
                <w:webHidden/>
              </w:rPr>
              <w:fldChar w:fldCharType="separate"/>
            </w:r>
            <w:r w:rsidR="003F6D11">
              <w:rPr>
                <w:noProof/>
                <w:webHidden/>
              </w:rPr>
              <w:t>123</w:t>
            </w:r>
            <w:r w:rsidR="003F6D11">
              <w:rPr>
                <w:noProof/>
                <w:webHidden/>
              </w:rPr>
              <w:fldChar w:fldCharType="end"/>
            </w:r>
          </w:hyperlink>
        </w:p>
        <w:p w14:paraId="4AA79065" w14:textId="1266E88C"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11" w:history="1">
            <w:r w:rsidR="003F6D11" w:rsidRPr="00F76F97">
              <w:rPr>
                <w:rStyle w:val="Hipercze"/>
                <w:noProof/>
              </w:rPr>
              <w:t>12.1.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_Toc161744911 \h </w:instrText>
            </w:r>
            <w:r w:rsidR="003F6D11">
              <w:rPr>
                <w:noProof/>
                <w:webHidden/>
              </w:rPr>
            </w:r>
            <w:r w:rsidR="003F6D11">
              <w:rPr>
                <w:noProof/>
                <w:webHidden/>
              </w:rPr>
              <w:fldChar w:fldCharType="separate"/>
            </w:r>
            <w:r w:rsidR="003F6D11">
              <w:rPr>
                <w:noProof/>
                <w:webHidden/>
              </w:rPr>
              <w:t>131</w:t>
            </w:r>
            <w:r w:rsidR="003F6D11">
              <w:rPr>
                <w:noProof/>
                <w:webHidden/>
              </w:rPr>
              <w:fldChar w:fldCharType="end"/>
            </w:r>
          </w:hyperlink>
        </w:p>
        <w:p w14:paraId="195B50BB" w14:textId="288FC12F"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12" w:history="1">
            <w:r w:rsidR="003F6D11" w:rsidRPr="00F76F97">
              <w:rPr>
                <w:rStyle w:val="Hipercze"/>
                <w:noProof/>
              </w:rPr>
              <w:t>13.</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Działanie 13. Optymalizacja ochrony upraw małoobszarowych i ekologicznych</w:t>
            </w:r>
            <w:r w:rsidR="003F6D11">
              <w:rPr>
                <w:noProof/>
                <w:webHidden/>
              </w:rPr>
              <w:tab/>
            </w:r>
            <w:r w:rsidR="003F6D11">
              <w:rPr>
                <w:noProof/>
                <w:webHidden/>
              </w:rPr>
              <w:fldChar w:fldCharType="begin"/>
            </w:r>
            <w:r w:rsidR="003F6D11">
              <w:rPr>
                <w:noProof/>
                <w:webHidden/>
              </w:rPr>
              <w:instrText xml:space="preserve"> PAGEREF _Toc161744912 \h </w:instrText>
            </w:r>
            <w:r w:rsidR="003F6D11">
              <w:rPr>
                <w:noProof/>
                <w:webHidden/>
              </w:rPr>
            </w:r>
            <w:r w:rsidR="003F6D11">
              <w:rPr>
                <w:noProof/>
                <w:webHidden/>
              </w:rPr>
              <w:fldChar w:fldCharType="separate"/>
            </w:r>
            <w:r w:rsidR="003F6D11">
              <w:rPr>
                <w:noProof/>
                <w:webHidden/>
              </w:rPr>
              <w:t>131</w:t>
            </w:r>
            <w:r w:rsidR="003F6D11">
              <w:rPr>
                <w:noProof/>
                <w:webHidden/>
              </w:rPr>
              <w:fldChar w:fldCharType="end"/>
            </w:r>
          </w:hyperlink>
        </w:p>
        <w:p w14:paraId="5F34C7D6" w14:textId="1535D457"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13" w:history="1">
            <w:r w:rsidR="003F6D11" w:rsidRPr="00F76F97">
              <w:rPr>
                <w:rStyle w:val="Hipercze"/>
                <w:noProof/>
              </w:rPr>
              <w:t>13.1.</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Mierniki służące monitorowaniu</w:t>
            </w:r>
            <w:r w:rsidR="003F6D11">
              <w:rPr>
                <w:noProof/>
                <w:webHidden/>
              </w:rPr>
              <w:tab/>
            </w:r>
            <w:r w:rsidR="003F6D11">
              <w:rPr>
                <w:noProof/>
                <w:webHidden/>
              </w:rPr>
              <w:fldChar w:fldCharType="begin"/>
            </w:r>
            <w:r w:rsidR="003F6D11">
              <w:rPr>
                <w:noProof/>
                <w:webHidden/>
              </w:rPr>
              <w:instrText xml:space="preserve"> PAGEREF _Toc161744913 \h </w:instrText>
            </w:r>
            <w:r w:rsidR="003F6D11">
              <w:rPr>
                <w:noProof/>
                <w:webHidden/>
              </w:rPr>
            </w:r>
            <w:r w:rsidR="003F6D11">
              <w:rPr>
                <w:noProof/>
                <w:webHidden/>
              </w:rPr>
              <w:fldChar w:fldCharType="separate"/>
            </w:r>
            <w:r w:rsidR="003F6D11">
              <w:rPr>
                <w:noProof/>
                <w:webHidden/>
              </w:rPr>
              <w:t>139</w:t>
            </w:r>
            <w:r w:rsidR="003F6D11">
              <w:rPr>
                <w:noProof/>
                <w:webHidden/>
              </w:rPr>
              <w:fldChar w:fldCharType="end"/>
            </w:r>
          </w:hyperlink>
        </w:p>
        <w:p w14:paraId="06E33589" w14:textId="0D90C214" w:rsidR="003F6D11" w:rsidRDefault="00550533">
          <w:pPr>
            <w:pStyle w:val="Spistreci1"/>
            <w:rPr>
              <w:rFonts w:asciiTheme="minorHAnsi" w:eastAsiaTheme="minorEastAsia" w:hAnsiTheme="minorHAnsi" w:cstheme="minorBidi"/>
              <w:b w:val="0"/>
              <w:bCs w:val="0"/>
              <w:caps w:val="0"/>
              <w:noProof/>
              <w:kern w:val="2"/>
              <w:sz w:val="24"/>
              <w:szCs w:val="24"/>
              <w14:ligatures w14:val="standardContextual"/>
            </w:rPr>
          </w:pPr>
          <w:hyperlink w:anchor="_Toc161744914" w:history="1">
            <w:r w:rsidR="003F6D11" w:rsidRPr="00F76F97">
              <w:rPr>
                <w:rStyle w:val="Hipercze"/>
                <w:noProof/>
              </w:rPr>
              <w:t>14.</w:t>
            </w:r>
            <w:r w:rsidR="003F6D11">
              <w:rPr>
                <w:rFonts w:asciiTheme="minorHAnsi" w:eastAsiaTheme="minorEastAsia" w:hAnsiTheme="minorHAnsi" w:cstheme="minorBidi"/>
                <w:b w:val="0"/>
                <w:bCs w:val="0"/>
                <w:caps w:val="0"/>
                <w:noProof/>
                <w:kern w:val="2"/>
                <w:sz w:val="24"/>
                <w:szCs w:val="24"/>
                <w14:ligatures w14:val="standardContextual"/>
              </w:rPr>
              <w:tab/>
            </w:r>
            <w:r w:rsidR="003F6D11" w:rsidRPr="00F76F97">
              <w:rPr>
                <w:rStyle w:val="Hipercze"/>
                <w:noProof/>
              </w:rPr>
              <w:t>KOMPLEKSOWA OCENA W ZAKRESIE KRAJOWEGO BEZPIECZEŃSTWA PESTYCYDOWEGO W OPARCIU O KRAJOWE WSKAŹNIKI RYZYKA PESTYCYDOWEGO ORAZ ZHARMONIZOWANY WSKAŹNIK RYZYKA HRI-1 DLA POLSKI</w:t>
            </w:r>
            <w:r w:rsidR="003F6D11">
              <w:rPr>
                <w:noProof/>
                <w:webHidden/>
              </w:rPr>
              <w:tab/>
            </w:r>
            <w:r w:rsidR="003F6D11">
              <w:rPr>
                <w:noProof/>
                <w:webHidden/>
              </w:rPr>
              <w:fldChar w:fldCharType="begin"/>
            </w:r>
            <w:r w:rsidR="003F6D11">
              <w:rPr>
                <w:noProof/>
                <w:webHidden/>
              </w:rPr>
              <w:instrText xml:space="preserve"> PAGEREF _Toc161744914 \h </w:instrText>
            </w:r>
            <w:r w:rsidR="003F6D11">
              <w:rPr>
                <w:noProof/>
                <w:webHidden/>
              </w:rPr>
            </w:r>
            <w:r w:rsidR="003F6D11">
              <w:rPr>
                <w:noProof/>
                <w:webHidden/>
              </w:rPr>
              <w:fldChar w:fldCharType="separate"/>
            </w:r>
            <w:r w:rsidR="003F6D11">
              <w:rPr>
                <w:noProof/>
                <w:webHidden/>
              </w:rPr>
              <w:t>140</w:t>
            </w:r>
            <w:r w:rsidR="003F6D11">
              <w:rPr>
                <w:noProof/>
                <w:webHidden/>
              </w:rPr>
              <w:fldChar w:fldCharType="end"/>
            </w:r>
          </w:hyperlink>
        </w:p>
        <w:p w14:paraId="21FD24EA" w14:textId="5589859C" w:rsidR="00056846" w:rsidRPr="00925BCD" w:rsidRDefault="00E54725" w:rsidP="006D308F">
          <w:pPr>
            <w:pStyle w:val="Spistreci1"/>
            <w:rPr>
              <w:rFonts w:asciiTheme="minorHAnsi" w:eastAsiaTheme="minorEastAsia" w:hAnsiTheme="minorHAnsi" w:cstheme="minorBidi"/>
              <w:sz w:val="22"/>
              <w:szCs w:val="22"/>
            </w:rPr>
          </w:pPr>
          <w:r w:rsidRPr="00925BCD">
            <w:rPr>
              <w:rStyle w:val="czeindeksu"/>
            </w:rPr>
            <w:fldChar w:fldCharType="end"/>
          </w:r>
        </w:p>
      </w:sdtContent>
    </w:sdt>
    <w:p w14:paraId="077DEF6A" w14:textId="77777777" w:rsidR="00056846" w:rsidRPr="00925BCD" w:rsidRDefault="00056846" w:rsidP="006D308F">
      <w:pPr>
        <w:pStyle w:val="Spistreci1"/>
        <w:rPr>
          <w:rFonts w:eastAsiaTheme="minorEastAsia"/>
        </w:rPr>
      </w:pPr>
    </w:p>
    <w:p w14:paraId="05567726" w14:textId="77777777" w:rsidR="00056846" w:rsidRPr="00925BCD" w:rsidRDefault="00056846">
      <w:pPr>
        <w:spacing w:after="60"/>
        <w:jc w:val="both"/>
        <w:rPr>
          <w:rFonts w:ascii="Arial" w:hAnsi="Arial" w:cs="Arial"/>
          <w:caps/>
        </w:rPr>
      </w:pPr>
    </w:p>
    <w:p w14:paraId="6125A4C6" w14:textId="77777777" w:rsidR="00056846" w:rsidRPr="00925BCD" w:rsidRDefault="00E54725">
      <w:pPr>
        <w:rPr>
          <w:rFonts w:ascii="Arial" w:hAnsi="Arial" w:cs="Arial"/>
          <w:caps/>
        </w:rPr>
      </w:pPr>
      <w:r w:rsidRPr="00925BCD">
        <w:br w:type="page"/>
      </w:r>
    </w:p>
    <w:p w14:paraId="7C2F3411" w14:textId="77777777" w:rsidR="00056846" w:rsidRPr="00925BCD" w:rsidRDefault="00E54725">
      <w:pPr>
        <w:pStyle w:val="Nagwek1"/>
        <w:spacing w:before="0"/>
        <w:rPr>
          <w:i w:val="0"/>
          <w:sz w:val="24"/>
          <w:szCs w:val="24"/>
        </w:rPr>
      </w:pPr>
      <w:bookmarkStart w:id="0" w:name="_Toc161744858"/>
      <w:r w:rsidRPr="00925BCD">
        <w:rPr>
          <w:i w:val="0"/>
          <w:sz w:val="24"/>
          <w:szCs w:val="24"/>
        </w:rPr>
        <w:lastRenderedPageBreak/>
        <w:t>Wstęp</w:t>
      </w:r>
      <w:bookmarkEnd w:id="0"/>
    </w:p>
    <w:p w14:paraId="39ED5ED8"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Krajowy plan działania na rzecz ograniczenia ryzyka związanego ze stosowaniem środków ochrony roślin, zwany dalej „krajowym planem działania”, stanowi wykonanie zobowiązań wynikających z postanowień dyrektywy Parlamentu Europejskiego i Rady 2009/128/WE z dnia 21 października 2009 r. ustanawiającej ramy wspólnotowego działania na rzecz zrównoważonego stosowania pestycydów (Dz. Urz. UE L 309 z 24.11.2009, str. 71, z późn. zm.). </w:t>
      </w:r>
    </w:p>
    <w:p w14:paraId="625C693F"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Polsce pierwszy krajowy plan działania został przyjęty w dniu 6 maja 2013 r. i ogłoszony w dniu 18 czerwca 2013 r. w Dzienniku Urzędowym Rzeczypospolitej Polskiej „Monitor Polski” pod poz. 536. </w:t>
      </w:r>
    </w:p>
    <w:p w14:paraId="43CD02D7" w14:textId="12568D44" w:rsidR="00AF15C5" w:rsidRPr="000779DC" w:rsidRDefault="00E54725" w:rsidP="00AF15C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Stosownie do przepisów art. 47 ust. 6 pkt 2 ustawy z dnia 8 marca 2013 r. o środkach ochrony roślin, minister właściwy do spraw rolnictwa został zobowiązany do dokonania przeglądu krajowego planu działania w odstępach czasu nie dłuższych niż 5 lat. Tym samym w dniu 11 lipca 2018 r. </w:t>
      </w:r>
      <w:r w:rsidR="005E3114" w:rsidRPr="00925BCD">
        <w:rPr>
          <w:rFonts w:ascii="Arial" w:hAnsi="Arial" w:cs="Arial"/>
        </w:rPr>
        <w:t>przyjęty</w:t>
      </w:r>
      <w:r w:rsidR="00B1043B" w:rsidRPr="00925BCD">
        <w:rPr>
          <w:rFonts w:ascii="Arial" w:hAnsi="Arial" w:cs="Arial"/>
        </w:rPr>
        <w:t xml:space="preserve"> </w:t>
      </w:r>
      <w:r w:rsidRPr="00925BCD">
        <w:rPr>
          <w:rFonts w:ascii="Arial" w:hAnsi="Arial" w:cs="Arial"/>
        </w:rPr>
        <w:t>został Krajowy plan działania na rzecz ograniczenia ryzyka związanego ze stosowaniem środków ochrony roślin na lata 2018-2022</w:t>
      </w:r>
      <w:r w:rsidR="00B1043B" w:rsidRPr="00925BCD">
        <w:rPr>
          <w:rFonts w:ascii="Arial" w:hAnsi="Arial" w:cs="Arial"/>
        </w:rPr>
        <w:t xml:space="preserve">, </w:t>
      </w:r>
      <w:r w:rsidRPr="00925BCD">
        <w:rPr>
          <w:rFonts w:ascii="Arial" w:hAnsi="Arial" w:cs="Arial"/>
        </w:rPr>
        <w:t>ogłoszony w Dzienniku Urzędowym Rzeczypospolitej Polskiej „Monitor Polski” pod poz. 723</w:t>
      </w:r>
      <w:r w:rsidR="00AF15C5">
        <w:rPr>
          <w:rFonts w:ascii="Arial" w:hAnsi="Arial" w:cs="Arial"/>
        </w:rPr>
        <w:t xml:space="preserve">. </w:t>
      </w:r>
      <w:r w:rsidR="00AF15C5" w:rsidRPr="000779DC">
        <w:rPr>
          <w:rFonts w:ascii="Arial" w:hAnsi="Arial" w:cs="Arial"/>
        </w:rPr>
        <w:t xml:space="preserve">W 2020 r. obwieszczeniem </w:t>
      </w:r>
      <w:r w:rsidR="00EF6867" w:rsidRPr="000779DC">
        <w:rPr>
          <w:rFonts w:ascii="Arial" w:hAnsi="Arial" w:cs="Arial"/>
        </w:rPr>
        <w:t>Ministra Rolnictwa i Rozwoju Wsi z dnia 16 sty</w:t>
      </w:r>
      <w:r w:rsidR="002B1A37" w:rsidRPr="000779DC">
        <w:rPr>
          <w:rFonts w:ascii="Arial" w:hAnsi="Arial" w:cs="Arial"/>
        </w:rPr>
        <w:t xml:space="preserve">cznia 2020 r. </w:t>
      </w:r>
      <w:r w:rsidR="00AF15C5" w:rsidRPr="000779DC">
        <w:rPr>
          <w:rFonts w:ascii="Arial" w:hAnsi="Arial" w:cs="Arial"/>
        </w:rPr>
        <w:t xml:space="preserve">w sprawie zmiany krajowego planu działania na rzecz ograniczenia ryzyka związanego ze stosowaniem środków ochrony roślin na lata 2018.2022 </w:t>
      </w:r>
      <w:r w:rsidR="00B54D9A" w:rsidRPr="000779DC">
        <w:rPr>
          <w:rFonts w:ascii="Arial" w:hAnsi="Arial" w:cs="Arial"/>
        </w:rPr>
        <w:t xml:space="preserve">(M. P. </w:t>
      </w:r>
      <w:r w:rsidR="007B14E6" w:rsidRPr="000779DC">
        <w:rPr>
          <w:rFonts w:ascii="Arial" w:hAnsi="Arial" w:cs="Arial"/>
        </w:rPr>
        <w:t xml:space="preserve">poz. 99) </w:t>
      </w:r>
      <w:r w:rsidR="00043DFB" w:rsidRPr="000779DC">
        <w:rPr>
          <w:rFonts w:ascii="Arial" w:hAnsi="Arial" w:cs="Arial"/>
        </w:rPr>
        <w:t xml:space="preserve">dodano zapis </w:t>
      </w:r>
      <w:r w:rsidR="00AF15C5" w:rsidRPr="000779DC">
        <w:rPr>
          <w:rFonts w:ascii="Arial" w:hAnsi="Arial" w:cs="Arial"/>
        </w:rPr>
        <w:t xml:space="preserve">"W celu analizy ryzyka związanego ze stosowaniem środków ochrony roślin wykorzystywane będą także zharmonizowane wskaźniki ryzyka określone w załączniku IV do dyrektywy 2009/128/WE. Na ich podstawie, zgodnie </w:t>
      </w:r>
      <w:r w:rsidR="00C33599" w:rsidRPr="000779DC">
        <w:rPr>
          <w:rFonts w:ascii="Arial" w:hAnsi="Arial" w:cs="Arial"/>
        </w:rPr>
        <w:t>z</w:t>
      </w:r>
      <w:r w:rsidR="00C33599">
        <w:rPr>
          <w:rFonts w:ascii="Arial" w:hAnsi="Arial" w:cs="Arial"/>
        </w:rPr>
        <w:t> </w:t>
      </w:r>
      <w:r w:rsidR="00AF15C5" w:rsidRPr="000779DC">
        <w:rPr>
          <w:rFonts w:ascii="Arial" w:hAnsi="Arial" w:cs="Arial"/>
        </w:rPr>
        <w:t>art. 15 ust. 2 dyrektywy 2009/128/WE, będą określane tendencje w zakresie stosowania substancji czynnych mających szczególne znaczenie dla ryzyka związanego ze stosowaniem środków ochrony roślin oraz kwestie priorytetowe w tym obszarze. Informacje o tych tendencjach oraz kwestiach priorytetowych, a także wartości obliczonych zharmonizowanych wskaźników ryzyka będą przekazywane do publicznej wiadomości przez ich udostępnienie na stronie internetowej Ministerstwa Rolnictwa i Rozwoju Wsi.".</w:t>
      </w:r>
    </w:p>
    <w:p w14:paraId="0532B0B4" w14:textId="062671B8" w:rsidR="00CC078F"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Kluczowym celem dla Polski w związku z realizacją krajowego planu działania </w:t>
      </w:r>
      <w:r w:rsidR="006D3081">
        <w:rPr>
          <w:rFonts w:ascii="Arial" w:hAnsi="Arial" w:cs="Arial"/>
        </w:rPr>
        <w:t>było</w:t>
      </w:r>
      <w:r w:rsidRPr="00925BCD">
        <w:rPr>
          <w:rFonts w:ascii="Arial" w:hAnsi="Arial" w:cs="Arial"/>
        </w:rPr>
        <w:t>, podobnie jak w latach 2013</w:t>
      </w:r>
      <w:r w:rsidR="00226753" w:rsidRPr="00772A61">
        <w:rPr>
          <w:rFonts w:ascii="Arial" w:hAnsi="Arial" w:cs="Arial"/>
        </w:rPr>
        <w:t>–</w:t>
      </w:r>
      <w:r w:rsidRPr="00925BCD">
        <w:rPr>
          <w:rFonts w:ascii="Arial" w:hAnsi="Arial" w:cs="Arial"/>
        </w:rPr>
        <w:t>2017, upowszechnienie ogólnych zasad integrowanej ochrony roślin oraz zapobieganie zagrożeniom związanym ze stosowaniem środków ochrony roślin. Wdrożenie zasad integrowanej ochrony roślin, w szczególności przez promowanie niechemicznych metod ochrony, prowadzi bowiem do zmniejszenia zależności produkcji roślinnej od preparatów chemicznych i w efekcie ogranicza ryzyko związane z ich użyciem – zarówno dla konsumentów płodów rolnych, osób wykonujących zabiegi, jak i środowiska.</w:t>
      </w:r>
    </w:p>
    <w:p w14:paraId="3C4B88BF" w14:textId="744434E3"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monitorowania realizacji celów krajowego planu działania, w tym wyniki oceny ryzyka związanego ze stosowaniem środków ochrony roślin, minister właściwy do spraw rolnictwa udostępnia corocznie na stronie internetowej administrowanej przez obsługujący go urząd. Poniższe opracowanie stanowi </w:t>
      </w:r>
      <w:r w:rsidR="00710238">
        <w:rPr>
          <w:rFonts w:ascii="Arial" w:hAnsi="Arial" w:cs="Arial"/>
        </w:rPr>
        <w:t>piąte</w:t>
      </w:r>
      <w:r w:rsidR="00E270F0" w:rsidRPr="00925BCD">
        <w:rPr>
          <w:rFonts w:ascii="Arial" w:hAnsi="Arial" w:cs="Arial"/>
        </w:rPr>
        <w:t xml:space="preserve"> </w:t>
      </w:r>
      <w:r w:rsidR="00D440D0">
        <w:rPr>
          <w:rFonts w:ascii="Arial" w:hAnsi="Arial" w:cs="Arial"/>
        </w:rPr>
        <w:t xml:space="preserve">(całościowe) </w:t>
      </w:r>
      <w:r w:rsidRPr="00925BCD">
        <w:rPr>
          <w:rFonts w:ascii="Arial" w:hAnsi="Arial" w:cs="Arial"/>
        </w:rPr>
        <w:t>sprawozdanie z realizacji drugiego krajowego planu działania</w:t>
      </w:r>
      <w:r w:rsidR="00C06C30" w:rsidRPr="00925BCD">
        <w:rPr>
          <w:rFonts w:ascii="Arial" w:hAnsi="Arial" w:cs="Arial"/>
        </w:rPr>
        <w:t>, obejmujące lata 2018–20</w:t>
      </w:r>
      <w:r w:rsidR="00F13B50">
        <w:rPr>
          <w:rFonts w:ascii="Arial" w:hAnsi="Arial" w:cs="Arial"/>
        </w:rPr>
        <w:t>2</w:t>
      </w:r>
      <w:r w:rsidR="003465E3">
        <w:rPr>
          <w:rFonts w:ascii="Arial" w:hAnsi="Arial" w:cs="Arial"/>
        </w:rPr>
        <w:t>2</w:t>
      </w:r>
      <w:r w:rsidRPr="00925BCD">
        <w:rPr>
          <w:rFonts w:ascii="Arial" w:hAnsi="Arial" w:cs="Arial"/>
        </w:rPr>
        <w:t>.</w:t>
      </w:r>
    </w:p>
    <w:p w14:paraId="38C9EA11" w14:textId="77777777" w:rsidR="00C06C30" w:rsidRPr="00925BCD" w:rsidRDefault="00C06C30" w:rsidP="00C06C30">
      <w:pPr>
        <w:pStyle w:val="NormalnyWeb"/>
        <w:tabs>
          <w:tab w:val="left" w:pos="284"/>
        </w:tabs>
        <w:spacing w:beforeAutospacing="0" w:after="120" w:afterAutospacing="0" w:line="360" w:lineRule="auto"/>
        <w:ind w:firstLine="284"/>
        <w:jc w:val="both"/>
        <w:rPr>
          <w:rFonts w:ascii="Arial" w:hAnsi="Arial" w:cs="Arial"/>
        </w:rPr>
      </w:pPr>
    </w:p>
    <w:p w14:paraId="3525707C" w14:textId="77777777" w:rsidR="00056846" w:rsidRPr="00925BCD" w:rsidRDefault="00E54725" w:rsidP="00C06C30">
      <w:pPr>
        <w:spacing w:after="120" w:line="360" w:lineRule="auto"/>
        <w:rPr>
          <w:rFonts w:ascii="Arial" w:hAnsi="Arial" w:cs="Arial"/>
        </w:rPr>
      </w:pPr>
      <w:r w:rsidRPr="00925BCD">
        <w:br w:type="page"/>
      </w:r>
    </w:p>
    <w:p w14:paraId="78590482" w14:textId="77777777" w:rsidR="00056846" w:rsidRPr="00925BCD" w:rsidRDefault="00E54725">
      <w:pPr>
        <w:pStyle w:val="Nagwek1"/>
        <w:numPr>
          <w:ilvl w:val="3"/>
          <w:numId w:val="2"/>
        </w:numPr>
        <w:tabs>
          <w:tab w:val="left" w:pos="2552"/>
        </w:tabs>
        <w:ind w:left="284" w:hanging="426"/>
        <w:jc w:val="both"/>
        <w:rPr>
          <w:i w:val="0"/>
          <w:sz w:val="22"/>
          <w:szCs w:val="22"/>
        </w:rPr>
      </w:pPr>
      <w:bookmarkStart w:id="1" w:name="_Toc161744859"/>
      <w:r w:rsidRPr="00925BCD">
        <w:rPr>
          <w:i w:val="0"/>
          <w:sz w:val="22"/>
          <w:szCs w:val="22"/>
        </w:rPr>
        <w:lastRenderedPageBreak/>
        <w:t>Działanie 1. Szkolenia w zakresie środków ochrony roślin</w:t>
      </w:r>
      <w:bookmarkEnd w:id="1"/>
    </w:p>
    <w:p w14:paraId="0A0EE9AA" w14:textId="4FCB35D5"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Prowadzenie systemu obowiązkowych szkoleń pod nadzorem Państwowej Inspekcji Ochrony Roślin i Nasiennictwa dla osób wykonujących zabiegi środkami ochrony roślin jest kluczowym elementem ograniczania ryzyka związanego ze stosowaniem tych środków dla zdrowia ludzi, bezpieczeństwa żywności oraz ochrony środowiska, w szczególności w odniesieniu do ochrony organizmów niebędących celem zwalczania (np. owadów zapylających) i środowiska wodnego. Działanie to służy osiągnięciu celów określonych w art. 5 dyrektywy 2009/128/WE.</w:t>
      </w:r>
    </w:p>
    <w:p w14:paraId="7926CABD" w14:textId="01C0169B"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41 ustawy z dnia 8 marca 2013 r. o środkach ochrony roślin, wykonywanie zabiegów z zastosowaniem środków ochrony roślin przeznaczonych dla użytkowników profesjonalnych jest możliwe po ukończeniu specjalistycznego szkolenia. Tak więc, wszelkie zabiegi środkami ochrony roślin przeznaczonymi dla użytkowników profesjonalnych, w tym prowadzone </w:t>
      </w:r>
      <w:r w:rsidR="00D041C0">
        <w:rPr>
          <w:rFonts w:ascii="Arial" w:hAnsi="Arial" w:cs="Arial"/>
        </w:rPr>
        <w:t xml:space="preserve">poza rolnictwem - </w:t>
      </w:r>
      <w:r w:rsidRPr="00925BCD">
        <w:rPr>
          <w:rFonts w:ascii="Arial" w:hAnsi="Arial" w:cs="Arial"/>
        </w:rPr>
        <w:t xml:space="preserve">na obszarach zieleni miejskiej, w kolejnictwie oraz w pomieszczeniach magazynowych, mogą być wykonywane jedynie przez osoby odpowiednio przeszkolone. </w:t>
      </w:r>
    </w:p>
    <w:p w14:paraId="603CA666" w14:textId="6BEB4C65"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Specjalistyczne szkolenie muszą odbyć również osoby dokonujące sprzedaży środków ochrony roślin. Zgodnie z art. 25 ustawy z dnia 8 marca 2013 r. o środkach ochrony roślin przedsiębiorca wykonujący działalność gospodarczą w zakresie wprowadzania środków ochrony roślin do obrotu powinien zapewnić, aby osoby takie ukończyły stosowne szkolenie oraz aby udzielały nabywcy środków ochrony roślin, na jego żądanie, informacji dotyczących zagrożeń </w:t>
      </w:r>
      <w:r w:rsidR="00B1043B" w:rsidRPr="00925BCD">
        <w:rPr>
          <w:rFonts w:ascii="Arial" w:hAnsi="Arial" w:cs="Arial"/>
        </w:rPr>
        <w:t xml:space="preserve">stwarzanych przez te preparaty </w:t>
      </w:r>
      <w:r w:rsidRPr="00925BCD">
        <w:rPr>
          <w:rFonts w:ascii="Arial" w:hAnsi="Arial" w:cs="Arial"/>
        </w:rPr>
        <w:t>oraz prawidłowego i</w:t>
      </w:r>
      <w:r w:rsidR="00F0409D">
        <w:rPr>
          <w:rFonts w:ascii="Arial" w:hAnsi="Arial" w:cs="Arial"/>
        </w:rPr>
        <w:t xml:space="preserve"> </w:t>
      </w:r>
      <w:r w:rsidRPr="00925BCD">
        <w:rPr>
          <w:rFonts w:ascii="Arial" w:hAnsi="Arial" w:cs="Arial"/>
        </w:rPr>
        <w:t xml:space="preserve">bezpiecznego </w:t>
      </w:r>
      <w:r w:rsidR="00B1043B" w:rsidRPr="00925BCD">
        <w:rPr>
          <w:rFonts w:ascii="Arial" w:hAnsi="Arial" w:cs="Arial"/>
        </w:rPr>
        <w:t xml:space="preserve">ich </w:t>
      </w:r>
      <w:r w:rsidRPr="00925BCD">
        <w:rPr>
          <w:rFonts w:ascii="Arial" w:hAnsi="Arial" w:cs="Arial"/>
        </w:rPr>
        <w:t>stosowania. Osoby te mają bowiem bezpośredni wpływ na zachowania użytkowników środków ochrony roślin, a</w:t>
      </w:r>
      <w:r w:rsidR="00382079">
        <w:rPr>
          <w:rFonts w:ascii="Arial" w:hAnsi="Arial" w:cs="Arial"/>
        </w:rPr>
        <w:t xml:space="preserve"> </w:t>
      </w:r>
      <w:r w:rsidRPr="00925BCD">
        <w:rPr>
          <w:rFonts w:ascii="Arial" w:hAnsi="Arial" w:cs="Arial"/>
        </w:rPr>
        <w:t>przekazywana przez nich wiedza powinna efektywnie przyczyniać się do ograniczania zagrożeń powstających w trakcie transportu, przechowywania i stosowania środków ochrony roślin.</w:t>
      </w:r>
    </w:p>
    <w:p w14:paraId="11C88D12"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zgodnie z art. 42 ustawy z dnia 8 marca 2013 r. o środkach ochrony roślin, obowiązkowymi szkoleniami zostali objęci również doradcy profesjonalnie zajmujący się udzielaniem wskazówek w zakresie ochrony roślin, w tym w ramach prowadzonej działalności marketingowej. </w:t>
      </w:r>
    </w:p>
    <w:p w14:paraId="55D8A23C" w14:textId="12DE0FFF"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Szczegółowe wymagania dotyczące organizacji </w:t>
      </w:r>
      <w:r w:rsidR="006D3081" w:rsidRPr="00925BCD">
        <w:rPr>
          <w:rFonts w:ascii="Arial" w:hAnsi="Arial" w:cs="Arial"/>
        </w:rPr>
        <w:t xml:space="preserve">szkoleń </w:t>
      </w:r>
      <w:r w:rsidRPr="00925BCD">
        <w:rPr>
          <w:rFonts w:ascii="Arial" w:hAnsi="Arial" w:cs="Arial"/>
        </w:rPr>
        <w:t xml:space="preserve">oraz </w:t>
      </w:r>
      <w:r w:rsidR="006D3081">
        <w:rPr>
          <w:rFonts w:ascii="Arial" w:hAnsi="Arial" w:cs="Arial"/>
        </w:rPr>
        <w:t xml:space="preserve">ich </w:t>
      </w:r>
      <w:r w:rsidRPr="00925BCD">
        <w:rPr>
          <w:rFonts w:ascii="Arial" w:hAnsi="Arial" w:cs="Arial"/>
        </w:rPr>
        <w:t>programy zostały uregulowane w rozporządzeniu Ministra Rolnictwa i Rozwoju Wsi z dnia 8 maja 2013 r. w sprawie szkoleń w zakresie środków ochrony roślin (Dz. U.</w:t>
      </w:r>
      <w:r w:rsidR="00D55B55">
        <w:rPr>
          <w:rFonts w:ascii="Arial" w:hAnsi="Arial" w:cs="Arial"/>
        </w:rPr>
        <w:t xml:space="preserve"> z 2022 r.</w:t>
      </w:r>
      <w:r w:rsidR="005D390A">
        <w:rPr>
          <w:rFonts w:ascii="Arial" w:hAnsi="Arial" w:cs="Arial"/>
        </w:rPr>
        <w:t xml:space="preserve"> </w:t>
      </w:r>
      <w:r w:rsidRPr="00925BCD">
        <w:rPr>
          <w:rFonts w:ascii="Arial" w:hAnsi="Arial" w:cs="Arial"/>
        </w:rPr>
        <w:t xml:space="preserve">poz. </w:t>
      </w:r>
      <w:r w:rsidR="005D390A">
        <w:rPr>
          <w:rFonts w:ascii="Arial" w:hAnsi="Arial" w:cs="Arial"/>
        </w:rPr>
        <w:t>824</w:t>
      </w:r>
      <w:r w:rsidRPr="00925BCD">
        <w:rPr>
          <w:rFonts w:ascii="Arial" w:hAnsi="Arial" w:cs="Arial"/>
        </w:rPr>
        <w:t>). Programy szkoleń obejmują ogólne zasady integrowanej ochrony roślin oraz sposoby ograniczania ryzyka związanego ze stosowaniem środków ochrony roślin, w tym ryzyka dla środowiska wodnego. Duży nacisk w programach szkoleń został położony także na zagadnienia związane z ochroną organizmów pożytecznych, w tym zapylaczy. Szkolenia obejmują także aspekty właściwego przechowywania środków ochrony roślin oraz postępowania z opakowaniami po tych środkach. Odrębne programy zostały przy tym określone dla szkoleń podstawowych i</w:t>
      </w:r>
      <w:r w:rsidR="0019255B">
        <w:rPr>
          <w:rFonts w:ascii="Arial" w:hAnsi="Arial" w:cs="Arial"/>
        </w:rPr>
        <w:t xml:space="preserve"> </w:t>
      </w:r>
      <w:r w:rsidRPr="00925BCD">
        <w:rPr>
          <w:rFonts w:ascii="Arial" w:hAnsi="Arial" w:cs="Arial"/>
        </w:rPr>
        <w:t>uzupełniających dla osób, które ukończyły już szkolenia podstawowe. Szkolenia należy powtarzać co 5 lat.</w:t>
      </w:r>
      <w:r w:rsidRPr="00925BCD">
        <w:t xml:space="preserve"> </w:t>
      </w:r>
      <w:r w:rsidRPr="00925BCD">
        <w:rPr>
          <w:rFonts w:ascii="Arial" w:hAnsi="Arial" w:cs="Arial"/>
        </w:rPr>
        <w:t>Tym samym zrealizowane zostały obowiązki dotyczące ustanowienia systemu szkoleń, jakie nałożyła na Polskę dyrektywa 2009/128/WE.</w:t>
      </w:r>
    </w:p>
    <w:p w14:paraId="72D4C890" w14:textId="7A2FBACB" w:rsidR="00E270F0" w:rsidRPr="00925BCD"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rejestrów prowadzonych przez wojewódzkich inspektorów ochrony roślin i nasiennictwa na koniec grudnia 2018 r. liczba jednostek prowadzących szkolenia w zakresie środków ochrony roślin </w:t>
      </w:r>
      <w:r w:rsidRPr="00925BCD">
        <w:rPr>
          <w:rFonts w:ascii="Arial" w:hAnsi="Arial" w:cs="Arial"/>
        </w:rPr>
        <w:lastRenderedPageBreak/>
        <w:t xml:space="preserve">wynosiła 379, 2019 r. – 388, </w:t>
      </w:r>
      <w:r w:rsidR="00772A61">
        <w:rPr>
          <w:rFonts w:ascii="Arial" w:hAnsi="Arial" w:cs="Arial"/>
        </w:rPr>
        <w:t xml:space="preserve">2020 r. </w:t>
      </w:r>
      <w:bookmarkStart w:id="2" w:name="_Hlk92720844"/>
      <w:r w:rsidR="00772A61" w:rsidRPr="00772A61">
        <w:rPr>
          <w:rFonts w:ascii="Arial" w:hAnsi="Arial" w:cs="Arial"/>
        </w:rPr>
        <w:t>–</w:t>
      </w:r>
      <w:bookmarkEnd w:id="2"/>
      <w:r w:rsidR="00772A61">
        <w:rPr>
          <w:rFonts w:ascii="Arial" w:hAnsi="Arial" w:cs="Arial"/>
        </w:rPr>
        <w:t xml:space="preserve"> 392, </w:t>
      </w:r>
      <w:r w:rsidR="00027EA4">
        <w:rPr>
          <w:rFonts w:ascii="Arial" w:hAnsi="Arial" w:cs="Arial"/>
        </w:rPr>
        <w:t xml:space="preserve">w 2021 r. </w:t>
      </w:r>
      <w:r w:rsidR="00F420B2" w:rsidRPr="00F420B2">
        <w:rPr>
          <w:rFonts w:ascii="Arial" w:hAnsi="Arial" w:cs="Arial"/>
        </w:rPr>
        <w:t xml:space="preserve">– </w:t>
      </w:r>
      <w:r w:rsidR="00027EA4">
        <w:rPr>
          <w:rFonts w:ascii="Arial" w:hAnsi="Arial" w:cs="Arial"/>
        </w:rPr>
        <w:t xml:space="preserve">406, </w:t>
      </w:r>
      <w:r w:rsidR="00F420B2">
        <w:rPr>
          <w:rFonts w:ascii="Arial" w:hAnsi="Arial" w:cs="Arial"/>
        </w:rPr>
        <w:t xml:space="preserve">a w 2022 </w:t>
      </w:r>
      <w:r w:rsidR="0093323C">
        <w:rPr>
          <w:rFonts w:ascii="Arial" w:hAnsi="Arial" w:cs="Arial"/>
        </w:rPr>
        <w:t xml:space="preserve">r. </w:t>
      </w:r>
      <w:r w:rsidR="003C2DAF">
        <w:rPr>
          <w:rFonts w:ascii="Arial" w:hAnsi="Arial" w:cs="Arial"/>
        </w:rPr>
        <w:t>zmalała do 3</w:t>
      </w:r>
      <w:r w:rsidR="000822BD">
        <w:rPr>
          <w:rFonts w:ascii="Arial" w:hAnsi="Arial" w:cs="Arial"/>
        </w:rPr>
        <w:t>98</w:t>
      </w:r>
      <w:r w:rsidR="003C2DAF">
        <w:rPr>
          <w:rFonts w:ascii="Arial" w:hAnsi="Arial" w:cs="Arial"/>
        </w:rPr>
        <w:t xml:space="preserve">, </w:t>
      </w:r>
      <w:r w:rsidRPr="00925BCD">
        <w:rPr>
          <w:rFonts w:ascii="Arial" w:hAnsi="Arial" w:cs="Arial"/>
        </w:rPr>
        <w:t>przy czym należy zaznaczyć, że jedna jednostka mogła prowadzić szkolenia w kilku zakresach. Najwięcej jednostek, bo odpowiednio 354</w:t>
      </w:r>
      <w:r w:rsidR="00772A61">
        <w:rPr>
          <w:rFonts w:ascii="Arial" w:hAnsi="Arial" w:cs="Arial"/>
        </w:rPr>
        <w:t>,</w:t>
      </w:r>
      <w:r w:rsidRPr="00925BCD">
        <w:rPr>
          <w:rFonts w:ascii="Arial" w:hAnsi="Arial" w:cs="Arial"/>
        </w:rPr>
        <w:t xml:space="preserve"> 365</w:t>
      </w:r>
      <w:r w:rsidR="00027EA4">
        <w:rPr>
          <w:rFonts w:ascii="Arial" w:hAnsi="Arial" w:cs="Arial"/>
        </w:rPr>
        <w:t>,</w:t>
      </w:r>
      <w:r w:rsidR="00772A61">
        <w:rPr>
          <w:rFonts w:ascii="Arial" w:hAnsi="Arial" w:cs="Arial"/>
        </w:rPr>
        <w:t xml:space="preserve"> 369</w:t>
      </w:r>
      <w:r w:rsidR="003A0A06">
        <w:rPr>
          <w:rFonts w:ascii="Arial" w:hAnsi="Arial" w:cs="Arial"/>
        </w:rPr>
        <w:t>,</w:t>
      </w:r>
      <w:r w:rsidR="00027EA4">
        <w:rPr>
          <w:rFonts w:ascii="Arial" w:hAnsi="Arial" w:cs="Arial"/>
        </w:rPr>
        <w:t xml:space="preserve"> 370</w:t>
      </w:r>
      <w:r w:rsidR="003A0A06">
        <w:rPr>
          <w:rFonts w:ascii="Arial" w:hAnsi="Arial" w:cs="Arial"/>
        </w:rPr>
        <w:t xml:space="preserve"> i </w:t>
      </w:r>
      <w:r w:rsidR="00221B6E">
        <w:rPr>
          <w:rFonts w:ascii="Arial" w:hAnsi="Arial" w:cs="Arial"/>
        </w:rPr>
        <w:t>378</w:t>
      </w:r>
      <w:r w:rsidRPr="00925BCD">
        <w:rPr>
          <w:rFonts w:ascii="Arial" w:hAnsi="Arial" w:cs="Arial"/>
        </w:rPr>
        <w:t>, upoważnionych było do prowadzenia szkoleń w</w:t>
      </w:r>
      <w:r w:rsidR="00221B6E">
        <w:rPr>
          <w:rFonts w:ascii="Arial" w:hAnsi="Arial" w:cs="Arial"/>
        </w:rPr>
        <w:t> </w:t>
      </w:r>
      <w:r w:rsidRPr="00925BCD">
        <w:rPr>
          <w:rFonts w:ascii="Arial" w:hAnsi="Arial" w:cs="Arial"/>
        </w:rPr>
        <w:t>zakresie stosowania środków ochrony roślin sprzętem naziemnym z</w:t>
      </w:r>
      <w:r w:rsidR="00C06C30" w:rsidRPr="00925BCD">
        <w:rPr>
          <w:rFonts w:ascii="Arial" w:hAnsi="Arial" w:cs="Arial"/>
        </w:rPr>
        <w:t> </w:t>
      </w:r>
      <w:r w:rsidRPr="00925BCD">
        <w:rPr>
          <w:rFonts w:ascii="Arial" w:hAnsi="Arial" w:cs="Arial"/>
        </w:rPr>
        <w:t xml:space="preserve">wyłączeniem sprzętu montowanego na pojazdach szynowych oraz innego </w:t>
      </w:r>
      <w:r w:rsidR="00D041C0">
        <w:rPr>
          <w:rFonts w:ascii="Arial" w:hAnsi="Arial" w:cs="Arial"/>
        </w:rPr>
        <w:t xml:space="preserve">sprzętu </w:t>
      </w:r>
      <w:r w:rsidRPr="00925BCD">
        <w:rPr>
          <w:rFonts w:ascii="Arial" w:hAnsi="Arial" w:cs="Arial"/>
        </w:rPr>
        <w:t>stosowanego w</w:t>
      </w:r>
      <w:r w:rsidR="00C06C30" w:rsidRPr="00925BCD">
        <w:rPr>
          <w:rFonts w:ascii="Arial" w:hAnsi="Arial" w:cs="Arial"/>
        </w:rPr>
        <w:t> </w:t>
      </w:r>
      <w:r w:rsidRPr="00925BCD">
        <w:rPr>
          <w:rFonts w:ascii="Arial" w:hAnsi="Arial" w:cs="Arial"/>
        </w:rPr>
        <w:t>kolejnictwie.</w:t>
      </w:r>
    </w:p>
    <w:p w14:paraId="681F2450" w14:textId="3C24B9E1" w:rsidR="00E270F0"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w:t>
      </w:r>
      <w:r w:rsidR="007A75E5">
        <w:rPr>
          <w:rFonts w:ascii="Arial" w:hAnsi="Arial" w:cs="Arial"/>
        </w:rPr>
        <w:t> </w:t>
      </w:r>
      <w:r w:rsidRPr="00925BCD">
        <w:rPr>
          <w:rFonts w:ascii="Arial" w:hAnsi="Arial" w:cs="Arial"/>
        </w:rPr>
        <w:t>r. przeprowadzono ogółem 3</w:t>
      </w:r>
      <w:r w:rsidR="00455EEA">
        <w:rPr>
          <w:rFonts w:ascii="Arial" w:hAnsi="Arial" w:cs="Arial"/>
        </w:rPr>
        <w:t> </w:t>
      </w:r>
      <w:r w:rsidRPr="00925BCD">
        <w:rPr>
          <w:rFonts w:ascii="Arial" w:hAnsi="Arial" w:cs="Arial"/>
        </w:rPr>
        <w:t>266 szkoleń dla 76</w:t>
      </w:r>
      <w:r w:rsidR="00455EEA">
        <w:rPr>
          <w:rFonts w:ascii="Arial" w:hAnsi="Arial" w:cs="Arial"/>
        </w:rPr>
        <w:t> </w:t>
      </w:r>
      <w:r w:rsidRPr="00925BCD">
        <w:rPr>
          <w:rFonts w:ascii="Arial" w:hAnsi="Arial" w:cs="Arial"/>
        </w:rPr>
        <w:t>723 osób, natomiast w 2019</w:t>
      </w:r>
      <w:r w:rsidR="00A82E96">
        <w:rPr>
          <w:rFonts w:ascii="Arial" w:hAnsi="Arial" w:cs="Arial"/>
        </w:rPr>
        <w:t> </w:t>
      </w:r>
      <w:r w:rsidRPr="00925BCD">
        <w:rPr>
          <w:rFonts w:ascii="Arial" w:hAnsi="Arial" w:cs="Arial"/>
        </w:rPr>
        <w:t>r. przeprowadzono ogółem 3</w:t>
      </w:r>
      <w:r w:rsidR="00DB0CBE">
        <w:rPr>
          <w:rFonts w:ascii="Arial" w:hAnsi="Arial" w:cs="Arial"/>
        </w:rPr>
        <w:t> </w:t>
      </w:r>
      <w:r w:rsidRPr="00925BCD">
        <w:rPr>
          <w:rFonts w:ascii="Arial" w:hAnsi="Arial" w:cs="Arial"/>
        </w:rPr>
        <w:t>936 szkoleń dla 93</w:t>
      </w:r>
      <w:r w:rsidR="007A75E5">
        <w:rPr>
          <w:rFonts w:ascii="Arial" w:hAnsi="Arial" w:cs="Arial"/>
        </w:rPr>
        <w:t> </w:t>
      </w:r>
      <w:r w:rsidRPr="00925BCD">
        <w:rPr>
          <w:rFonts w:ascii="Arial" w:hAnsi="Arial" w:cs="Arial"/>
        </w:rPr>
        <w:t>905 osób. W porównaniu do 2018</w:t>
      </w:r>
      <w:r w:rsidR="007A75E5">
        <w:rPr>
          <w:rFonts w:ascii="Arial" w:hAnsi="Arial" w:cs="Arial"/>
        </w:rPr>
        <w:t> </w:t>
      </w:r>
      <w:r w:rsidRPr="00925BCD">
        <w:rPr>
          <w:rFonts w:ascii="Arial" w:hAnsi="Arial" w:cs="Arial"/>
        </w:rPr>
        <w:t>r. liczba osób przeszkolonych wzrosła o 22,3%.</w:t>
      </w:r>
      <w:r w:rsidR="00B1043B" w:rsidRPr="00925BCD">
        <w:rPr>
          <w:rFonts w:ascii="Arial" w:hAnsi="Arial" w:cs="Arial"/>
        </w:rPr>
        <w:t xml:space="preserve"> W dużej mierze związane jest to z koniecznością powtarzania szkoleń w 5-letnich odstępach czasu – dane wieloletnie pokazują tu stalą prawidłowość </w:t>
      </w:r>
      <w:bookmarkStart w:id="3" w:name="_Hlk118108294"/>
      <w:r w:rsidR="00B1043B" w:rsidRPr="00925BCD">
        <w:rPr>
          <w:rFonts w:ascii="Arial" w:hAnsi="Arial" w:cs="Arial"/>
        </w:rPr>
        <w:t>–</w:t>
      </w:r>
      <w:bookmarkEnd w:id="3"/>
      <w:r w:rsidR="00B1043B" w:rsidRPr="00925BCD">
        <w:rPr>
          <w:rFonts w:ascii="Arial" w:hAnsi="Arial" w:cs="Arial"/>
        </w:rPr>
        <w:t xml:space="preserve"> w pięcioletnich okresach </w:t>
      </w:r>
      <w:r w:rsidR="00BE6ED0" w:rsidRPr="00925BCD">
        <w:rPr>
          <w:rFonts w:ascii="Arial" w:hAnsi="Arial" w:cs="Arial"/>
        </w:rPr>
        <w:t>czasu</w:t>
      </w:r>
      <w:r w:rsidR="00B1043B" w:rsidRPr="00925BCD">
        <w:rPr>
          <w:rFonts w:ascii="Arial" w:hAnsi="Arial" w:cs="Arial"/>
        </w:rPr>
        <w:t xml:space="preserve"> powtarzają się lata o większej i mniejszej liczbie przeszkolonych </w:t>
      </w:r>
      <w:r w:rsidR="00BE6ED0" w:rsidRPr="00925BCD">
        <w:rPr>
          <w:rFonts w:ascii="Arial" w:hAnsi="Arial" w:cs="Arial"/>
        </w:rPr>
        <w:t>osób</w:t>
      </w:r>
      <w:r w:rsidR="00B1043B" w:rsidRPr="00925BCD">
        <w:rPr>
          <w:rFonts w:ascii="Arial" w:hAnsi="Arial" w:cs="Arial"/>
        </w:rPr>
        <w:t xml:space="preserve">. </w:t>
      </w:r>
      <w:r w:rsidR="00BE6ED0" w:rsidRPr="00925BCD">
        <w:rPr>
          <w:rFonts w:ascii="Arial" w:hAnsi="Arial" w:cs="Arial"/>
        </w:rPr>
        <w:t>Potwierdza</w:t>
      </w:r>
      <w:r w:rsidR="00B1043B" w:rsidRPr="00925BCD">
        <w:rPr>
          <w:rFonts w:ascii="Arial" w:hAnsi="Arial" w:cs="Arial"/>
        </w:rPr>
        <w:t xml:space="preserve"> to stałą tendencję u osób </w:t>
      </w:r>
      <w:r w:rsidR="00BE6ED0" w:rsidRPr="00925BCD">
        <w:rPr>
          <w:rFonts w:ascii="Arial" w:hAnsi="Arial" w:cs="Arial"/>
        </w:rPr>
        <w:t>przeszkolonych</w:t>
      </w:r>
      <w:r w:rsidR="00B1043B" w:rsidRPr="00925BCD">
        <w:rPr>
          <w:rFonts w:ascii="Arial" w:hAnsi="Arial" w:cs="Arial"/>
        </w:rPr>
        <w:t xml:space="preserve"> do </w:t>
      </w:r>
      <w:r w:rsidR="00BE6ED0" w:rsidRPr="00925BCD">
        <w:rPr>
          <w:rFonts w:ascii="Arial" w:hAnsi="Arial" w:cs="Arial"/>
        </w:rPr>
        <w:t>uczestniczenia w szkoleniach uzupełniających</w:t>
      </w:r>
      <w:r w:rsidR="00B1043B" w:rsidRPr="00925BCD">
        <w:rPr>
          <w:rFonts w:ascii="Arial" w:hAnsi="Arial" w:cs="Arial"/>
        </w:rPr>
        <w:t xml:space="preserve">. </w:t>
      </w:r>
    </w:p>
    <w:p w14:paraId="324705EB" w14:textId="3D85AADF" w:rsidR="00772A61" w:rsidRDefault="00772A61" w:rsidP="00772A61">
      <w:pPr>
        <w:pStyle w:val="NormalnyWeb"/>
        <w:tabs>
          <w:tab w:val="left" w:pos="284"/>
        </w:tabs>
        <w:spacing w:beforeAutospacing="0" w:after="120" w:afterAutospacing="0" w:line="360" w:lineRule="auto"/>
        <w:ind w:firstLine="284"/>
        <w:jc w:val="both"/>
        <w:rPr>
          <w:rFonts w:ascii="Arial" w:hAnsi="Arial" w:cs="Arial"/>
        </w:rPr>
      </w:pPr>
      <w:r w:rsidRPr="00772A61">
        <w:rPr>
          <w:rFonts w:ascii="Arial" w:hAnsi="Arial" w:cs="Arial"/>
        </w:rPr>
        <w:t xml:space="preserve">Rok 2020 był szczególny z powodu sytuacji epidemicznej związanej z </w:t>
      </w:r>
      <w:r w:rsidR="00D041C0">
        <w:rPr>
          <w:rFonts w:ascii="Arial" w:hAnsi="Arial" w:cs="Arial"/>
        </w:rPr>
        <w:t xml:space="preserve">pandemią wywołaną </w:t>
      </w:r>
      <w:r w:rsidRPr="00772A61">
        <w:rPr>
          <w:rFonts w:ascii="Arial" w:hAnsi="Arial" w:cs="Arial"/>
        </w:rPr>
        <w:t>koronawirusem</w:t>
      </w:r>
      <w:r>
        <w:rPr>
          <w:rFonts w:ascii="Arial" w:hAnsi="Arial" w:cs="Arial"/>
        </w:rPr>
        <w:t xml:space="preserve"> </w:t>
      </w:r>
      <w:r w:rsidRPr="00772A61">
        <w:rPr>
          <w:rFonts w:ascii="Arial" w:hAnsi="Arial" w:cs="Arial"/>
        </w:rPr>
        <w:t xml:space="preserve">SARS-CoV-2, </w:t>
      </w:r>
      <w:r w:rsidR="006A49D8">
        <w:rPr>
          <w:rFonts w:ascii="Arial" w:hAnsi="Arial" w:cs="Arial"/>
        </w:rPr>
        <w:t xml:space="preserve">a tym samym </w:t>
      </w:r>
      <w:r w:rsidRPr="00772A61">
        <w:rPr>
          <w:rFonts w:ascii="Arial" w:hAnsi="Arial" w:cs="Arial"/>
        </w:rPr>
        <w:t>wprowadzonych ograniczeń sanitarnych dotyczących m.in. organizacji szkoleń</w:t>
      </w:r>
      <w:r>
        <w:rPr>
          <w:rFonts w:ascii="Arial" w:hAnsi="Arial" w:cs="Arial"/>
        </w:rPr>
        <w:t xml:space="preserve"> </w:t>
      </w:r>
      <w:r w:rsidRPr="00772A61">
        <w:rPr>
          <w:rFonts w:ascii="Arial" w:hAnsi="Arial" w:cs="Arial"/>
        </w:rPr>
        <w:t>oraz zawieszenia obowiązku posiadania aktualnego zaświadczenia o ukończeniu szkolenia</w:t>
      </w:r>
      <w:r>
        <w:rPr>
          <w:rFonts w:ascii="Arial" w:hAnsi="Arial" w:cs="Arial"/>
        </w:rPr>
        <w:t xml:space="preserve"> </w:t>
      </w:r>
      <w:r w:rsidRPr="00772A61">
        <w:rPr>
          <w:rFonts w:ascii="Arial" w:hAnsi="Arial" w:cs="Arial"/>
        </w:rPr>
        <w:t xml:space="preserve">w zakresie </w:t>
      </w:r>
      <w:r w:rsidRPr="009B0585">
        <w:rPr>
          <w:rFonts w:ascii="Arial" w:hAnsi="Arial" w:cs="Arial"/>
        </w:rPr>
        <w:t>środków ochrony roślin. Pomimo tych wyjątkowych warunków, jednostki prowadzące szkolenia</w:t>
      </w:r>
      <w:r w:rsidRPr="00772A61">
        <w:rPr>
          <w:rFonts w:ascii="Arial" w:hAnsi="Arial" w:cs="Arial"/>
        </w:rPr>
        <w:t xml:space="preserve"> </w:t>
      </w:r>
      <w:r w:rsidRPr="000A166E">
        <w:rPr>
          <w:rFonts w:ascii="Arial" w:hAnsi="Arial" w:cs="Arial"/>
        </w:rPr>
        <w:t>zorganizowały 2 76</w:t>
      </w:r>
      <w:r w:rsidR="000A166E" w:rsidRPr="000A166E">
        <w:rPr>
          <w:rFonts w:ascii="Arial" w:hAnsi="Arial" w:cs="Arial"/>
        </w:rPr>
        <w:t>5</w:t>
      </w:r>
      <w:r w:rsidRPr="000A166E">
        <w:rPr>
          <w:rFonts w:ascii="Arial" w:hAnsi="Arial" w:cs="Arial"/>
        </w:rPr>
        <w:t xml:space="preserve"> szkoleń</w:t>
      </w:r>
      <w:r w:rsidRPr="00772A61">
        <w:rPr>
          <w:rFonts w:ascii="Arial" w:hAnsi="Arial" w:cs="Arial"/>
        </w:rPr>
        <w:t xml:space="preserve"> w zakresie środków ochrony roślin, z czego</w:t>
      </w:r>
      <w:r>
        <w:rPr>
          <w:rFonts w:ascii="Arial" w:hAnsi="Arial" w:cs="Arial"/>
        </w:rPr>
        <w:t xml:space="preserve"> </w:t>
      </w:r>
      <w:r w:rsidRPr="00772A61">
        <w:rPr>
          <w:rFonts w:ascii="Arial" w:hAnsi="Arial" w:cs="Arial"/>
        </w:rPr>
        <w:t>654 to szkolenia podstawowe, a 2 111 – szkolenia uzupełniające. Według danych na 31 grudnia</w:t>
      </w:r>
      <w:r>
        <w:rPr>
          <w:rFonts w:ascii="Arial" w:hAnsi="Arial" w:cs="Arial"/>
        </w:rPr>
        <w:t xml:space="preserve"> </w:t>
      </w:r>
      <w:r w:rsidRPr="00772A61">
        <w:rPr>
          <w:rFonts w:ascii="Arial" w:hAnsi="Arial" w:cs="Arial"/>
        </w:rPr>
        <w:t>2020 r., ukończyło je 62 675 osób.</w:t>
      </w:r>
    </w:p>
    <w:p w14:paraId="34B73E3B" w14:textId="31F6AE17" w:rsidR="002A0142" w:rsidRPr="002A0142" w:rsidRDefault="002A0142" w:rsidP="002A0142">
      <w:pPr>
        <w:pStyle w:val="NormalnyWeb"/>
        <w:tabs>
          <w:tab w:val="left" w:pos="284"/>
        </w:tabs>
        <w:spacing w:beforeAutospacing="0" w:after="120" w:afterAutospacing="0" w:line="360" w:lineRule="auto"/>
        <w:ind w:firstLine="284"/>
        <w:jc w:val="both"/>
        <w:rPr>
          <w:rFonts w:ascii="Arial" w:hAnsi="Arial" w:cs="Arial"/>
        </w:rPr>
      </w:pPr>
      <w:r w:rsidRPr="002A0142">
        <w:rPr>
          <w:rFonts w:ascii="Arial" w:hAnsi="Arial" w:cs="Arial"/>
        </w:rPr>
        <w:t>Rok 2021 to kolejny rok, w którym z powodu sytuacji epidemicznej związanej z koronawirusem SARS-CoV-2, obowiązywały ograniczenia dotyczące m.in. organizacji szkoleń oraz zawiesze</w:t>
      </w:r>
      <w:r w:rsidR="00A0625C">
        <w:rPr>
          <w:rFonts w:ascii="Arial" w:hAnsi="Arial" w:cs="Arial"/>
        </w:rPr>
        <w:t>nie</w:t>
      </w:r>
      <w:r w:rsidRPr="002A0142">
        <w:rPr>
          <w:rFonts w:ascii="Arial" w:hAnsi="Arial" w:cs="Arial"/>
        </w:rPr>
        <w:t xml:space="preserve"> obowiązku posiadania aktualnego zaświadczenia o ukończeniu szkolenia w zakresie środków ochrony roślin.</w:t>
      </w:r>
      <w:r w:rsidR="00062E2B">
        <w:rPr>
          <w:rFonts w:ascii="Arial" w:hAnsi="Arial" w:cs="Arial"/>
        </w:rPr>
        <w:t xml:space="preserve"> </w:t>
      </w:r>
      <w:r w:rsidRPr="002A0142">
        <w:rPr>
          <w:rFonts w:ascii="Arial" w:hAnsi="Arial" w:cs="Arial"/>
        </w:rPr>
        <w:t>Od marca 2021 r</w:t>
      </w:r>
      <w:r w:rsidR="00BA3936">
        <w:rPr>
          <w:rFonts w:ascii="Arial" w:hAnsi="Arial" w:cs="Arial"/>
        </w:rPr>
        <w:t>.</w:t>
      </w:r>
      <w:r w:rsidRPr="002A0142">
        <w:rPr>
          <w:rFonts w:ascii="Arial" w:hAnsi="Arial" w:cs="Arial"/>
        </w:rPr>
        <w:t xml:space="preserve"> jednostki organizujące szkolenia mogły je prowadzić on-line (z wyłączeniem części praktycznej i egzaminów). Możliwość taką dały przepisy rozporządzenia Ministra Rolnictwa i</w:t>
      </w:r>
      <w:r w:rsidR="00062E2B">
        <w:rPr>
          <w:rFonts w:ascii="Arial" w:hAnsi="Arial" w:cs="Arial"/>
        </w:rPr>
        <w:t> </w:t>
      </w:r>
      <w:r w:rsidRPr="002A0142">
        <w:rPr>
          <w:rFonts w:ascii="Arial" w:hAnsi="Arial" w:cs="Arial"/>
        </w:rPr>
        <w:t>Rozwoju Wsi z dnia 3 marca 2021 r. zmieniającego rozporządzenie w sprawie szkoleń w zakresie środków ochrony roślin (Dz. U. z 2021 r. poz. 413).</w:t>
      </w:r>
    </w:p>
    <w:p w14:paraId="4BF911DD" w14:textId="1B48900F" w:rsidR="00CD011C" w:rsidRDefault="002A0142" w:rsidP="002A0142">
      <w:pPr>
        <w:pStyle w:val="NormalnyWeb"/>
        <w:tabs>
          <w:tab w:val="left" w:pos="284"/>
        </w:tabs>
        <w:spacing w:beforeAutospacing="0" w:after="120" w:afterAutospacing="0" w:line="360" w:lineRule="auto"/>
        <w:ind w:firstLine="284"/>
        <w:jc w:val="both"/>
        <w:rPr>
          <w:rFonts w:ascii="Arial" w:hAnsi="Arial" w:cs="Arial"/>
        </w:rPr>
      </w:pPr>
      <w:r w:rsidRPr="002A0142">
        <w:rPr>
          <w:rFonts w:ascii="Arial" w:hAnsi="Arial" w:cs="Arial"/>
        </w:rPr>
        <w:t>W tych szczególnych warunkach przeprowadzonych zostało 2 834 szkoleń w zakresie środków ochrony roślin (30 szkoleń on-line), z czego 832 to szkolenia podstawowe, a 2</w:t>
      </w:r>
      <w:r w:rsidR="00935FF2">
        <w:rPr>
          <w:rFonts w:ascii="Arial" w:hAnsi="Arial" w:cs="Arial"/>
        </w:rPr>
        <w:t> </w:t>
      </w:r>
      <w:r w:rsidRPr="002A0142">
        <w:rPr>
          <w:rFonts w:ascii="Arial" w:hAnsi="Arial" w:cs="Arial"/>
        </w:rPr>
        <w:t>002</w:t>
      </w:r>
      <w:r w:rsidR="00935FF2">
        <w:rPr>
          <w:rFonts w:ascii="Arial" w:hAnsi="Arial" w:cs="Arial"/>
        </w:rPr>
        <w:t xml:space="preserve"> </w:t>
      </w:r>
      <w:r w:rsidR="00935FF2" w:rsidRPr="00925BCD">
        <w:rPr>
          <w:rFonts w:ascii="Arial" w:hAnsi="Arial" w:cs="Arial"/>
        </w:rPr>
        <w:t>–</w:t>
      </w:r>
      <w:r w:rsidR="00935FF2">
        <w:rPr>
          <w:rFonts w:ascii="Arial" w:hAnsi="Arial" w:cs="Arial"/>
        </w:rPr>
        <w:t xml:space="preserve"> </w:t>
      </w:r>
      <w:r w:rsidRPr="002A0142">
        <w:rPr>
          <w:rFonts w:ascii="Arial" w:hAnsi="Arial" w:cs="Arial"/>
        </w:rPr>
        <w:t>szkolenia uzupełniające. Szkolenia te, według danych na 31 grudnia 2021 r., ukończyło 53</w:t>
      </w:r>
      <w:r w:rsidR="00BA3936">
        <w:rPr>
          <w:rFonts w:ascii="Arial" w:hAnsi="Arial" w:cs="Arial"/>
        </w:rPr>
        <w:t> </w:t>
      </w:r>
      <w:r w:rsidRPr="002A0142">
        <w:rPr>
          <w:rFonts w:ascii="Arial" w:hAnsi="Arial" w:cs="Arial"/>
        </w:rPr>
        <w:t xml:space="preserve">996 osób (564 </w:t>
      </w:r>
      <w:r w:rsidR="00BA3936" w:rsidRPr="00925BCD">
        <w:rPr>
          <w:rFonts w:ascii="Arial" w:hAnsi="Arial" w:cs="Arial"/>
        </w:rPr>
        <w:t>–</w:t>
      </w:r>
      <w:r w:rsidR="00BA3936">
        <w:rPr>
          <w:rFonts w:ascii="Arial" w:hAnsi="Arial" w:cs="Arial"/>
        </w:rPr>
        <w:t xml:space="preserve"> </w:t>
      </w:r>
      <w:r w:rsidRPr="002A0142">
        <w:rPr>
          <w:rFonts w:ascii="Arial" w:hAnsi="Arial" w:cs="Arial"/>
        </w:rPr>
        <w:t>osoby ukończył</w:t>
      </w:r>
      <w:r w:rsidR="00BA3936">
        <w:rPr>
          <w:rFonts w:ascii="Arial" w:hAnsi="Arial" w:cs="Arial"/>
        </w:rPr>
        <w:t>y</w:t>
      </w:r>
      <w:r w:rsidRPr="002A0142">
        <w:rPr>
          <w:rFonts w:ascii="Arial" w:hAnsi="Arial" w:cs="Arial"/>
        </w:rPr>
        <w:t xml:space="preserve"> szkolenia on-line).</w:t>
      </w:r>
    </w:p>
    <w:p w14:paraId="13BEC74D" w14:textId="49A76FFF" w:rsidR="00692525" w:rsidRPr="00692525" w:rsidRDefault="0039259C" w:rsidP="0069252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Rok</w:t>
      </w:r>
      <w:r w:rsidR="00692525" w:rsidRPr="00692525">
        <w:rPr>
          <w:rFonts w:ascii="Arial" w:hAnsi="Arial" w:cs="Arial"/>
        </w:rPr>
        <w:t xml:space="preserve"> 2022</w:t>
      </w:r>
      <w:r>
        <w:rPr>
          <w:rFonts w:ascii="Arial" w:hAnsi="Arial" w:cs="Arial"/>
        </w:rPr>
        <w:t xml:space="preserve"> to trzeci rok</w:t>
      </w:r>
      <w:r w:rsidR="00DD1B0F">
        <w:rPr>
          <w:rFonts w:ascii="Arial" w:hAnsi="Arial" w:cs="Arial"/>
        </w:rPr>
        <w:t xml:space="preserve">, w którym </w:t>
      </w:r>
      <w:r w:rsidR="00692525" w:rsidRPr="00692525">
        <w:rPr>
          <w:rFonts w:ascii="Arial" w:hAnsi="Arial" w:cs="Arial"/>
        </w:rPr>
        <w:t xml:space="preserve">z powodu sytuacji epidemicznej związanej z </w:t>
      </w:r>
      <w:r w:rsidR="00F22CD0">
        <w:rPr>
          <w:rFonts w:ascii="Arial" w:hAnsi="Arial" w:cs="Arial"/>
        </w:rPr>
        <w:t>korona</w:t>
      </w:r>
      <w:r w:rsidR="00692525" w:rsidRPr="00692525">
        <w:rPr>
          <w:rFonts w:ascii="Arial" w:hAnsi="Arial" w:cs="Arial"/>
        </w:rPr>
        <w:t>wirusem SARS</w:t>
      </w:r>
      <w:r w:rsidR="00C910D7">
        <w:rPr>
          <w:rFonts w:ascii="Arial" w:hAnsi="Arial" w:cs="Arial"/>
        </w:rPr>
        <w:t> </w:t>
      </w:r>
      <w:r w:rsidR="00692525" w:rsidRPr="00692525">
        <w:rPr>
          <w:rFonts w:ascii="Arial" w:hAnsi="Arial" w:cs="Arial"/>
        </w:rPr>
        <w:t>CoV-2, obowiązywały ograniczenia dotyczące m.in. organizacji szkoleń oraz zawieszenia obowiązku posiadania aktualnego zaświadczenia o ukończeniu szkolenia w zakresie środków ochrony roślin. Jednostki organizujące szkolenia mogły prowadzić je</w:t>
      </w:r>
      <w:r w:rsidR="00032FAC">
        <w:rPr>
          <w:rFonts w:ascii="Arial" w:hAnsi="Arial" w:cs="Arial"/>
        </w:rPr>
        <w:t>, podobnie jak w 2021 r.</w:t>
      </w:r>
      <w:r w:rsidR="00692525" w:rsidRPr="00692525">
        <w:rPr>
          <w:rFonts w:ascii="Arial" w:hAnsi="Arial" w:cs="Arial"/>
        </w:rPr>
        <w:t xml:space="preserve"> on-line, z</w:t>
      </w:r>
      <w:r w:rsidR="00394915">
        <w:rPr>
          <w:rFonts w:ascii="Arial" w:hAnsi="Arial" w:cs="Arial"/>
        </w:rPr>
        <w:t> </w:t>
      </w:r>
      <w:r w:rsidR="00692525" w:rsidRPr="00692525">
        <w:rPr>
          <w:rFonts w:ascii="Arial" w:hAnsi="Arial" w:cs="Arial"/>
        </w:rPr>
        <w:t>wyłączeniem części praktycznej i egzaminów.</w:t>
      </w:r>
    </w:p>
    <w:p w14:paraId="54205509" w14:textId="778C16B3" w:rsidR="00692525" w:rsidRDefault="00692525" w:rsidP="00692525">
      <w:pPr>
        <w:pStyle w:val="NormalnyWeb"/>
        <w:tabs>
          <w:tab w:val="left" w:pos="284"/>
        </w:tabs>
        <w:spacing w:beforeAutospacing="0" w:after="120" w:afterAutospacing="0" w:line="360" w:lineRule="auto"/>
        <w:ind w:firstLine="284"/>
        <w:jc w:val="both"/>
        <w:rPr>
          <w:rFonts w:ascii="Arial" w:hAnsi="Arial" w:cs="Arial"/>
        </w:rPr>
      </w:pPr>
      <w:r w:rsidRPr="00692525">
        <w:rPr>
          <w:rFonts w:ascii="Arial" w:hAnsi="Arial" w:cs="Arial"/>
        </w:rPr>
        <w:t>Pomimo tych szczególnych warunków zorganizowano 3 091 szkole</w:t>
      </w:r>
      <w:r w:rsidR="00394915">
        <w:rPr>
          <w:rFonts w:ascii="Arial" w:hAnsi="Arial" w:cs="Arial"/>
        </w:rPr>
        <w:t>ń</w:t>
      </w:r>
      <w:r w:rsidRPr="00692525">
        <w:rPr>
          <w:rFonts w:ascii="Arial" w:hAnsi="Arial" w:cs="Arial"/>
        </w:rPr>
        <w:t xml:space="preserve"> w zakresie środków ochrony roślin, z czego 943 to szkolenia podstawowe, a 2</w:t>
      </w:r>
      <w:r w:rsidR="007210B2">
        <w:rPr>
          <w:rFonts w:ascii="Arial" w:hAnsi="Arial" w:cs="Arial"/>
        </w:rPr>
        <w:t> </w:t>
      </w:r>
      <w:r w:rsidRPr="00692525">
        <w:rPr>
          <w:rFonts w:ascii="Arial" w:hAnsi="Arial" w:cs="Arial"/>
        </w:rPr>
        <w:t xml:space="preserve">148 </w:t>
      </w:r>
      <w:r w:rsidR="007210B2" w:rsidRPr="007210B2">
        <w:rPr>
          <w:rFonts w:ascii="Arial" w:hAnsi="Arial" w:cs="Arial"/>
        </w:rPr>
        <w:t>–</w:t>
      </w:r>
      <w:r w:rsidRPr="00692525">
        <w:rPr>
          <w:rFonts w:ascii="Arial" w:hAnsi="Arial" w:cs="Arial"/>
        </w:rPr>
        <w:t xml:space="preserve"> szkole</w:t>
      </w:r>
      <w:r w:rsidR="006753D3">
        <w:rPr>
          <w:rFonts w:ascii="Arial" w:hAnsi="Arial" w:cs="Arial"/>
        </w:rPr>
        <w:t>ń</w:t>
      </w:r>
      <w:r w:rsidRPr="00692525">
        <w:rPr>
          <w:rFonts w:ascii="Arial" w:hAnsi="Arial" w:cs="Arial"/>
        </w:rPr>
        <w:t xml:space="preserve"> uzupełniając</w:t>
      </w:r>
      <w:r w:rsidR="006753D3">
        <w:rPr>
          <w:rFonts w:ascii="Arial" w:hAnsi="Arial" w:cs="Arial"/>
        </w:rPr>
        <w:t>ych</w:t>
      </w:r>
      <w:r w:rsidRPr="00692525">
        <w:rPr>
          <w:rFonts w:ascii="Arial" w:hAnsi="Arial" w:cs="Arial"/>
        </w:rPr>
        <w:t>. Szkolenia te, według danych na 31 grudnia 2022 r., ukończyło 66</w:t>
      </w:r>
      <w:r w:rsidR="006753D3">
        <w:rPr>
          <w:rFonts w:ascii="Arial" w:hAnsi="Arial" w:cs="Arial"/>
        </w:rPr>
        <w:t> </w:t>
      </w:r>
      <w:r w:rsidRPr="00692525">
        <w:rPr>
          <w:rFonts w:ascii="Arial" w:hAnsi="Arial" w:cs="Arial"/>
        </w:rPr>
        <w:t>426 osób.</w:t>
      </w:r>
    </w:p>
    <w:p w14:paraId="49CB4E77" w14:textId="55C51C89" w:rsidR="00CD011C" w:rsidRDefault="00CD011C">
      <w:pPr>
        <w:spacing w:after="0" w:line="240" w:lineRule="auto"/>
        <w:rPr>
          <w:rFonts w:ascii="Arial" w:eastAsia="Times New Roman" w:hAnsi="Arial" w:cs="Arial"/>
          <w:sz w:val="20"/>
          <w:szCs w:val="20"/>
          <w:lang w:eastAsia="pl-PL"/>
        </w:rPr>
      </w:pPr>
    </w:p>
    <w:p w14:paraId="0DC0EF67" w14:textId="6181BB22"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Szczegółowe dane na temat przeprowadzonych szkoleń przedstawia tabela poniżej.</w:t>
      </w:r>
      <w:r w:rsidR="009E3F47">
        <w:rPr>
          <w:rFonts w:ascii="Arial" w:hAnsi="Arial" w:cs="Arial"/>
        </w:rPr>
        <w:t xml:space="preserve"> </w:t>
      </w:r>
    </w:p>
    <w:tbl>
      <w:tblPr>
        <w:tblW w:w="9062" w:type="dxa"/>
        <w:tblCellMar>
          <w:left w:w="70" w:type="dxa"/>
          <w:right w:w="70" w:type="dxa"/>
        </w:tblCellMar>
        <w:tblLook w:val="04A0" w:firstRow="1" w:lastRow="0" w:firstColumn="1" w:lastColumn="0" w:noHBand="0" w:noVBand="1"/>
      </w:tblPr>
      <w:tblGrid>
        <w:gridCol w:w="4017"/>
        <w:gridCol w:w="1009"/>
        <w:gridCol w:w="1009"/>
        <w:gridCol w:w="1009"/>
        <w:gridCol w:w="1009"/>
        <w:gridCol w:w="1009"/>
      </w:tblGrid>
      <w:tr w:rsidR="00962312" w:rsidRPr="00925BCD" w14:paraId="1033175B" w14:textId="63724B7B" w:rsidTr="00075309">
        <w:trPr>
          <w:trHeight w:val="267"/>
        </w:trPr>
        <w:tc>
          <w:tcPr>
            <w:tcW w:w="4017" w:type="dxa"/>
            <w:tcBorders>
              <w:top w:val="single" w:sz="4" w:space="0" w:color="000000"/>
              <w:left w:val="single" w:sz="4" w:space="0" w:color="000000"/>
              <w:bottom w:val="single" w:sz="4" w:space="0" w:color="000000"/>
            </w:tcBorders>
            <w:shd w:val="clear" w:color="auto" w:fill="CCFFCC"/>
            <w:vAlign w:val="center"/>
          </w:tcPr>
          <w:p w14:paraId="344B11A7" w14:textId="77777777" w:rsidR="00962312" w:rsidRPr="00925BCD" w:rsidRDefault="00962312" w:rsidP="002A0142">
            <w:pPr>
              <w:jc w:val="center"/>
              <w:rPr>
                <w:rFonts w:ascii="Arial" w:hAnsi="Arial" w:cs="Arial"/>
                <w:b/>
                <w:color w:val="000000"/>
              </w:rPr>
            </w:pPr>
            <w:r w:rsidRPr="00925BCD">
              <w:rPr>
                <w:rFonts w:ascii="Arial" w:hAnsi="Arial" w:cs="Arial"/>
                <w:b/>
                <w:color w:val="000000"/>
              </w:rPr>
              <w:t>Liczba jednostek prowadzących szkolenia</w:t>
            </w:r>
          </w:p>
        </w:tc>
        <w:tc>
          <w:tcPr>
            <w:tcW w:w="1009"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965B239" w14:textId="0784623C" w:rsidR="00962312" w:rsidRPr="00925BCD" w:rsidRDefault="00962312" w:rsidP="002A0142">
            <w:pPr>
              <w:jc w:val="center"/>
              <w:rPr>
                <w:rFonts w:ascii="Arial" w:hAnsi="Arial" w:cs="Arial"/>
                <w:b/>
                <w:color w:val="000000"/>
              </w:rPr>
            </w:pPr>
            <w:r w:rsidRPr="00925BCD">
              <w:rPr>
                <w:rFonts w:ascii="Arial" w:hAnsi="Arial" w:cs="Arial"/>
                <w:b/>
                <w:color w:val="000000"/>
              </w:rPr>
              <w:t>2018</w:t>
            </w:r>
          </w:p>
        </w:tc>
        <w:tc>
          <w:tcPr>
            <w:tcW w:w="1009" w:type="dxa"/>
            <w:tcBorders>
              <w:top w:val="single" w:sz="4" w:space="0" w:color="000000"/>
              <w:bottom w:val="single" w:sz="4" w:space="0" w:color="000000"/>
              <w:right w:val="single" w:sz="4" w:space="0" w:color="000000"/>
            </w:tcBorders>
            <w:shd w:val="clear" w:color="auto" w:fill="CCFFCC"/>
            <w:vAlign w:val="center"/>
          </w:tcPr>
          <w:p w14:paraId="0D73027C" w14:textId="28452A39" w:rsidR="00962312" w:rsidRPr="00925BCD" w:rsidRDefault="00962312" w:rsidP="002A0142">
            <w:pPr>
              <w:jc w:val="center"/>
              <w:rPr>
                <w:rFonts w:ascii="Arial" w:hAnsi="Arial" w:cs="Arial"/>
                <w:b/>
                <w:color w:val="000000"/>
              </w:rPr>
            </w:pPr>
            <w:r w:rsidRPr="00925BCD">
              <w:rPr>
                <w:rFonts w:ascii="Arial" w:hAnsi="Arial" w:cs="Arial"/>
                <w:b/>
                <w:color w:val="000000"/>
              </w:rPr>
              <w:t>2019</w:t>
            </w:r>
          </w:p>
        </w:tc>
        <w:tc>
          <w:tcPr>
            <w:tcW w:w="1009" w:type="dxa"/>
            <w:tcBorders>
              <w:top w:val="single" w:sz="4" w:space="0" w:color="000000"/>
              <w:bottom w:val="single" w:sz="4" w:space="0" w:color="000000"/>
              <w:right w:val="single" w:sz="4" w:space="0" w:color="000000"/>
            </w:tcBorders>
            <w:shd w:val="clear" w:color="auto" w:fill="CCFFCC"/>
            <w:vAlign w:val="center"/>
          </w:tcPr>
          <w:p w14:paraId="1CC2C19D" w14:textId="2E180C3D" w:rsidR="00962312" w:rsidRPr="00925BCD" w:rsidRDefault="00962312" w:rsidP="002A0142">
            <w:pPr>
              <w:jc w:val="center"/>
              <w:rPr>
                <w:rFonts w:ascii="Arial" w:hAnsi="Arial" w:cs="Arial"/>
                <w:b/>
                <w:color w:val="000000"/>
              </w:rPr>
            </w:pPr>
            <w:r>
              <w:rPr>
                <w:rFonts w:ascii="Arial" w:hAnsi="Arial" w:cs="Arial"/>
                <w:b/>
                <w:color w:val="000000"/>
              </w:rPr>
              <w:t>2020</w:t>
            </w:r>
          </w:p>
        </w:tc>
        <w:tc>
          <w:tcPr>
            <w:tcW w:w="1009" w:type="dxa"/>
            <w:tcBorders>
              <w:top w:val="single" w:sz="4" w:space="0" w:color="000000"/>
              <w:bottom w:val="single" w:sz="4" w:space="0" w:color="000000"/>
              <w:right w:val="single" w:sz="4" w:space="0" w:color="000000"/>
            </w:tcBorders>
            <w:shd w:val="clear" w:color="auto" w:fill="CCFFCC"/>
            <w:vAlign w:val="center"/>
          </w:tcPr>
          <w:p w14:paraId="79A3F62F" w14:textId="514F63E7" w:rsidR="00962312" w:rsidRDefault="00962312" w:rsidP="002A0142">
            <w:pPr>
              <w:jc w:val="center"/>
              <w:rPr>
                <w:rFonts w:ascii="Arial" w:hAnsi="Arial" w:cs="Arial"/>
                <w:b/>
                <w:color w:val="000000"/>
              </w:rPr>
            </w:pPr>
            <w:r>
              <w:rPr>
                <w:rFonts w:ascii="Arial" w:hAnsi="Arial" w:cs="Arial"/>
                <w:b/>
                <w:color w:val="000000"/>
              </w:rPr>
              <w:t>2021</w:t>
            </w:r>
          </w:p>
        </w:tc>
        <w:tc>
          <w:tcPr>
            <w:tcW w:w="1009" w:type="dxa"/>
            <w:tcBorders>
              <w:top w:val="single" w:sz="4" w:space="0" w:color="000000"/>
              <w:bottom w:val="single" w:sz="4" w:space="0" w:color="000000"/>
              <w:right w:val="single" w:sz="4" w:space="0" w:color="000000"/>
            </w:tcBorders>
            <w:shd w:val="clear" w:color="auto" w:fill="CCFFCC"/>
            <w:vAlign w:val="center"/>
          </w:tcPr>
          <w:p w14:paraId="32C68CD8" w14:textId="697EA97B" w:rsidR="00962312" w:rsidRDefault="00962312" w:rsidP="000D067B">
            <w:pPr>
              <w:jc w:val="center"/>
              <w:rPr>
                <w:rFonts w:ascii="Arial" w:hAnsi="Arial" w:cs="Arial"/>
                <w:b/>
                <w:color w:val="000000"/>
              </w:rPr>
            </w:pPr>
            <w:r>
              <w:rPr>
                <w:rFonts w:ascii="Arial" w:hAnsi="Arial" w:cs="Arial"/>
                <w:b/>
                <w:color w:val="000000"/>
              </w:rPr>
              <w:t>2022</w:t>
            </w:r>
          </w:p>
        </w:tc>
      </w:tr>
      <w:tr w:rsidR="00962312" w:rsidRPr="002A0142" w14:paraId="366728D4" w14:textId="538ACF9D" w:rsidTr="00075309">
        <w:trPr>
          <w:trHeight w:val="340"/>
        </w:trPr>
        <w:tc>
          <w:tcPr>
            <w:tcW w:w="4017" w:type="dxa"/>
            <w:tcBorders>
              <w:left w:val="single" w:sz="4" w:space="0" w:color="000000"/>
              <w:bottom w:val="single" w:sz="4" w:space="0" w:color="000000"/>
              <w:right w:val="single" w:sz="4" w:space="0" w:color="000000"/>
            </w:tcBorders>
            <w:shd w:val="clear" w:color="auto" w:fill="auto"/>
            <w:vAlign w:val="center"/>
          </w:tcPr>
          <w:p w14:paraId="1313BC67" w14:textId="77777777" w:rsidR="00962312" w:rsidRPr="00925BCD" w:rsidRDefault="00962312"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009" w:type="dxa"/>
            <w:tcBorders>
              <w:bottom w:val="single" w:sz="4" w:space="0" w:color="000000"/>
              <w:right w:val="single" w:sz="4" w:space="0" w:color="000000"/>
            </w:tcBorders>
            <w:vAlign w:val="center"/>
          </w:tcPr>
          <w:p w14:paraId="772F73B0" w14:textId="77777777" w:rsidR="00962312" w:rsidRPr="00925BCD" w:rsidRDefault="00962312" w:rsidP="007E6EBF">
            <w:pPr>
              <w:jc w:val="right"/>
              <w:rPr>
                <w:rFonts w:ascii="Arial" w:hAnsi="Arial" w:cs="Arial"/>
                <w:b/>
                <w:color w:val="000000"/>
              </w:rPr>
            </w:pPr>
            <w:r w:rsidRPr="00925BCD">
              <w:rPr>
                <w:rFonts w:ascii="Arial" w:hAnsi="Arial" w:cs="Arial"/>
                <w:b/>
                <w:color w:val="000000"/>
              </w:rPr>
              <w:t>379</w:t>
            </w:r>
          </w:p>
        </w:tc>
        <w:tc>
          <w:tcPr>
            <w:tcW w:w="1009" w:type="dxa"/>
            <w:tcBorders>
              <w:bottom w:val="single" w:sz="4" w:space="0" w:color="000000"/>
              <w:right w:val="single" w:sz="4" w:space="0" w:color="000000"/>
            </w:tcBorders>
            <w:vAlign w:val="center"/>
          </w:tcPr>
          <w:p w14:paraId="72761095" w14:textId="77777777" w:rsidR="00962312" w:rsidRPr="00925BCD" w:rsidRDefault="00962312" w:rsidP="007E6EBF">
            <w:pPr>
              <w:jc w:val="right"/>
              <w:rPr>
                <w:rFonts w:ascii="Arial" w:hAnsi="Arial" w:cs="Arial"/>
                <w:b/>
                <w:color w:val="000000"/>
              </w:rPr>
            </w:pPr>
            <w:r w:rsidRPr="00925BCD">
              <w:rPr>
                <w:rFonts w:ascii="Arial" w:hAnsi="Arial" w:cs="Arial"/>
                <w:b/>
                <w:color w:val="000000"/>
              </w:rPr>
              <w:t>388</w:t>
            </w:r>
          </w:p>
        </w:tc>
        <w:tc>
          <w:tcPr>
            <w:tcW w:w="1009" w:type="dxa"/>
            <w:tcBorders>
              <w:bottom w:val="single" w:sz="4" w:space="0" w:color="000000"/>
              <w:right w:val="single" w:sz="4" w:space="0" w:color="000000"/>
            </w:tcBorders>
            <w:vAlign w:val="center"/>
          </w:tcPr>
          <w:p w14:paraId="38CCBA67" w14:textId="4633F4FB" w:rsidR="00962312" w:rsidRPr="00925BCD" w:rsidRDefault="00962312" w:rsidP="007E6EBF">
            <w:pPr>
              <w:jc w:val="right"/>
              <w:rPr>
                <w:rFonts w:ascii="Arial" w:hAnsi="Arial" w:cs="Arial"/>
                <w:b/>
                <w:color w:val="000000"/>
              </w:rPr>
            </w:pPr>
            <w:r>
              <w:rPr>
                <w:rFonts w:ascii="Arial" w:hAnsi="Arial" w:cs="Arial"/>
                <w:b/>
                <w:color w:val="000000"/>
              </w:rPr>
              <w:t>392</w:t>
            </w:r>
          </w:p>
        </w:tc>
        <w:tc>
          <w:tcPr>
            <w:tcW w:w="1009" w:type="dxa"/>
            <w:tcBorders>
              <w:bottom w:val="single" w:sz="4" w:space="0" w:color="000000"/>
              <w:right w:val="single" w:sz="4" w:space="0" w:color="000000"/>
            </w:tcBorders>
          </w:tcPr>
          <w:p w14:paraId="4FCB99D7" w14:textId="131C9BC2" w:rsidR="00962312" w:rsidRDefault="00962312" w:rsidP="007E6EBF">
            <w:pPr>
              <w:jc w:val="right"/>
              <w:rPr>
                <w:rFonts w:ascii="Arial" w:hAnsi="Arial" w:cs="Arial"/>
                <w:b/>
                <w:color w:val="000000"/>
              </w:rPr>
            </w:pPr>
            <w:r>
              <w:rPr>
                <w:rFonts w:ascii="Arial" w:hAnsi="Arial" w:cs="Arial"/>
                <w:b/>
                <w:color w:val="000000"/>
              </w:rPr>
              <w:t>406</w:t>
            </w:r>
          </w:p>
        </w:tc>
        <w:tc>
          <w:tcPr>
            <w:tcW w:w="1009" w:type="dxa"/>
            <w:tcBorders>
              <w:bottom w:val="single" w:sz="4" w:space="0" w:color="000000"/>
              <w:right w:val="single" w:sz="4" w:space="0" w:color="000000"/>
            </w:tcBorders>
            <w:vAlign w:val="center"/>
          </w:tcPr>
          <w:p w14:paraId="0F4B984C" w14:textId="733CC5F4" w:rsidR="00962312" w:rsidRDefault="00855BF9" w:rsidP="0021651B">
            <w:pPr>
              <w:jc w:val="right"/>
              <w:rPr>
                <w:rFonts w:ascii="Arial" w:hAnsi="Arial" w:cs="Arial"/>
                <w:b/>
                <w:color w:val="000000"/>
              </w:rPr>
            </w:pPr>
            <w:r>
              <w:rPr>
                <w:rFonts w:ascii="Arial" w:hAnsi="Arial" w:cs="Arial"/>
                <w:b/>
                <w:color w:val="000000"/>
              </w:rPr>
              <w:t>398</w:t>
            </w:r>
          </w:p>
        </w:tc>
      </w:tr>
      <w:tr w:rsidR="00962312" w:rsidRPr="002A0142" w14:paraId="4845F56F" w14:textId="52649AF0" w:rsidTr="00075309">
        <w:trPr>
          <w:trHeight w:val="1071"/>
        </w:trPr>
        <w:tc>
          <w:tcPr>
            <w:tcW w:w="4017" w:type="dxa"/>
            <w:tcBorders>
              <w:left w:val="single" w:sz="4" w:space="0" w:color="000000"/>
              <w:bottom w:val="single" w:sz="4" w:space="0" w:color="000000"/>
              <w:right w:val="single" w:sz="4" w:space="0" w:color="000000"/>
            </w:tcBorders>
            <w:shd w:val="clear" w:color="auto" w:fill="auto"/>
            <w:vAlign w:val="center"/>
          </w:tcPr>
          <w:p w14:paraId="2E961ADE"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śor sprzętem naziemnym z wyłączeniem sprzętu montowanego na pojazdach szynowych oraz innego stosowanego w kolejnictwie </w:t>
            </w:r>
          </w:p>
        </w:tc>
        <w:tc>
          <w:tcPr>
            <w:tcW w:w="1009" w:type="dxa"/>
            <w:tcBorders>
              <w:bottom w:val="single" w:sz="4" w:space="0" w:color="000000"/>
              <w:right w:val="single" w:sz="4" w:space="0" w:color="000000"/>
            </w:tcBorders>
            <w:vAlign w:val="center"/>
          </w:tcPr>
          <w:p w14:paraId="4F9185EC" w14:textId="77777777" w:rsidR="00962312" w:rsidRPr="00925BCD" w:rsidRDefault="00962312" w:rsidP="007E6EBF">
            <w:pPr>
              <w:jc w:val="right"/>
              <w:rPr>
                <w:rFonts w:ascii="Arial" w:hAnsi="Arial" w:cs="Arial"/>
                <w:color w:val="000000"/>
              </w:rPr>
            </w:pPr>
            <w:r w:rsidRPr="00925BCD">
              <w:rPr>
                <w:rFonts w:ascii="Arial" w:hAnsi="Arial" w:cs="Arial"/>
                <w:color w:val="000000"/>
              </w:rPr>
              <w:t>354</w:t>
            </w:r>
          </w:p>
        </w:tc>
        <w:tc>
          <w:tcPr>
            <w:tcW w:w="1009" w:type="dxa"/>
            <w:tcBorders>
              <w:bottom w:val="single" w:sz="4" w:space="0" w:color="000000"/>
              <w:right w:val="single" w:sz="4" w:space="0" w:color="000000"/>
            </w:tcBorders>
            <w:vAlign w:val="center"/>
          </w:tcPr>
          <w:p w14:paraId="1CCB8F52" w14:textId="77777777" w:rsidR="00962312" w:rsidRPr="00925BCD" w:rsidRDefault="00962312" w:rsidP="007E6EBF">
            <w:pPr>
              <w:jc w:val="right"/>
              <w:rPr>
                <w:rFonts w:ascii="Arial" w:hAnsi="Arial" w:cs="Arial"/>
                <w:color w:val="000000"/>
              </w:rPr>
            </w:pPr>
            <w:r w:rsidRPr="00925BCD">
              <w:rPr>
                <w:rFonts w:ascii="Arial" w:hAnsi="Arial" w:cs="Arial"/>
                <w:color w:val="000000"/>
              </w:rPr>
              <w:t>364</w:t>
            </w:r>
          </w:p>
        </w:tc>
        <w:tc>
          <w:tcPr>
            <w:tcW w:w="1009" w:type="dxa"/>
            <w:tcBorders>
              <w:bottom w:val="single" w:sz="4" w:space="0" w:color="000000"/>
              <w:right w:val="single" w:sz="4" w:space="0" w:color="000000"/>
            </w:tcBorders>
            <w:vAlign w:val="center"/>
          </w:tcPr>
          <w:p w14:paraId="2AC4CA57" w14:textId="524A0DC2" w:rsidR="00962312" w:rsidRPr="00925BCD" w:rsidRDefault="00962312" w:rsidP="007E6EBF">
            <w:pPr>
              <w:jc w:val="right"/>
              <w:rPr>
                <w:rFonts w:ascii="Arial" w:hAnsi="Arial" w:cs="Arial"/>
                <w:color w:val="000000"/>
              </w:rPr>
            </w:pPr>
            <w:r>
              <w:rPr>
                <w:rFonts w:ascii="Arial" w:hAnsi="Arial" w:cs="Arial"/>
                <w:color w:val="000000"/>
              </w:rPr>
              <w:t>369</w:t>
            </w:r>
          </w:p>
        </w:tc>
        <w:tc>
          <w:tcPr>
            <w:tcW w:w="1009" w:type="dxa"/>
            <w:tcBorders>
              <w:bottom w:val="single" w:sz="4" w:space="0" w:color="000000"/>
              <w:right w:val="single" w:sz="4" w:space="0" w:color="000000"/>
            </w:tcBorders>
            <w:vAlign w:val="center"/>
          </w:tcPr>
          <w:p w14:paraId="1F7718EE" w14:textId="11056C9C" w:rsidR="00962312" w:rsidRPr="002A0142" w:rsidRDefault="00962312" w:rsidP="002A0142">
            <w:pPr>
              <w:jc w:val="right"/>
              <w:rPr>
                <w:rFonts w:ascii="Arial" w:hAnsi="Arial" w:cs="Arial"/>
                <w:bCs/>
                <w:color w:val="000000"/>
              </w:rPr>
            </w:pPr>
            <w:r w:rsidRPr="002A0142">
              <w:rPr>
                <w:rFonts w:ascii="Arial" w:hAnsi="Arial" w:cs="Arial"/>
                <w:bCs/>
                <w:color w:val="000000"/>
              </w:rPr>
              <w:t>370</w:t>
            </w:r>
          </w:p>
        </w:tc>
        <w:tc>
          <w:tcPr>
            <w:tcW w:w="1009" w:type="dxa"/>
            <w:tcBorders>
              <w:bottom w:val="single" w:sz="4" w:space="0" w:color="000000"/>
              <w:right w:val="single" w:sz="4" w:space="0" w:color="000000"/>
            </w:tcBorders>
            <w:vAlign w:val="center"/>
          </w:tcPr>
          <w:p w14:paraId="7898CB57" w14:textId="7D9B1FDE" w:rsidR="00962312" w:rsidRPr="002A0142" w:rsidRDefault="0004323D" w:rsidP="00BD4EC9">
            <w:pPr>
              <w:jc w:val="right"/>
              <w:rPr>
                <w:rFonts w:ascii="Arial" w:hAnsi="Arial" w:cs="Arial"/>
                <w:bCs/>
                <w:color w:val="000000"/>
              </w:rPr>
            </w:pPr>
            <w:r>
              <w:rPr>
                <w:rFonts w:ascii="Arial" w:hAnsi="Arial" w:cs="Arial"/>
                <w:bCs/>
                <w:color w:val="000000"/>
              </w:rPr>
              <w:t>378</w:t>
            </w:r>
          </w:p>
        </w:tc>
      </w:tr>
      <w:tr w:rsidR="00962312" w:rsidRPr="002A0142" w14:paraId="18F2DEAD" w14:textId="0A65291E"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3EE58974"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w zakresie stosowania śor metodą fumigacja</w:t>
            </w:r>
          </w:p>
        </w:tc>
        <w:tc>
          <w:tcPr>
            <w:tcW w:w="1009" w:type="dxa"/>
            <w:tcBorders>
              <w:bottom w:val="single" w:sz="4" w:space="0" w:color="000000"/>
              <w:right w:val="single" w:sz="4" w:space="0" w:color="000000"/>
            </w:tcBorders>
            <w:vAlign w:val="center"/>
          </w:tcPr>
          <w:p w14:paraId="06D6F0B9" w14:textId="77777777" w:rsidR="00962312" w:rsidRPr="00925BCD" w:rsidRDefault="00962312" w:rsidP="007E6EBF">
            <w:pPr>
              <w:jc w:val="right"/>
              <w:rPr>
                <w:rFonts w:ascii="Arial" w:hAnsi="Arial" w:cs="Arial"/>
                <w:color w:val="000000"/>
              </w:rPr>
            </w:pPr>
            <w:r w:rsidRPr="00925BCD">
              <w:rPr>
                <w:rFonts w:ascii="Arial" w:hAnsi="Arial" w:cs="Arial"/>
                <w:color w:val="000000"/>
              </w:rPr>
              <w:t>66</w:t>
            </w:r>
          </w:p>
        </w:tc>
        <w:tc>
          <w:tcPr>
            <w:tcW w:w="1009" w:type="dxa"/>
            <w:tcBorders>
              <w:bottom w:val="single" w:sz="4" w:space="0" w:color="000000"/>
              <w:right w:val="single" w:sz="4" w:space="0" w:color="000000"/>
            </w:tcBorders>
            <w:vAlign w:val="center"/>
          </w:tcPr>
          <w:p w14:paraId="7EDDAAEA" w14:textId="77777777" w:rsidR="00962312" w:rsidRPr="00925BCD" w:rsidRDefault="00962312" w:rsidP="007E6EBF">
            <w:pPr>
              <w:jc w:val="right"/>
              <w:rPr>
                <w:rFonts w:ascii="Arial" w:hAnsi="Arial" w:cs="Arial"/>
                <w:color w:val="000000"/>
              </w:rPr>
            </w:pPr>
            <w:r w:rsidRPr="00925BCD">
              <w:rPr>
                <w:rFonts w:ascii="Arial" w:hAnsi="Arial" w:cs="Arial"/>
                <w:color w:val="000000"/>
              </w:rPr>
              <w:t>74</w:t>
            </w:r>
          </w:p>
        </w:tc>
        <w:tc>
          <w:tcPr>
            <w:tcW w:w="1009" w:type="dxa"/>
            <w:tcBorders>
              <w:bottom w:val="single" w:sz="4" w:space="0" w:color="000000"/>
              <w:right w:val="single" w:sz="4" w:space="0" w:color="000000"/>
            </w:tcBorders>
            <w:vAlign w:val="center"/>
          </w:tcPr>
          <w:p w14:paraId="5D384AF7" w14:textId="2B7D1626" w:rsidR="00962312" w:rsidRPr="00925BCD" w:rsidRDefault="00962312" w:rsidP="007E6EBF">
            <w:pPr>
              <w:jc w:val="right"/>
              <w:rPr>
                <w:rFonts w:ascii="Arial" w:hAnsi="Arial" w:cs="Arial"/>
                <w:color w:val="000000"/>
              </w:rPr>
            </w:pPr>
            <w:r>
              <w:rPr>
                <w:rFonts w:ascii="Arial" w:hAnsi="Arial" w:cs="Arial"/>
                <w:color w:val="000000"/>
              </w:rPr>
              <w:t>77</w:t>
            </w:r>
          </w:p>
        </w:tc>
        <w:tc>
          <w:tcPr>
            <w:tcW w:w="1009" w:type="dxa"/>
            <w:tcBorders>
              <w:bottom w:val="single" w:sz="4" w:space="0" w:color="000000"/>
              <w:right w:val="single" w:sz="4" w:space="0" w:color="000000"/>
            </w:tcBorders>
            <w:vAlign w:val="center"/>
          </w:tcPr>
          <w:p w14:paraId="1E01C409" w14:textId="46067DC0" w:rsidR="00962312" w:rsidRPr="002A0142" w:rsidRDefault="00962312" w:rsidP="002A0142">
            <w:pPr>
              <w:jc w:val="right"/>
              <w:rPr>
                <w:rFonts w:ascii="Arial" w:hAnsi="Arial" w:cs="Arial"/>
                <w:bCs/>
                <w:color w:val="000000"/>
              </w:rPr>
            </w:pPr>
            <w:r w:rsidRPr="002A0142">
              <w:rPr>
                <w:rFonts w:ascii="Arial" w:hAnsi="Arial" w:cs="Arial"/>
                <w:bCs/>
                <w:color w:val="000000"/>
              </w:rPr>
              <w:t>77</w:t>
            </w:r>
          </w:p>
        </w:tc>
        <w:tc>
          <w:tcPr>
            <w:tcW w:w="1009" w:type="dxa"/>
            <w:tcBorders>
              <w:bottom w:val="single" w:sz="4" w:space="0" w:color="000000"/>
              <w:right w:val="single" w:sz="4" w:space="0" w:color="000000"/>
            </w:tcBorders>
            <w:vAlign w:val="center"/>
          </w:tcPr>
          <w:p w14:paraId="65E72443" w14:textId="5A73EEC4" w:rsidR="00962312" w:rsidRPr="002A0142" w:rsidRDefault="00D4760C" w:rsidP="0021651B">
            <w:pPr>
              <w:jc w:val="right"/>
              <w:rPr>
                <w:rFonts w:ascii="Arial" w:hAnsi="Arial" w:cs="Arial"/>
                <w:bCs/>
                <w:color w:val="000000"/>
              </w:rPr>
            </w:pPr>
            <w:r>
              <w:rPr>
                <w:rFonts w:ascii="Arial" w:hAnsi="Arial" w:cs="Arial"/>
                <w:bCs/>
                <w:color w:val="000000"/>
              </w:rPr>
              <w:t>85</w:t>
            </w:r>
          </w:p>
        </w:tc>
      </w:tr>
      <w:tr w:rsidR="00962312" w:rsidRPr="002A0142" w14:paraId="396E2F3E" w14:textId="5959936D"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38555C81"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w zakresie stosowania śor sprzętem agrolotniczym</w:t>
            </w:r>
          </w:p>
        </w:tc>
        <w:tc>
          <w:tcPr>
            <w:tcW w:w="1009" w:type="dxa"/>
            <w:tcBorders>
              <w:bottom w:val="single" w:sz="4" w:space="0" w:color="000000"/>
              <w:right w:val="single" w:sz="4" w:space="0" w:color="000000"/>
            </w:tcBorders>
            <w:vAlign w:val="center"/>
          </w:tcPr>
          <w:p w14:paraId="3DCA898B" w14:textId="77777777" w:rsidR="00962312" w:rsidRPr="00925BCD" w:rsidRDefault="00962312" w:rsidP="007E6EBF">
            <w:pPr>
              <w:jc w:val="right"/>
              <w:rPr>
                <w:rFonts w:ascii="Arial" w:hAnsi="Arial" w:cs="Arial"/>
                <w:color w:val="000000"/>
              </w:rPr>
            </w:pPr>
            <w:r w:rsidRPr="00925BCD">
              <w:rPr>
                <w:rFonts w:ascii="Arial" w:hAnsi="Arial" w:cs="Arial"/>
                <w:color w:val="000000"/>
              </w:rPr>
              <w:t>23</w:t>
            </w:r>
          </w:p>
        </w:tc>
        <w:tc>
          <w:tcPr>
            <w:tcW w:w="1009" w:type="dxa"/>
            <w:tcBorders>
              <w:bottom w:val="single" w:sz="4" w:space="0" w:color="000000"/>
              <w:right w:val="single" w:sz="4" w:space="0" w:color="000000"/>
            </w:tcBorders>
            <w:vAlign w:val="center"/>
          </w:tcPr>
          <w:p w14:paraId="1E0B7AAE" w14:textId="77777777" w:rsidR="00962312" w:rsidRPr="00925BCD" w:rsidRDefault="00962312" w:rsidP="007E6EBF">
            <w:pPr>
              <w:jc w:val="right"/>
              <w:rPr>
                <w:rFonts w:ascii="Arial" w:hAnsi="Arial" w:cs="Arial"/>
                <w:color w:val="000000"/>
              </w:rPr>
            </w:pPr>
            <w:r w:rsidRPr="00925BCD">
              <w:rPr>
                <w:rFonts w:ascii="Arial" w:hAnsi="Arial" w:cs="Arial"/>
                <w:color w:val="000000"/>
              </w:rPr>
              <w:t>27</w:t>
            </w:r>
          </w:p>
        </w:tc>
        <w:tc>
          <w:tcPr>
            <w:tcW w:w="1009" w:type="dxa"/>
            <w:tcBorders>
              <w:bottom w:val="single" w:sz="4" w:space="0" w:color="000000"/>
              <w:right w:val="single" w:sz="4" w:space="0" w:color="000000"/>
            </w:tcBorders>
            <w:vAlign w:val="center"/>
          </w:tcPr>
          <w:p w14:paraId="5CBEE939" w14:textId="78C78273" w:rsidR="00962312" w:rsidRPr="00925BCD" w:rsidRDefault="00962312" w:rsidP="007E6EBF">
            <w:pPr>
              <w:jc w:val="right"/>
              <w:rPr>
                <w:rFonts w:ascii="Arial" w:hAnsi="Arial" w:cs="Arial"/>
                <w:color w:val="000000"/>
              </w:rPr>
            </w:pPr>
            <w:r>
              <w:rPr>
                <w:rFonts w:ascii="Arial" w:hAnsi="Arial" w:cs="Arial"/>
                <w:color w:val="000000"/>
              </w:rPr>
              <w:t>29</w:t>
            </w:r>
          </w:p>
        </w:tc>
        <w:tc>
          <w:tcPr>
            <w:tcW w:w="1009" w:type="dxa"/>
            <w:tcBorders>
              <w:bottom w:val="single" w:sz="4" w:space="0" w:color="000000"/>
              <w:right w:val="single" w:sz="4" w:space="0" w:color="000000"/>
            </w:tcBorders>
            <w:vAlign w:val="center"/>
          </w:tcPr>
          <w:p w14:paraId="15962739" w14:textId="2EE71E69" w:rsidR="00962312" w:rsidRPr="002A0142" w:rsidRDefault="00962312" w:rsidP="002A0142">
            <w:pPr>
              <w:jc w:val="right"/>
              <w:rPr>
                <w:rFonts w:ascii="Arial" w:hAnsi="Arial" w:cs="Arial"/>
                <w:bCs/>
                <w:color w:val="000000"/>
              </w:rPr>
            </w:pPr>
            <w:r w:rsidRPr="002A0142">
              <w:rPr>
                <w:rFonts w:ascii="Arial" w:hAnsi="Arial" w:cs="Arial"/>
                <w:bCs/>
                <w:color w:val="000000"/>
              </w:rPr>
              <w:t>28</w:t>
            </w:r>
          </w:p>
        </w:tc>
        <w:tc>
          <w:tcPr>
            <w:tcW w:w="1009" w:type="dxa"/>
            <w:tcBorders>
              <w:bottom w:val="single" w:sz="4" w:space="0" w:color="000000"/>
              <w:right w:val="single" w:sz="4" w:space="0" w:color="000000"/>
            </w:tcBorders>
            <w:vAlign w:val="center"/>
          </w:tcPr>
          <w:p w14:paraId="5C799769" w14:textId="3FC93647" w:rsidR="00962312" w:rsidRPr="002A0142" w:rsidRDefault="00D4760C" w:rsidP="0021651B">
            <w:pPr>
              <w:jc w:val="right"/>
              <w:rPr>
                <w:rFonts w:ascii="Arial" w:hAnsi="Arial" w:cs="Arial"/>
                <w:bCs/>
                <w:color w:val="000000"/>
              </w:rPr>
            </w:pPr>
            <w:r>
              <w:rPr>
                <w:rFonts w:ascii="Arial" w:hAnsi="Arial" w:cs="Arial"/>
                <w:bCs/>
                <w:color w:val="000000"/>
              </w:rPr>
              <w:t>32</w:t>
            </w:r>
          </w:p>
        </w:tc>
      </w:tr>
      <w:tr w:rsidR="00962312" w:rsidRPr="002A0142" w14:paraId="08428075" w14:textId="0B44BE6D" w:rsidTr="00075309">
        <w:trPr>
          <w:trHeight w:val="535"/>
        </w:trPr>
        <w:tc>
          <w:tcPr>
            <w:tcW w:w="4017" w:type="dxa"/>
            <w:tcBorders>
              <w:left w:val="single" w:sz="4" w:space="0" w:color="000000"/>
              <w:bottom w:val="single" w:sz="4" w:space="0" w:color="000000"/>
              <w:right w:val="single" w:sz="4" w:space="0" w:color="000000"/>
            </w:tcBorders>
            <w:shd w:val="clear" w:color="auto" w:fill="auto"/>
            <w:vAlign w:val="center"/>
          </w:tcPr>
          <w:p w14:paraId="531722AE"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sprzętem montowanym na pojazdach szynowych oraz innym stosowanym w kolejnictwie </w:t>
            </w:r>
          </w:p>
        </w:tc>
        <w:tc>
          <w:tcPr>
            <w:tcW w:w="1009" w:type="dxa"/>
            <w:tcBorders>
              <w:bottom w:val="single" w:sz="4" w:space="0" w:color="000000"/>
              <w:right w:val="single" w:sz="4" w:space="0" w:color="000000"/>
            </w:tcBorders>
            <w:vAlign w:val="center"/>
          </w:tcPr>
          <w:p w14:paraId="399A6027" w14:textId="77777777" w:rsidR="00962312" w:rsidRPr="00925BCD" w:rsidRDefault="00962312" w:rsidP="007E6EBF">
            <w:pPr>
              <w:jc w:val="right"/>
              <w:rPr>
                <w:rFonts w:ascii="Arial" w:hAnsi="Arial" w:cs="Arial"/>
                <w:color w:val="000000"/>
              </w:rPr>
            </w:pPr>
            <w:r w:rsidRPr="00925BCD">
              <w:rPr>
                <w:rFonts w:ascii="Arial" w:hAnsi="Arial" w:cs="Arial"/>
                <w:color w:val="000000"/>
              </w:rPr>
              <w:t>46</w:t>
            </w:r>
          </w:p>
        </w:tc>
        <w:tc>
          <w:tcPr>
            <w:tcW w:w="1009" w:type="dxa"/>
            <w:tcBorders>
              <w:bottom w:val="single" w:sz="4" w:space="0" w:color="000000"/>
              <w:right w:val="single" w:sz="4" w:space="0" w:color="000000"/>
            </w:tcBorders>
            <w:vAlign w:val="center"/>
          </w:tcPr>
          <w:p w14:paraId="72678411" w14:textId="77777777" w:rsidR="00962312" w:rsidRPr="00925BCD" w:rsidRDefault="00962312" w:rsidP="007E6EBF">
            <w:pPr>
              <w:jc w:val="right"/>
              <w:rPr>
                <w:rFonts w:ascii="Arial" w:hAnsi="Arial" w:cs="Arial"/>
                <w:color w:val="000000"/>
              </w:rPr>
            </w:pPr>
            <w:r w:rsidRPr="00925BCD">
              <w:rPr>
                <w:rFonts w:ascii="Arial" w:hAnsi="Arial" w:cs="Arial"/>
                <w:color w:val="000000"/>
              </w:rPr>
              <w:t>52</w:t>
            </w:r>
          </w:p>
        </w:tc>
        <w:tc>
          <w:tcPr>
            <w:tcW w:w="1009" w:type="dxa"/>
            <w:tcBorders>
              <w:bottom w:val="single" w:sz="4" w:space="0" w:color="000000"/>
              <w:right w:val="single" w:sz="4" w:space="0" w:color="000000"/>
            </w:tcBorders>
            <w:vAlign w:val="center"/>
          </w:tcPr>
          <w:p w14:paraId="39DCCF34" w14:textId="18E45D08" w:rsidR="00962312" w:rsidRPr="00925BCD" w:rsidRDefault="00962312" w:rsidP="007E6EBF">
            <w:pPr>
              <w:jc w:val="right"/>
              <w:rPr>
                <w:rFonts w:ascii="Arial" w:hAnsi="Arial" w:cs="Arial"/>
                <w:color w:val="000000"/>
              </w:rPr>
            </w:pPr>
            <w:r>
              <w:rPr>
                <w:rFonts w:ascii="Arial" w:hAnsi="Arial" w:cs="Arial"/>
                <w:color w:val="000000"/>
              </w:rPr>
              <w:t>55</w:t>
            </w:r>
          </w:p>
        </w:tc>
        <w:tc>
          <w:tcPr>
            <w:tcW w:w="1009" w:type="dxa"/>
            <w:tcBorders>
              <w:bottom w:val="single" w:sz="4" w:space="0" w:color="000000"/>
              <w:right w:val="single" w:sz="4" w:space="0" w:color="000000"/>
            </w:tcBorders>
            <w:vAlign w:val="center"/>
          </w:tcPr>
          <w:p w14:paraId="6BBB322F" w14:textId="04C60F79" w:rsidR="00962312" w:rsidRPr="002A0142" w:rsidRDefault="00962312" w:rsidP="002A0142">
            <w:pPr>
              <w:jc w:val="right"/>
              <w:rPr>
                <w:rFonts w:ascii="Arial" w:hAnsi="Arial" w:cs="Arial"/>
                <w:bCs/>
                <w:color w:val="000000"/>
              </w:rPr>
            </w:pPr>
            <w:r w:rsidRPr="002A0142">
              <w:rPr>
                <w:rFonts w:ascii="Arial" w:hAnsi="Arial" w:cs="Arial"/>
                <w:bCs/>
                <w:color w:val="000000"/>
              </w:rPr>
              <w:t>55</w:t>
            </w:r>
          </w:p>
        </w:tc>
        <w:tc>
          <w:tcPr>
            <w:tcW w:w="1009" w:type="dxa"/>
            <w:tcBorders>
              <w:bottom w:val="single" w:sz="4" w:space="0" w:color="000000"/>
              <w:right w:val="single" w:sz="4" w:space="0" w:color="000000"/>
            </w:tcBorders>
            <w:vAlign w:val="center"/>
          </w:tcPr>
          <w:p w14:paraId="674A1FEE" w14:textId="0B7595BF" w:rsidR="00962312" w:rsidRPr="002A0142" w:rsidRDefault="00BA60B7" w:rsidP="0021651B">
            <w:pPr>
              <w:jc w:val="right"/>
              <w:rPr>
                <w:rFonts w:ascii="Arial" w:hAnsi="Arial" w:cs="Arial"/>
                <w:bCs/>
                <w:color w:val="000000"/>
              </w:rPr>
            </w:pPr>
            <w:r>
              <w:rPr>
                <w:rFonts w:ascii="Arial" w:hAnsi="Arial" w:cs="Arial"/>
                <w:bCs/>
                <w:color w:val="000000"/>
              </w:rPr>
              <w:t>62</w:t>
            </w:r>
          </w:p>
        </w:tc>
      </w:tr>
      <w:tr w:rsidR="00962312" w:rsidRPr="002A0142" w14:paraId="7B8CBBFF" w14:textId="6D21DC97"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7A46BAC7"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w zakresie doradztwa dotyczącego śor</w:t>
            </w:r>
          </w:p>
        </w:tc>
        <w:tc>
          <w:tcPr>
            <w:tcW w:w="1009" w:type="dxa"/>
            <w:tcBorders>
              <w:bottom w:val="single" w:sz="4" w:space="0" w:color="000000"/>
              <w:right w:val="single" w:sz="4" w:space="0" w:color="000000"/>
            </w:tcBorders>
            <w:vAlign w:val="center"/>
          </w:tcPr>
          <w:p w14:paraId="06785FEE" w14:textId="77777777" w:rsidR="00962312" w:rsidRPr="00925BCD" w:rsidRDefault="00962312" w:rsidP="007E6EBF">
            <w:pPr>
              <w:jc w:val="right"/>
              <w:rPr>
                <w:rFonts w:ascii="Arial" w:hAnsi="Arial" w:cs="Arial"/>
                <w:color w:val="000000"/>
              </w:rPr>
            </w:pPr>
            <w:r w:rsidRPr="00925BCD">
              <w:rPr>
                <w:rFonts w:ascii="Arial" w:hAnsi="Arial" w:cs="Arial"/>
                <w:color w:val="000000"/>
              </w:rPr>
              <w:t>261</w:t>
            </w:r>
          </w:p>
        </w:tc>
        <w:tc>
          <w:tcPr>
            <w:tcW w:w="1009" w:type="dxa"/>
            <w:tcBorders>
              <w:bottom w:val="single" w:sz="4" w:space="0" w:color="000000"/>
              <w:right w:val="single" w:sz="4" w:space="0" w:color="000000"/>
            </w:tcBorders>
            <w:vAlign w:val="center"/>
          </w:tcPr>
          <w:p w14:paraId="5304D5D9" w14:textId="77777777" w:rsidR="00962312" w:rsidRPr="00925BCD" w:rsidRDefault="00962312" w:rsidP="007E6EBF">
            <w:pPr>
              <w:jc w:val="right"/>
              <w:rPr>
                <w:rFonts w:ascii="Arial" w:hAnsi="Arial" w:cs="Arial"/>
                <w:color w:val="000000"/>
              </w:rPr>
            </w:pPr>
            <w:r w:rsidRPr="00925BCD">
              <w:rPr>
                <w:rFonts w:ascii="Arial" w:hAnsi="Arial" w:cs="Arial"/>
                <w:color w:val="000000"/>
              </w:rPr>
              <w:t>268</w:t>
            </w:r>
          </w:p>
        </w:tc>
        <w:tc>
          <w:tcPr>
            <w:tcW w:w="1009" w:type="dxa"/>
            <w:tcBorders>
              <w:bottom w:val="single" w:sz="4" w:space="0" w:color="000000"/>
              <w:right w:val="single" w:sz="4" w:space="0" w:color="000000"/>
            </w:tcBorders>
            <w:vAlign w:val="center"/>
          </w:tcPr>
          <w:p w14:paraId="66826EFB" w14:textId="0BD1BB13" w:rsidR="00962312" w:rsidRPr="00925BCD" w:rsidRDefault="00962312" w:rsidP="007E6EBF">
            <w:pPr>
              <w:jc w:val="right"/>
              <w:rPr>
                <w:rFonts w:ascii="Arial" w:hAnsi="Arial" w:cs="Arial"/>
                <w:color w:val="000000"/>
              </w:rPr>
            </w:pPr>
            <w:r>
              <w:rPr>
                <w:rFonts w:ascii="Arial" w:hAnsi="Arial" w:cs="Arial"/>
                <w:color w:val="000000"/>
              </w:rPr>
              <w:t>267</w:t>
            </w:r>
          </w:p>
        </w:tc>
        <w:tc>
          <w:tcPr>
            <w:tcW w:w="1009" w:type="dxa"/>
            <w:tcBorders>
              <w:bottom w:val="single" w:sz="4" w:space="0" w:color="000000"/>
              <w:right w:val="single" w:sz="4" w:space="0" w:color="000000"/>
            </w:tcBorders>
            <w:vAlign w:val="center"/>
          </w:tcPr>
          <w:p w14:paraId="42786EFD" w14:textId="1778A280" w:rsidR="00962312" w:rsidRPr="002A0142" w:rsidRDefault="00962312" w:rsidP="002A0142">
            <w:pPr>
              <w:jc w:val="right"/>
              <w:rPr>
                <w:rFonts w:ascii="Arial" w:hAnsi="Arial" w:cs="Arial"/>
                <w:bCs/>
                <w:color w:val="000000"/>
              </w:rPr>
            </w:pPr>
            <w:r w:rsidRPr="002A0142">
              <w:rPr>
                <w:rFonts w:ascii="Arial" w:hAnsi="Arial" w:cs="Arial"/>
                <w:bCs/>
                <w:color w:val="000000"/>
              </w:rPr>
              <w:t>270</w:t>
            </w:r>
          </w:p>
        </w:tc>
        <w:tc>
          <w:tcPr>
            <w:tcW w:w="1009" w:type="dxa"/>
            <w:tcBorders>
              <w:bottom w:val="single" w:sz="4" w:space="0" w:color="000000"/>
              <w:right w:val="single" w:sz="4" w:space="0" w:color="000000"/>
            </w:tcBorders>
            <w:vAlign w:val="center"/>
          </w:tcPr>
          <w:p w14:paraId="47188C3C" w14:textId="68F50FEF" w:rsidR="00962312" w:rsidRPr="002A0142" w:rsidRDefault="000F242E" w:rsidP="00BD4EC9">
            <w:pPr>
              <w:jc w:val="right"/>
              <w:rPr>
                <w:rFonts w:ascii="Arial" w:hAnsi="Arial" w:cs="Arial"/>
                <w:bCs/>
                <w:color w:val="000000"/>
              </w:rPr>
            </w:pPr>
            <w:r>
              <w:rPr>
                <w:rFonts w:ascii="Arial" w:hAnsi="Arial" w:cs="Arial"/>
                <w:bCs/>
                <w:color w:val="000000"/>
              </w:rPr>
              <w:t>276</w:t>
            </w:r>
          </w:p>
        </w:tc>
      </w:tr>
      <w:tr w:rsidR="00962312" w:rsidRPr="002A0142" w14:paraId="34582EEF" w14:textId="3AF142AA"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6115217E"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IP</w:t>
            </w:r>
          </w:p>
        </w:tc>
        <w:tc>
          <w:tcPr>
            <w:tcW w:w="1009" w:type="dxa"/>
            <w:tcBorders>
              <w:bottom w:val="single" w:sz="4" w:space="0" w:color="000000"/>
              <w:right w:val="single" w:sz="4" w:space="0" w:color="000000"/>
            </w:tcBorders>
            <w:vAlign w:val="center"/>
          </w:tcPr>
          <w:p w14:paraId="02B2C25B" w14:textId="77777777" w:rsidR="00962312" w:rsidRPr="00925BCD" w:rsidRDefault="00962312" w:rsidP="007E6EBF">
            <w:pPr>
              <w:jc w:val="right"/>
              <w:rPr>
                <w:rFonts w:ascii="Arial" w:hAnsi="Arial" w:cs="Arial"/>
                <w:color w:val="000000"/>
              </w:rPr>
            </w:pPr>
            <w:r w:rsidRPr="00925BCD">
              <w:rPr>
                <w:rFonts w:ascii="Arial" w:hAnsi="Arial" w:cs="Arial"/>
                <w:color w:val="000000"/>
              </w:rPr>
              <w:t>157</w:t>
            </w:r>
          </w:p>
        </w:tc>
        <w:tc>
          <w:tcPr>
            <w:tcW w:w="1009" w:type="dxa"/>
            <w:tcBorders>
              <w:bottom w:val="single" w:sz="4" w:space="0" w:color="000000"/>
              <w:right w:val="single" w:sz="4" w:space="0" w:color="000000"/>
            </w:tcBorders>
            <w:vAlign w:val="center"/>
          </w:tcPr>
          <w:p w14:paraId="1ED6DFE6" w14:textId="77777777" w:rsidR="00962312" w:rsidRPr="00925BCD" w:rsidRDefault="00962312" w:rsidP="007E6EBF">
            <w:pPr>
              <w:jc w:val="right"/>
              <w:rPr>
                <w:rFonts w:ascii="Arial" w:hAnsi="Arial" w:cs="Arial"/>
                <w:color w:val="000000"/>
              </w:rPr>
            </w:pPr>
            <w:r w:rsidRPr="00925BCD">
              <w:rPr>
                <w:rFonts w:ascii="Arial" w:hAnsi="Arial" w:cs="Arial"/>
                <w:color w:val="000000"/>
              </w:rPr>
              <w:t>167</w:t>
            </w:r>
          </w:p>
        </w:tc>
        <w:tc>
          <w:tcPr>
            <w:tcW w:w="1009" w:type="dxa"/>
            <w:tcBorders>
              <w:bottom w:val="single" w:sz="4" w:space="0" w:color="000000"/>
              <w:right w:val="single" w:sz="4" w:space="0" w:color="000000"/>
            </w:tcBorders>
            <w:vAlign w:val="center"/>
          </w:tcPr>
          <w:p w14:paraId="594E4FEE" w14:textId="0802801A" w:rsidR="00962312" w:rsidRPr="00925BCD" w:rsidRDefault="00962312" w:rsidP="007E6EBF">
            <w:pPr>
              <w:jc w:val="right"/>
              <w:rPr>
                <w:rFonts w:ascii="Arial" w:hAnsi="Arial" w:cs="Arial"/>
                <w:color w:val="000000"/>
              </w:rPr>
            </w:pPr>
            <w:r>
              <w:rPr>
                <w:rFonts w:ascii="Arial" w:hAnsi="Arial" w:cs="Arial"/>
                <w:color w:val="000000"/>
              </w:rPr>
              <w:t>166</w:t>
            </w:r>
          </w:p>
        </w:tc>
        <w:tc>
          <w:tcPr>
            <w:tcW w:w="1009" w:type="dxa"/>
            <w:tcBorders>
              <w:bottom w:val="single" w:sz="4" w:space="0" w:color="000000"/>
              <w:right w:val="single" w:sz="4" w:space="0" w:color="000000"/>
            </w:tcBorders>
            <w:vAlign w:val="center"/>
          </w:tcPr>
          <w:p w14:paraId="70DA5EBA" w14:textId="1BC6EA79" w:rsidR="00962312" w:rsidRPr="002A0142" w:rsidRDefault="00962312" w:rsidP="002A0142">
            <w:pPr>
              <w:jc w:val="right"/>
              <w:rPr>
                <w:rFonts w:ascii="Arial" w:hAnsi="Arial" w:cs="Arial"/>
                <w:bCs/>
                <w:color w:val="000000"/>
              </w:rPr>
            </w:pPr>
            <w:r w:rsidRPr="002A0142">
              <w:rPr>
                <w:rFonts w:ascii="Arial" w:hAnsi="Arial" w:cs="Arial"/>
                <w:bCs/>
                <w:color w:val="000000"/>
              </w:rPr>
              <w:t>167</w:t>
            </w:r>
          </w:p>
        </w:tc>
        <w:tc>
          <w:tcPr>
            <w:tcW w:w="1009" w:type="dxa"/>
            <w:tcBorders>
              <w:bottom w:val="single" w:sz="4" w:space="0" w:color="000000"/>
              <w:right w:val="single" w:sz="4" w:space="0" w:color="000000"/>
            </w:tcBorders>
          </w:tcPr>
          <w:p w14:paraId="54973FE2" w14:textId="444DED5A" w:rsidR="00962312" w:rsidRPr="002A0142" w:rsidRDefault="00F87D3A" w:rsidP="002A0142">
            <w:pPr>
              <w:jc w:val="right"/>
              <w:rPr>
                <w:rFonts w:ascii="Arial" w:hAnsi="Arial" w:cs="Arial"/>
                <w:bCs/>
                <w:color w:val="000000"/>
              </w:rPr>
            </w:pPr>
            <w:r>
              <w:rPr>
                <w:rFonts w:ascii="Arial" w:hAnsi="Arial" w:cs="Arial"/>
                <w:bCs/>
                <w:color w:val="000000"/>
              </w:rPr>
              <w:t>172</w:t>
            </w:r>
          </w:p>
        </w:tc>
      </w:tr>
      <w:tr w:rsidR="00962312" w:rsidRPr="002A0142" w14:paraId="1FE561E9" w14:textId="774EF27B" w:rsidTr="00075309">
        <w:trPr>
          <w:trHeight w:val="803"/>
        </w:trPr>
        <w:tc>
          <w:tcPr>
            <w:tcW w:w="4017" w:type="dxa"/>
            <w:tcBorders>
              <w:left w:val="single" w:sz="4" w:space="0" w:color="000000"/>
              <w:bottom w:val="single" w:sz="4" w:space="0" w:color="000000"/>
              <w:right w:val="single" w:sz="4" w:space="0" w:color="000000"/>
            </w:tcBorders>
            <w:shd w:val="clear" w:color="auto" w:fill="auto"/>
            <w:vAlign w:val="center"/>
          </w:tcPr>
          <w:p w14:paraId="360D5008"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naziemnego przeznaczonego do stosowania śor </w:t>
            </w:r>
          </w:p>
        </w:tc>
        <w:tc>
          <w:tcPr>
            <w:tcW w:w="1009" w:type="dxa"/>
            <w:tcBorders>
              <w:bottom w:val="single" w:sz="4" w:space="0" w:color="000000"/>
              <w:right w:val="single" w:sz="4" w:space="0" w:color="000000"/>
            </w:tcBorders>
            <w:vAlign w:val="center"/>
          </w:tcPr>
          <w:p w14:paraId="37C40824" w14:textId="77777777" w:rsidR="00962312" w:rsidRPr="00925BCD" w:rsidRDefault="00962312" w:rsidP="007E6EBF">
            <w:pPr>
              <w:jc w:val="right"/>
              <w:rPr>
                <w:rFonts w:ascii="Arial" w:hAnsi="Arial" w:cs="Arial"/>
                <w:color w:val="000000"/>
              </w:rPr>
            </w:pPr>
            <w:r w:rsidRPr="00925BCD">
              <w:rPr>
                <w:rFonts w:ascii="Arial" w:hAnsi="Arial" w:cs="Arial"/>
                <w:color w:val="000000"/>
              </w:rPr>
              <w:t>17</w:t>
            </w:r>
          </w:p>
        </w:tc>
        <w:tc>
          <w:tcPr>
            <w:tcW w:w="1009" w:type="dxa"/>
            <w:tcBorders>
              <w:bottom w:val="single" w:sz="4" w:space="0" w:color="000000"/>
              <w:right w:val="single" w:sz="4" w:space="0" w:color="000000"/>
            </w:tcBorders>
            <w:vAlign w:val="center"/>
          </w:tcPr>
          <w:p w14:paraId="7679209F" w14:textId="77777777" w:rsidR="00962312" w:rsidRPr="00925BCD" w:rsidRDefault="00962312" w:rsidP="007E6EBF">
            <w:pPr>
              <w:jc w:val="right"/>
              <w:rPr>
                <w:rFonts w:ascii="Arial" w:hAnsi="Arial" w:cs="Arial"/>
                <w:color w:val="000000"/>
              </w:rPr>
            </w:pPr>
            <w:r w:rsidRPr="00925BCD">
              <w:rPr>
                <w:rFonts w:ascii="Arial" w:hAnsi="Arial" w:cs="Arial"/>
                <w:color w:val="000000"/>
              </w:rPr>
              <w:t>20</w:t>
            </w:r>
          </w:p>
        </w:tc>
        <w:tc>
          <w:tcPr>
            <w:tcW w:w="1009" w:type="dxa"/>
            <w:tcBorders>
              <w:bottom w:val="single" w:sz="4" w:space="0" w:color="000000"/>
              <w:right w:val="single" w:sz="4" w:space="0" w:color="000000"/>
            </w:tcBorders>
            <w:vAlign w:val="center"/>
          </w:tcPr>
          <w:p w14:paraId="0F7B5282" w14:textId="62F921C3" w:rsidR="00962312" w:rsidRPr="00925BCD" w:rsidRDefault="00962312" w:rsidP="007E6EBF">
            <w:pPr>
              <w:jc w:val="right"/>
              <w:rPr>
                <w:rFonts w:ascii="Arial" w:hAnsi="Arial" w:cs="Arial"/>
                <w:color w:val="000000"/>
              </w:rPr>
            </w:pPr>
            <w:r>
              <w:rPr>
                <w:rFonts w:ascii="Arial" w:hAnsi="Arial" w:cs="Arial"/>
                <w:color w:val="000000"/>
              </w:rPr>
              <w:t>22</w:t>
            </w:r>
          </w:p>
        </w:tc>
        <w:tc>
          <w:tcPr>
            <w:tcW w:w="1009" w:type="dxa"/>
            <w:tcBorders>
              <w:bottom w:val="single" w:sz="4" w:space="0" w:color="000000"/>
              <w:right w:val="single" w:sz="4" w:space="0" w:color="000000"/>
            </w:tcBorders>
            <w:vAlign w:val="center"/>
          </w:tcPr>
          <w:p w14:paraId="6BD58263" w14:textId="48D30F83" w:rsidR="00962312" w:rsidRPr="002A0142" w:rsidRDefault="00962312" w:rsidP="002A0142">
            <w:pPr>
              <w:jc w:val="right"/>
              <w:rPr>
                <w:rFonts w:ascii="Arial" w:hAnsi="Arial" w:cs="Arial"/>
                <w:bCs/>
                <w:color w:val="000000"/>
              </w:rPr>
            </w:pPr>
            <w:r w:rsidRPr="002A0142">
              <w:rPr>
                <w:rFonts w:ascii="Arial" w:hAnsi="Arial" w:cs="Arial"/>
                <w:bCs/>
                <w:color w:val="000000"/>
              </w:rPr>
              <w:t>24</w:t>
            </w:r>
          </w:p>
        </w:tc>
        <w:tc>
          <w:tcPr>
            <w:tcW w:w="1009" w:type="dxa"/>
            <w:tcBorders>
              <w:bottom w:val="single" w:sz="4" w:space="0" w:color="000000"/>
              <w:right w:val="single" w:sz="4" w:space="0" w:color="000000"/>
            </w:tcBorders>
            <w:vAlign w:val="center"/>
          </w:tcPr>
          <w:p w14:paraId="2AB94316" w14:textId="679CBC2B" w:rsidR="00962312" w:rsidRPr="002A0142" w:rsidRDefault="0021651B" w:rsidP="0021651B">
            <w:pPr>
              <w:jc w:val="right"/>
              <w:rPr>
                <w:rFonts w:ascii="Arial" w:hAnsi="Arial" w:cs="Arial"/>
                <w:bCs/>
                <w:color w:val="000000"/>
              </w:rPr>
            </w:pPr>
            <w:r>
              <w:rPr>
                <w:rFonts w:ascii="Arial" w:hAnsi="Arial" w:cs="Arial"/>
                <w:bCs/>
                <w:color w:val="000000"/>
              </w:rPr>
              <w:t>29</w:t>
            </w:r>
          </w:p>
        </w:tc>
      </w:tr>
      <w:tr w:rsidR="00962312" w:rsidRPr="002A0142" w14:paraId="67DE3CD3" w14:textId="4D4E8B5A" w:rsidTr="00075309">
        <w:trPr>
          <w:trHeight w:val="804"/>
        </w:trPr>
        <w:tc>
          <w:tcPr>
            <w:tcW w:w="4017" w:type="dxa"/>
            <w:tcBorders>
              <w:left w:val="single" w:sz="4" w:space="0" w:color="000000"/>
              <w:bottom w:val="single" w:sz="4" w:space="0" w:color="000000"/>
              <w:right w:val="single" w:sz="4" w:space="0" w:color="000000"/>
            </w:tcBorders>
            <w:shd w:val="clear" w:color="auto" w:fill="auto"/>
            <w:vAlign w:val="center"/>
          </w:tcPr>
          <w:p w14:paraId="3DE9DBB8"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agrolotniczego przeznaczonego do stosowania śor </w:t>
            </w:r>
          </w:p>
        </w:tc>
        <w:tc>
          <w:tcPr>
            <w:tcW w:w="1009" w:type="dxa"/>
            <w:tcBorders>
              <w:bottom w:val="single" w:sz="4" w:space="0" w:color="000000"/>
              <w:right w:val="single" w:sz="4" w:space="0" w:color="000000"/>
            </w:tcBorders>
            <w:vAlign w:val="center"/>
          </w:tcPr>
          <w:p w14:paraId="4F9F04E6" w14:textId="77777777" w:rsidR="00962312" w:rsidRPr="00925BCD" w:rsidRDefault="00962312" w:rsidP="007E6EBF">
            <w:pPr>
              <w:jc w:val="right"/>
              <w:rPr>
                <w:rFonts w:ascii="Arial" w:hAnsi="Arial" w:cs="Arial"/>
                <w:color w:val="000000"/>
              </w:rPr>
            </w:pPr>
            <w:r w:rsidRPr="00925BCD">
              <w:rPr>
                <w:rFonts w:ascii="Arial" w:hAnsi="Arial" w:cs="Arial"/>
                <w:color w:val="000000"/>
              </w:rPr>
              <w:t>7</w:t>
            </w:r>
          </w:p>
        </w:tc>
        <w:tc>
          <w:tcPr>
            <w:tcW w:w="1009" w:type="dxa"/>
            <w:tcBorders>
              <w:bottom w:val="single" w:sz="4" w:space="0" w:color="000000"/>
              <w:right w:val="single" w:sz="4" w:space="0" w:color="000000"/>
            </w:tcBorders>
            <w:vAlign w:val="center"/>
          </w:tcPr>
          <w:p w14:paraId="228BCA57" w14:textId="77777777" w:rsidR="00962312" w:rsidRPr="00925BCD" w:rsidRDefault="00962312" w:rsidP="007E6EBF">
            <w:pPr>
              <w:jc w:val="right"/>
              <w:rPr>
                <w:rFonts w:ascii="Arial" w:hAnsi="Arial" w:cs="Arial"/>
                <w:color w:val="000000"/>
              </w:rPr>
            </w:pPr>
            <w:r w:rsidRPr="00925BCD">
              <w:rPr>
                <w:rFonts w:ascii="Arial" w:hAnsi="Arial" w:cs="Arial"/>
                <w:color w:val="000000"/>
              </w:rPr>
              <w:t>8</w:t>
            </w:r>
          </w:p>
        </w:tc>
        <w:tc>
          <w:tcPr>
            <w:tcW w:w="1009" w:type="dxa"/>
            <w:tcBorders>
              <w:bottom w:val="single" w:sz="4" w:space="0" w:color="000000"/>
              <w:right w:val="single" w:sz="4" w:space="0" w:color="000000"/>
            </w:tcBorders>
            <w:vAlign w:val="center"/>
          </w:tcPr>
          <w:p w14:paraId="21347E98" w14:textId="0A911826" w:rsidR="00962312" w:rsidRPr="00925BCD" w:rsidRDefault="00962312" w:rsidP="007E6EBF">
            <w:pPr>
              <w:jc w:val="right"/>
              <w:rPr>
                <w:rFonts w:ascii="Arial" w:hAnsi="Arial" w:cs="Arial"/>
                <w:color w:val="000000"/>
              </w:rPr>
            </w:pPr>
            <w:r>
              <w:rPr>
                <w:rFonts w:ascii="Arial" w:hAnsi="Arial" w:cs="Arial"/>
                <w:color w:val="000000"/>
              </w:rPr>
              <w:t>10</w:t>
            </w:r>
          </w:p>
        </w:tc>
        <w:tc>
          <w:tcPr>
            <w:tcW w:w="1009" w:type="dxa"/>
            <w:tcBorders>
              <w:bottom w:val="single" w:sz="4" w:space="0" w:color="000000"/>
              <w:right w:val="single" w:sz="4" w:space="0" w:color="000000"/>
            </w:tcBorders>
            <w:vAlign w:val="center"/>
          </w:tcPr>
          <w:p w14:paraId="0B9F166B" w14:textId="6406FE76" w:rsidR="00962312" w:rsidRPr="002A0142" w:rsidRDefault="00962312" w:rsidP="002A0142">
            <w:pPr>
              <w:jc w:val="right"/>
              <w:rPr>
                <w:rFonts w:ascii="Arial" w:hAnsi="Arial" w:cs="Arial"/>
                <w:bCs/>
                <w:color w:val="000000"/>
              </w:rPr>
            </w:pPr>
            <w:r w:rsidRPr="002A0142">
              <w:rPr>
                <w:rFonts w:ascii="Arial" w:hAnsi="Arial" w:cs="Arial"/>
                <w:bCs/>
                <w:color w:val="000000"/>
              </w:rPr>
              <w:t>9</w:t>
            </w:r>
          </w:p>
        </w:tc>
        <w:tc>
          <w:tcPr>
            <w:tcW w:w="1009" w:type="dxa"/>
            <w:tcBorders>
              <w:bottom w:val="single" w:sz="4" w:space="0" w:color="000000"/>
              <w:right w:val="single" w:sz="4" w:space="0" w:color="000000"/>
            </w:tcBorders>
            <w:vAlign w:val="center"/>
          </w:tcPr>
          <w:p w14:paraId="5944E318" w14:textId="2426CFA5" w:rsidR="00962312" w:rsidRPr="002A0142" w:rsidRDefault="0021651B" w:rsidP="0021651B">
            <w:pPr>
              <w:jc w:val="right"/>
              <w:rPr>
                <w:rFonts w:ascii="Arial" w:hAnsi="Arial" w:cs="Arial"/>
                <w:bCs/>
                <w:color w:val="000000"/>
              </w:rPr>
            </w:pPr>
            <w:r>
              <w:rPr>
                <w:rFonts w:ascii="Arial" w:hAnsi="Arial" w:cs="Arial"/>
                <w:bCs/>
                <w:color w:val="000000"/>
              </w:rPr>
              <w:t>11</w:t>
            </w:r>
          </w:p>
        </w:tc>
      </w:tr>
      <w:tr w:rsidR="00962312" w:rsidRPr="00925BCD" w14:paraId="77BB1F68" w14:textId="1C3823FB" w:rsidTr="00075309">
        <w:trPr>
          <w:trHeight w:val="267"/>
        </w:trPr>
        <w:tc>
          <w:tcPr>
            <w:tcW w:w="4017" w:type="dxa"/>
            <w:tcBorders>
              <w:top w:val="single" w:sz="4" w:space="0" w:color="000000"/>
              <w:left w:val="single" w:sz="4" w:space="0" w:color="000000"/>
              <w:bottom w:val="single" w:sz="4" w:space="0" w:color="000000"/>
            </w:tcBorders>
            <w:shd w:val="clear" w:color="auto" w:fill="CCFFCC"/>
            <w:vAlign w:val="center"/>
          </w:tcPr>
          <w:p w14:paraId="53D066F5" w14:textId="77777777" w:rsidR="00962312" w:rsidRPr="00925BCD" w:rsidRDefault="00962312" w:rsidP="00091B33">
            <w:pPr>
              <w:rPr>
                <w:rFonts w:ascii="Arial" w:hAnsi="Arial" w:cs="Arial"/>
                <w:b/>
                <w:color w:val="000000"/>
              </w:rPr>
            </w:pPr>
            <w:r w:rsidRPr="00925BCD">
              <w:rPr>
                <w:rFonts w:ascii="Arial" w:hAnsi="Arial" w:cs="Arial"/>
                <w:b/>
                <w:color w:val="000000"/>
              </w:rPr>
              <w:t>Liczba szkoleń</w:t>
            </w:r>
          </w:p>
        </w:tc>
        <w:tc>
          <w:tcPr>
            <w:tcW w:w="1009" w:type="dxa"/>
            <w:tcBorders>
              <w:top w:val="single" w:sz="4" w:space="0" w:color="000000"/>
              <w:bottom w:val="single" w:sz="4" w:space="0" w:color="000000"/>
              <w:right w:val="single" w:sz="4" w:space="0" w:color="000000"/>
            </w:tcBorders>
            <w:shd w:val="clear" w:color="auto" w:fill="CCFFCC"/>
            <w:vAlign w:val="center"/>
          </w:tcPr>
          <w:p w14:paraId="7D0AABF4" w14:textId="77777777" w:rsidR="00962312" w:rsidRPr="00925BCD" w:rsidRDefault="00962312" w:rsidP="007E6EBF">
            <w:pPr>
              <w:jc w:val="right"/>
              <w:rPr>
                <w:rFonts w:ascii="Arial" w:hAnsi="Arial" w:cs="Arial"/>
                <w:b/>
                <w:color w:val="000000"/>
              </w:rPr>
            </w:pPr>
          </w:p>
        </w:tc>
        <w:tc>
          <w:tcPr>
            <w:tcW w:w="1009" w:type="dxa"/>
            <w:tcBorders>
              <w:top w:val="single" w:sz="4" w:space="0" w:color="000000"/>
              <w:bottom w:val="single" w:sz="4" w:space="0" w:color="000000"/>
              <w:right w:val="single" w:sz="4" w:space="0" w:color="000000"/>
            </w:tcBorders>
            <w:shd w:val="clear" w:color="auto" w:fill="CCFFCC"/>
            <w:vAlign w:val="center"/>
          </w:tcPr>
          <w:p w14:paraId="1D739F83" w14:textId="77777777" w:rsidR="00962312" w:rsidRPr="00925BCD" w:rsidRDefault="00962312" w:rsidP="007E6EBF">
            <w:pPr>
              <w:jc w:val="right"/>
              <w:rPr>
                <w:rFonts w:ascii="Arial" w:hAnsi="Arial" w:cs="Arial"/>
                <w:b/>
                <w:color w:val="000000"/>
              </w:rPr>
            </w:pPr>
          </w:p>
        </w:tc>
        <w:tc>
          <w:tcPr>
            <w:tcW w:w="1009" w:type="dxa"/>
            <w:tcBorders>
              <w:top w:val="single" w:sz="4" w:space="0" w:color="000000"/>
              <w:bottom w:val="single" w:sz="4" w:space="0" w:color="000000"/>
              <w:right w:val="single" w:sz="4" w:space="0" w:color="000000"/>
            </w:tcBorders>
            <w:shd w:val="clear" w:color="auto" w:fill="CCFFCC"/>
            <w:vAlign w:val="center"/>
          </w:tcPr>
          <w:p w14:paraId="1463104D" w14:textId="77777777" w:rsidR="00962312" w:rsidRPr="00925BCD" w:rsidRDefault="00962312" w:rsidP="007E6EBF">
            <w:pPr>
              <w:jc w:val="right"/>
              <w:rPr>
                <w:rFonts w:ascii="Arial" w:hAnsi="Arial" w:cs="Arial"/>
                <w:b/>
                <w:color w:val="000000"/>
              </w:rPr>
            </w:pPr>
          </w:p>
        </w:tc>
        <w:tc>
          <w:tcPr>
            <w:tcW w:w="1009" w:type="dxa"/>
            <w:tcBorders>
              <w:top w:val="single" w:sz="4" w:space="0" w:color="000000"/>
              <w:bottom w:val="single" w:sz="4" w:space="0" w:color="000000"/>
              <w:right w:val="single" w:sz="4" w:space="0" w:color="000000"/>
            </w:tcBorders>
            <w:shd w:val="clear" w:color="auto" w:fill="CCFFCC"/>
          </w:tcPr>
          <w:p w14:paraId="34560AFD" w14:textId="77777777" w:rsidR="00962312" w:rsidRPr="00925BCD" w:rsidRDefault="00962312" w:rsidP="007E6EBF">
            <w:pPr>
              <w:jc w:val="right"/>
              <w:rPr>
                <w:rFonts w:ascii="Arial" w:hAnsi="Arial" w:cs="Arial"/>
                <w:b/>
                <w:color w:val="000000"/>
              </w:rPr>
            </w:pPr>
          </w:p>
        </w:tc>
        <w:tc>
          <w:tcPr>
            <w:tcW w:w="1009" w:type="dxa"/>
            <w:tcBorders>
              <w:top w:val="single" w:sz="4" w:space="0" w:color="000000"/>
              <w:bottom w:val="single" w:sz="4" w:space="0" w:color="000000"/>
              <w:right w:val="single" w:sz="4" w:space="0" w:color="000000"/>
            </w:tcBorders>
            <w:shd w:val="clear" w:color="auto" w:fill="CCFFCC"/>
          </w:tcPr>
          <w:p w14:paraId="30C90856" w14:textId="77777777" w:rsidR="00962312" w:rsidRPr="00925BCD" w:rsidRDefault="00962312" w:rsidP="007E6EBF">
            <w:pPr>
              <w:jc w:val="right"/>
              <w:rPr>
                <w:rFonts w:ascii="Arial" w:hAnsi="Arial" w:cs="Arial"/>
                <w:b/>
                <w:color w:val="000000"/>
              </w:rPr>
            </w:pPr>
          </w:p>
        </w:tc>
      </w:tr>
      <w:tr w:rsidR="00962312" w:rsidRPr="00925BCD" w14:paraId="52F43DE3" w14:textId="32103BBA" w:rsidTr="00075309">
        <w:trPr>
          <w:trHeight w:val="267"/>
        </w:trPr>
        <w:tc>
          <w:tcPr>
            <w:tcW w:w="4017" w:type="dxa"/>
            <w:tcBorders>
              <w:left w:val="single" w:sz="4" w:space="0" w:color="000000"/>
              <w:bottom w:val="single" w:sz="4" w:space="0" w:color="000000"/>
              <w:right w:val="single" w:sz="4" w:space="0" w:color="000000"/>
            </w:tcBorders>
            <w:shd w:val="clear" w:color="auto" w:fill="FFFFFF" w:themeFill="background1"/>
            <w:vAlign w:val="center"/>
          </w:tcPr>
          <w:p w14:paraId="60B0C92C" w14:textId="77777777" w:rsidR="00962312" w:rsidRPr="00925BCD" w:rsidRDefault="00962312"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009" w:type="dxa"/>
            <w:tcBorders>
              <w:bottom w:val="single" w:sz="4" w:space="0" w:color="000000"/>
              <w:right w:val="single" w:sz="4" w:space="0" w:color="000000"/>
            </w:tcBorders>
            <w:shd w:val="clear" w:color="auto" w:fill="FFFFFF" w:themeFill="background1"/>
            <w:vAlign w:val="center"/>
          </w:tcPr>
          <w:p w14:paraId="79228881" w14:textId="77777777" w:rsidR="00962312" w:rsidRPr="00925BCD" w:rsidRDefault="00962312" w:rsidP="007E6EBF">
            <w:pPr>
              <w:jc w:val="right"/>
              <w:rPr>
                <w:rFonts w:ascii="Arial" w:hAnsi="Arial" w:cs="Arial"/>
                <w:b/>
                <w:color w:val="000000"/>
              </w:rPr>
            </w:pPr>
            <w:r w:rsidRPr="00925BCD">
              <w:rPr>
                <w:rFonts w:ascii="Arial" w:hAnsi="Arial" w:cs="Arial"/>
                <w:b/>
                <w:color w:val="000000"/>
              </w:rPr>
              <w:t>3 266</w:t>
            </w:r>
          </w:p>
        </w:tc>
        <w:tc>
          <w:tcPr>
            <w:tcW w:w="1009" w:type="dxa"/>
            <w:tcBorders>
              <w:bottom w:val="single" w:sz="4" w:space="0" w:color="000000"/>
              <w:right w:val="single" w:sz="4" w:space="0" w:color="000000"/>
            </w:tcBorders>
            <w:shd w:val="clear" w:color="auto" w:fill="FFFFFF" w:themeFill="background1"/>
            <w:vAlign w:val="center"/>
          </w:tcPr>
          <w:p w14:paraId="3CDBAFCE" w14:textId="77777777" w:rsidR="00962312" w:rsidRPr="00925BCD" w:rsidRDefault="00962312" w:rsidP="007E6EBF">
            <w:pPr>
              <w:jc w:val="right"/>
              <w:rPr>
                <w:rFonts w:ascii="Arial" w:hAnsi="Arial" w:cs="Arial"/>
                <w:b/>
                <w:color w:val="000000"/>
              </w:rPr>
            </w:pPr>
            <w:r w:rsidRPr="00925BCD">
              <w:rPr>
                <w:rFonts w:ascii="Arial" w:hAnsi="Arial" w:cs="Arial"/>
                <w:b/>
                <w:color w:val="000000"/>
              </w:rPr>
              <w:t>3 936</w:t>
            </w:r>
          </w:p>
        </w:tc>
        <w:tc>
          <w:tcPr>
            <w:tcW w:w="1009" w:type="dxa"/>
            <w:tcBorders>
              <w:bottom w:val="single" w:sz="4" w:space="0" w:color="000000"/>
              <w:right w:val="single" w:sz="4" w:space="0" w:color="000000"/>
            </w:tcBorders>
            <w:shd w:val="clear" w:color="auto" w:fill="FFFFFF" w:themeFill="background1"/>
            <w:vAlign w:val="center"/>
          </w:tcPr>
          <w:p w14:paraId="1F21D701" w14:textId="3FEAEF1E" w:rsidR="00962312" w:rsidRPr="00925BCD" w:rsidRDefault="00962312" w:rsidP="007E6EBF">
            <w:pPr>
              <w:jc w:val="right"/>
              <w:rPr>
                <w:rFonts w:ascii="Arial" w:hAnsi="Arial" w:cs="Arial"/>
                <w:b/>
                <w:color w:val="000000"/>
              </w:rPr>
            </w:pPr>
            <w:r>
              <w:rPr>
                <w:rFonts w:ascii="Arial" w:hAnsi="Arial" w:cs="Arial"/>
                <w:b/>
                <w:color w:val="000000"/>
              </w:rPr>
              <w:t>2 765</w:t>
            </w:r>
          </w:p>
        </w:tc>
        <w:tc>
          <w:tcPr>
            <w:tcW w:w="1009" w:type="dxa"/>
            <w:tcBorders>
              <w:bottom w:val="single" w:sz="4" w:space="0" w:color="000000"/>
              <w:right w:val="single" w:sz="4" w:space="0" w:color="000000"/>
            </w:tcBorders>
            <w:shd w:val="clear" w:color="auto" w:fill="FFFFFF" w:themeFill="background1"/>
          </w:tcPr>
          <w:p w14:paraId="3BB15E6C" w14:textId="7F65D0B5" w:rsidR="00962312" w:rsidRDefault="00962312" w:rsidP="007E6EBF">
            <w:pPr>
              <w:jc w:val="right"/>
              <w:rPr>
                <w:rFonts w:ascii="Arial" w:hAnsi="Arial" w:cs="Arial"/>
                <w:b/>
                <w:color w:val="000000"/>
              </w:rPr>
            </w:pPr>
            <w:r>
              <w:rPr>
                <w:rFonts w:ascii="Arial" w:hAnsi="Arial" w:cs="Arial"/>
                <w:b/>
                <w:color w:val="000000"/>
              </w:rPr>
              <w:t>2 834</w:t>
            </w:r>
          </w:p>
        </w:tc>
        <w:tc>
          <w:tcPr>
            <w:tcW w:w="1009" w:type="dxa"/>
            <w:tcBorders>
              <w:bottom w:val="single" w:sz="4" w:space="0" w:color="000000"/>
              <w:right w:val="single" w:sz="4" w:space="0" w:color="000000"/>
            </w:tcBorders>
            <w:shd w:val="clear" w:color="auto" w:fill="FFFFFF" w:themeFill="background1"/>
          </w:tcPr>
          <w:p w14:paraId="33D02111" w14:textId="36AB14C0" w:rsidR="00962312" w:rsidRDefault="0009751D" w:rsidP="007E6EBF">
            <w:pPr>
              <w:jc w:val="right"/>
              <w:rPr>
                <w:rFonts w:ascii="Arial" w:hAnsi="Arial" w:cs="Arial"/>
                <w:b/>
                <w:color w:val="000000"/>
              </w:rPr>
            </w:pPr>
            <w:r>
              <w:rPr>
                <w:rFonts w:ascii="Arial" w:hAnsi="Arial" w:cs="Arial"/>
                <w:b/>
                <w:color w:val="000000"/>
              </w:rPr>
              <w:t>3 091</w:t>
            </w:r>
          </w:p>
        </w:tc>
      </w:tr>
      <w:tr w:rsidR="00962312" w:rsidRPr="00925BCD" w14:paraId="64C0C5E9" w14:textId="702459C7"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7EF71550"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podstawowych</w:t>
            </w:r>
          </w:p>
        </w:tc>
        <w:tc>
          <w:tcPr>
            <w:tcW w:w="1009" w:type="dxa"/>
            <w:tcBorders>
              <w:bottom w:val="single" w:sz="4" w:space="0" w:color="000000"/>
              <w:right w:val="single" w:sz="4" w:space="0" w:color="000000"/>
            </w:tcBorders>
            <w:vAlign w:val="center"/>
          </w:tcPr>
          <w:p w14:paraId="67F994D2" w14:textId="77777777" w:rsidR="00962312" w:rsidRPr="00925BCD" w:rsidRDefault="00962312" w:rsidP="007E6EBF">
            <w:pPr>
              <w:jc w:val="right"/>
              <w:rPr>
                <w:rFonts w:ascii="Arial" w:hAnsi="Arial" w:cs="Arial"/>
                <w:color w:val="000000"/>
              </w:rPr>
            </w:pPr>
            <w:r w:rsidRPr="00925BCD">
              <w:rPr>
                <w:rFonts w:ascii="Arial" w:hAnsi="Arial" w:cs="Arial"/>
                <w:color w:val="000000"/>
              </w:rPr>
              <w:t>922</w:t>
            </w:r>
          </w:p>
        </w:tc>
        <w:tc>
          <w:tcPr>
            <w:tcW w:w="1009" w:type="dxa"/>
            <w:tcBorders>
              <w:bottom w:val="single" w:sz="4" w:space="0" w:color="000000"/>
              <w:right w:val="single" w:sz="4" w:space="0" w:color="000000"/>
            </w:tcBorders>
            <w:vAlign w:val="center"/>
          </w:tcPr>
          <w:p w14:paraId="6CCF38BE" w14:textId="77777777" w:rsidR="00962312" w:rsidRPr="00925BCD" w:rsidRDefault="00962312" w:rsidP="007E6EBF">
            <w:pPr>
              <w:jc w:val="right"/>
              <w:rPr>
                <w:rFonts w:ascii="Arial" w:hAnsi="Arial" w:cs="Arial"/>
                <w:color w:val="000000"/>
              </w:rPr>
            </w:pPr>
            <w:r w:rsidRPr="00925BCD">
              <w:rPr>
                <w:rFonts w:ascii="Arial" w:hAnsi="Arial" w:cs="Arial"/>
                <w:color w:val="000000"/>
              </w:rPr>
              <w:t>930</w:t>
            </w:r>
          </w:p>
        </w:tc>
        <w:tc>
          <w:tcPr>
            <w:tcW w:w="1009" w:type="dxa"/>
            <w:tcBorders>
              <w:bottom w:val="single" w:sz="4" w:space="0" w:color="000000"/>
              <w:right w:val="single" w:sz="4" w:space="0" w:color="000000"/>
            </w:tcBorders>
            <w:vAlign w:val="center"/>
          </w:tcPr>
          <w:p w14:paraId="31993CE5" w14:textId="6DE1B532" w:rsidR="00962312" w:rsidRPr="00925BCD" w:rsidRDefault="00962312" w:rsidP="007E6EBF">
            <w:pPr>
              <w:jc w:val="right"/>
              <w:rPr>
                <w:rFonts w:ascii="Arial" w:hAnsi="Arial" w:cs="Arial"/>
                <w:color w:val="000000"/>
              </w:rPr>
            </w:pPr>
            <w:r>
              <w:rPr>
                <w:rFonts w:ascii="Arial" w:hAnsi="Arial" w:cs="Arial"/>
                <w:color w:val="000000"/>
              </w:rPr>
              <w:t>654</w:t>
            </w:r>
          </w:p>
        </w:tc>
        <w:tc>
          <w:tcPr>
            <w:tcW w:w="1009" w:type="dxa"/>
            <w:tcBorders>
              <w:bottom w:val="single" w:sz="4" w:space="0" w:color="000000"/>
              <w:right w:val="single" w:sz="4" w:space="0" w:color="000000"/>
            </w:tcBorders>
          </w:tcPr>
          <w:p w14:paraId="6E32A109" w14:textId="7A292D01" w:rsidR="00962312" w:rsidRDefault="00962312" w:rsidP="007E6EBF">
            <w:pPr>
              <w:jc w:val="right"/>
              <w:rPr>
                <w:rFonts w:ascii="Arial" w:hAnsi="Arial" w:cs="Arial"/>
                <w:color w:val="000000"/>
              </w:rPr>
            </w:pPr>
            <w:r>
              <w:rPr>
                <w:rFonts w:ascii="Arial" w:hAnsi="Arial" w:cs="Arial"/>
                <w:color w:val="000000"/>
              </w:rPr>
              <w:t>832</w:t>
            </w:r>
          </w:p>
        </w:tc>
        <w:tc>
          <w:tcPr>
            <w:tcW w:w="1009" w:type="dxa"/>
            <w:tcBorders>
              <w:bottom w:val="single" w:sz="4" w:space="0" w:color="000000"/>
              <w:right w:val="single" w:sz="4" w:space="0" w:color="000000"/>
            </w:tcBorders>
          </w:tcPr>
          <w:p w14:paraId="3D951942" w14:textId="13593856" w:rsidR="00962312" w:rsidRDefault="003F33CD" w:rsidP="007E6EBF">
            <w:pPr>
              <w:jc w:val="right"/>
              <w:rPr>
                <w:rFonts w:ascii="Arial" w:hAnsi="Arial" w:cs="Arial"/>
                <w:color w:val="000000"/>
              </w:rPr>
            </w:pPr>
            <w:r>
              <w:rPr>
                <w:rFonts w:ascii="Arial" w:hAnsi="Arial" w:cs="Arial"/>
                <w:color w:val="000000"/>
              </w:rPr>
              <w:t>943</w:t>
            </w:r>
          </w:p>
        </w:tc>
      </w:tr>
      <w:tr w:rsidR="00962312" w:rsidRPr="00925BCD" w14:paraId="414E6C68" w14:textId="0E421C73" w:rsidTr="00075309">
        <w:trPr>
          <w:trHeight w:val="267"/>
        </w:trPr>
        <w:tc>
          <w:tcPr>
            <w:tcW w:w="4017" w:type="dxa"/>
            <w:tcBorders>
              <w:left w:val="single" w:sz="4" w:space="0" w:color="000000"/>
              <w:bottom w:val="single" w:sz="4" w:space="0" w:color="000000"/>
              <w:right w:val="single" w:sz="4" w:space="0" w:color="000000"/>
            </w:tcBorders>
            <w:shd w:val="clear" w:color="auto" w:fill="auto"/>
            <w:vAlign w:val="center"/>
          </w:tcPr>
          <w:p w14:paraId="52756345" w14:textId="77777777" w:rsidR="00962312" w:rsidRPr="00925BCD" w:rsidRDefault="00962312" w:rsidP="00091B33">
            <w:pPr>
              <w:numPr>
                <w:ilvl w:val="0"/>
                <w:numId w:val="13"/>
              </w:numPr>
              <w:ind w:left="634" w:hanging="425"/>
              <w:contextualSpacing/>
              <w:rPr>
                <w:rFonts w:ascii="Arial" w:hAnsi="Arial" w:cs="Arial"/>
                <w:color w:val="000000"/>
              </w:rPr>
            </w:pPr>
            <w:r w:rsidRPr="00925BCD">
              <w:rPr>
                <w:rFonts w:ascii="Arial" w:hAnsi="Arial" w:cs="Arial"/>
                <w:color w:val="000000"/>
              </w:rPr>
              <w:t>uzupełniających</w:t>
            </w:r>
          </w:p>
        </w:tc>
        <w:tc>
          <w:tcPr>
            <w:tcW w:w="1009" w:type="dxa"/>
            <w:tcBorders>
              <w:bottom w:val="single" w:sz="4" w:space="0" w:color="000000"/>
              <w:right w:val="single" w:sz="4" w:space="0" w:color="000000"/>
            </w:tcBorders>
            <w:vAlign w:val="center"/>
          </w:tcPr>
          <w:p w14:paraId="7C6E2FEB" w14:textId="77777777" w:rsidR="00962312" w:rsidRPr="00925BCD" w:rsidRDefault="00962312" w:rsidP="007E6EBF">
            <w:pPr>
              <w:jc w:val="right"/>
              <w:rPr>
                <w:rFonts w:ascii="Arial" w:hAnsi="Arial" w:cs="Arial"/>
                <w:color w:val="000000"/>
              </w:rPr>
            </w:pPr>
            <w:r w:rsidRPr="00925BCD">
              <w:rPr>
                <w:rFonts w:ascii="Arial" w:hAnsi="Arial" w:cs="Arial"/>
                <w:color w:val="000000"/>
              </w:rPr>
              <w:t>2 344</w:t>
            </w:r>
          </w:p>
        </w:tc>
        <w:tc>
          <w:tcPr>
            <w:tcW w:w="1009" w:type="dxa"/>
            <w:tcBorders>
              <w:bottom w:val="single" w:sz="4" w:space="0" w:color="000000"/>
              <w:right w:val="single" w:sz="4" w:space="0" w:color="000000"/>
            </w:tcBorders>
            <w:vAlign w:val="center"/>
          </w:tcPr>
          <w:p w14:paraId="2A31531E" w14:textId="77777777" w:rsidR="00962312" w:rsidRPr="00925BCD" w:rsidRDefault="00962312" w:rsidP="007E6EBF">
            <w:pPr>
              <w:jc w:val="right"/>
              <w:rPr>
                <w:rFonts w:ascii="Arial" w:hAnsi="Arial" w:cs="Arial"/>
                <w:color w:val="000000"/>
              </w:rPr>
            </w:pPr>
            <w:r w:rsidRPr="00925BCD">
              <w:rPr>
                <w:rFonts w:ascii="Arial" w:hAnsi="Arial" w:cs="Arial"/>
                <w:color w:val="000000"/>
              </w:rPr>
              <w:t>3 006</w:t>
            </w:r>
          </w:p>
        </w:tc>
        <w:tc>
          <w:tcPr>
            <w:tcW w:w="1009" w:type="dxa"/>
            <w:tcBorders>
              <w:bottom w:val="single" w:sz="4" w:space="0" w:color="000000"/>
              <w:right w:val="single" w:sz="4" w:space="0" w:color="000000"/>
            </w:tcBorders>
            <w:vAlign w:val="center"/>
          </w:tcPr>
          <w:p w14:paraId="4EA26872" w14:textId="06F122F9" w:rsidR="00962312" w:rsidRPr="00925BCD" w:rsidRDefault="00962312" w:rsidP="007E6EBF">
            <w:pPr>
              <w:jc w:val="right"/>
              <w:rPr>
                <w:rFonts w:ascii="Arial" w:hAnsi="Arial" w:cs="Arial"/>
                <w:color w:val="000000"/>
              </w:rPr>
            </w:pPr>
            <w:r>
              <w:rPr>
                <w:rFonts w:ascii="Arial" w:hAnsi="Arial" w:cs="Arial"/>
                <w:color w:val="000000"/>
              </w:rPr>
              <w:t>2 111</w:t>
            </w:r>
          </w:p>
        </w:tc>
        <w:tc>
          <w:tcPr>
            <w:tcW w:w="1009" w:type="dxa"/>
            <w:tcBorders>
              <w:bottom w:val="single" w:sz="4" w:space="0" w:color="000000"/>
              <w:right w:val="single" w:sz="4" w:space="0" w:color="000000"/>
            </w:tcBorders>
          </w:tcPr>
          <w:p w14:paraId="2E0ACBF0" w14:textId="6C4AAAEA" w:rsidR="00962312" w:rsidRDefault="00962312" w:rsidP="007E6EBF">
            <w:pPr>
              <w:jc w:val="right"/>
              <w:rPr>
                <w:rFonts w:ascii="Arial" w:hAnsi="Arial" w:cs="Arial"/>
                <w:color w:val="000000"/>
              </w:rPr>
            </w:pPr>
            <w:r>
              <w:rPr>
                <w:rFonts w:ascii="Arial" w:hAnsi="Arial" w:cs="Arial"/>
                <w:color w:val="000000"/>
              </w:rPr>
              <w:t>2 002</w:t>
            </w:r>
          </w:p>
        </w:tc>
        <w:tc>
          <w:tcPr>
            <w:tcW w:w="1009" w:type="dxa"/>
            <w:tcBorders>
              <w:bottom w:val="single" w:sz="4" w:space="0" w:color="000000"/>
              <w:right w:val="single" w:sz="4" w:space="0" w:color="000000"/>
            </w:tcBorders>
          </w:tcPr>
          <w:p w14:paraId="194A1E7A" w14:textId="14D5C6C7" w:rsidR="00962312" w:rsidRDefault="0027506B" w:rsidP="007E6EBF">
            <w:pPr>
              <w:jc w:val="right"/>
              <w:rPr>
                <w:rFonts w:ascii="Arial" w:hAnsi="Arial" w:cs="Arial"/>
                <w:color w:val="000000"/>
              </w:rPr>
            </w:pPr>
            <w:r>
              <w:rPr>
                <w:rFonts w:ascii="Arial" w:hAnsi="Arial" w:cs="Arial"/>
                <w:color w:val="000000"/>
              </w:rPr>
              <w:t>2 148</w:t>
            </w:r>
          </w:p>
        </w:tc>
      </w:tr>
      <w:tr w:rsidR="00962312" w:rsidRPr="00925BCD" w14:paraId="66D975BE" w14:textId="4A4F0497" w:rsidTr="00075309">
        <w:trPr>
          <w:trHeight w:val="267"/>
        </w:trPr>
        <w:tc>
          <w:tcPr>
            <w:tcW w:w="4017" w:type="dxa"/>
            <w:tcBorders>
              <w:left w:val="single" w:sz="4" w:space="0" w:color="000000"/>
              <w:bottom w:val="single" w:sz="4" w:space="0" w:color="000000"/>
              <w:right w:val="single" w:sz="4" w:space="0" w:color="000000"/>
            </w:tcBorders>
            <w:shd w:val="clear" w:color="auto" w:fill="CCFFCC"/>
            <w:vAlign w:val="center"/>
          </w:tcPr>
          <w:p w14:paraId="78A1A8B2" w14:textId="77777777" w:rsidR="00962312" w:rsidRPr="00925BCD" w:rsidRDefault="00962312" w:rsidP="00091B33">
            <w:pPr>
              <w:rPr>
                <w:rFonts w:ascii="Arial" w:hAnsi="Arial" w:cs="Arial"/>
                <w:b/>
                <w:color w:val="000000"/>
              </w:rPr>
            </w:pPr>
            <w:r w:rsidRPr="00925BCD">
              <w:rPr>
                <w:rFonts w:ascii="Arial" w:hAnsi="Arial" w:cs="Arial"/>
                <w:b/>
                <w:color w:val="000000"/>
              </w:rPr>
              <w:t>Liczba przeszkolonych osób</w:t>
            </w:r>
          </w:p>
        </w:tc>
        <w:tc>
          <w:tcPr>
            <w:tcW w:w="1009" w:type="dxa"/>
            <w:tcBorders>
              <w:bottom w:val="single" w:sz="4" w:space="0" w:color="000000"/>
              <w:right w:val="single" w:sz="4" w:space="0" w:color="000000"/>
            </w:tcBorders>
            <w:shd w:val="clear" w:color="auto" w:fill="CCFFCC"/>
            <w:vAlign w:val="center"/>
          </w:tcPr>
          <w:p w14:paraId="6CD1A97A" w14:textId="77777777" w:rsidR="00962312" w:rsidRPr="00925BCD" w:rsidRDefault="00962312" w:rsidP="007E6EBF">
            <w:pPr>
              <w:jc w:val="right"/>
              <w:rPr>
                <w:rFonts w:ascii="Arial" w:hAnsi="Arial" w:cs="Arial"/>
                <w:b/>
                <w:color w:val="000000"/>
              </w:rPr>
            </w:pPr>
            <w:r w:rsidRPr="00925BCD">
              <w:rPr>
                <w:rFonts w:ascii="Arial" w:hAnsi="Arial" w:cs="Arial"/>
                <w:b/>
                <w:color w:val="000000"/>
              </w:rPr>
              <w:t>76 723</w:t>
            </w:r>
          </w:p>
        </w:tc>
        <w:tc>
          <w:tcPr>
            <w:tcW w:w="1009" w:type="dxa"/>
            <w:tcBorders>
              <w:bottom w:val="single" w:sz="4" w:space="0" w:color="000000"/>
              <w:right w:val="single" w:sz="4" w:space="0" w:color="000000"/>
            </w:tcBorders>
            <w:shd w:val="clear" w:color="auto" w:fill="CCFFCC"/>
            <w:vAlign w:val="center"/>
          </w:tcPr>
          <w:p w14:paraId="425F8E0E" w14:textId="77777777" w:rsidR="00962312" w:rsidRPr="00925BCD" w:rsidRDefault="00962312" w:rsidP="007E6EBF">
            <w:pPr>
              <w:jc w:val="right"/>
              <w:rPr>
                <w:rFonts w:ascii="Arial" w:hAnsi="Arial" w:cs="Arial"/>
                <w:b/>
                <w:color w:val="000000"/>
              </w:rPr>
            </w:pPr>
            <w:r w:rsidRPr="00925BCD">
              <w:rPr>
                <w:rFonts w:ascii="Arial" w:hAnsi="Arial" w:cs="Arial"/>
                <w:b/>
                <w:color w:val="000000"/>
              </w:rPr>
              <w:t>93 905</w:t>
            </w:r>
          </w:p>
        </w:tc>
        <w:tc>
          <w:tcPr>
            <w:tcW w:w="1009" w:type="dxa"/>
            <w:tcBorders>
              <w:bottom w:val="single" w:sz="4" w:space="0" w:color="000000"/>
              <w:right w:val="single" w:sz="4" w:space="0" w:color="000000"/>
            </w:tcBorders>
            <w:shd w:val="clear" w:color="auto" w:fill="CCFFCC"/>
            <w:vAlign w:val="center"/>
          </w:tcPr>
          <w:p w14:paraId="225A4EAF" w14:textId="6BD75BD5" w:rsidR="00962312" w:rsidRPr="00925BCD" w:rsidRDefault="00962312" w:rsidP="007E6EBF">
            <w:pPr>
              <w:jc w:val="right"/>
              <w:rPr>
                <w:rFonts w:ascii="Arial" w:hAnsi="Arial" w:cs="Arial"/>
                <w:b/>
                <w:color w:val="000000"/>
              </w:rPr>
            </w:pPr>
            <w:r>
              <w:rPr>
                <w:rFonts w:ascii="Arial" w:hAnsi="Arial" w:cs="Arial"/>
                <w:b/>
                <w:color w:val="000000"/>
              </w:rPr>
              <w:t>62 675</w:t>
            </w:r>
          </w:p>
        </w:tc>
        <w:tc>
          <w:tcPr>
            <w:tcW w:w="1009" w:type="dxa"/>
            <w:tcBorders>
              <w:bottom w:val="single" w:sz="4" w:space="0" w:color="000000"/>
              <w:right w:val="single" w:sz="4" w:space="0" w:color="000000"/>
            </w:tcBorders>
            <w:shd w:val="clear" w:color="auto" w:fill="CCFFCC"/>
          </w:tcPr>
          <w:p w14:paraId="2243D76D" w14:textId="12B3E919" w:rsidR="00962312" w:rsidRDefault="00962312" w:rsidP="007E6EBF">
            <w:pPr>
              <w:jc w:val="right"/>
              <w:rPr>
                <w:rFonts w:ascii="Arial" w:hAnsi="Arial" w:cs="Arial"/>
                <w:b/>
                <w:color w:val="000000"/>
              </w:rPr>
            </w:pPr>
            <w:r>
              <w:rPr>
                <w:rFonts w:ascii="Arial" w:hAnsi="Arial" w:cs="Arial"/>
                <w:b/>
                <w:color w:val="000000"/>
              </w:rPr>
              <w:t>53 996</w:t>
            </w:r>
          </w:p>
        </w:tc>
        <w:tc>
          <w:tcPr>
            <w:tcW w:w="1009" w:type="dxa"/>
            <w:tcBorders>
              <w:bottom w:val="single" w:sz="4" w:space="0" w:color="000000"/>
              <w:right w:val="single" w:sz="4" w:space="0" w:color="000000"/>
            </w:tcBorders>
            <w:shd w:val="clear" w:color="auto" w:fill="CCFFCC"/>
          </w:tcPr>
          <w:p w14:paraId="546FE2A1" w14:textId="7B360794" w:rsidR="00962312" w:rsidRDefault="0027506B" w:rsidP="007E6EBF">
            <w:pPr>
              <w:jc w:val="right"/>
              <w:rPr>
                <w:rFonts w:ascii="Arial" w:hAnsi="Arial" w:cs="Arial"/>
                <w:b/>
                <w:color w:val="000000"/>
              </w:rPr>
            </w:pPr>
            <w:r>
              <w:rPr>
                <w:rFonts w:ascii="Arial" w:hAnsi="Arial" w:cs="Arial"/>
                <w:b/>
                <w:color w:val="000000"/>
              </w:rPr>
              <w:t>66 426</w:t>
            </w:r>
          </w:p>
        </w:tc>
      </w:tr>
    </w:tbl>
    <w:p w14:paraId="60B5AFB8" w14:textId="783A33C2" w:rsidR="00CD011C" w:rsidRDefault="00CD011C" w:rsidP="00617E50">
      <w:pPr>
        <w:jc w:val="both"/>
        <w:rPr>
          <w:rFonts w:ascii="Arial" w:hAnsi="Arial" w:cs="Arial"/>
          <w:b/>
          <w:bCs/>
          <w:szCs w:val="18"/>
        </w:rPr>
      </w:pPr>
    </w:p>
    <w:p w14:paraId="6BE09F25" w14:textId="77777777" w:rsidR="00CD011C" w:rsidRDefault="00CD011C">
      <w:pPr>
        <w:spacing w:after="0" w:line="240" w:lineRule="auto"/>
        <w:rPr>
          <w:rFonts w:ascii="Arial" w:hAnsi="Arial" w:cs="Arial"/>
          <w:b/>
          <w:bCs/>
          <w:szCs w:val="18"/>
        </w:rPr>
      </w:pPr>
      <w:r>
        <w:rPr>
          <w:rFonts w:ascii="Arial" w:hAnsi="Arial" w:cs="Arial"/>
          <w:b/>
          <w:bCs/>
          <w:szCs w:val="18"/>
        </w:rPr>
        <w:br w:type="page"/>
      </w:r>
    </w:p>
    <w:p w14:paraId="5F4514C2" w14:textId="77777777" w:rsidR="00BE6ED0" w:rsidRDefault="00BE6ED0" w:rsidP="00617E50">
      <w:pPr>
        <w:jc w:val="both"/>
        <w:rPr>
          <w:rFonts w:ascii="Arial" w:hAnsi="Arial" w:cs="Arial"/>
          <w:b/>
          <w:bCs/>
          <w:szCs w:val="18"/>
        </w:rPr>
      </w:pPr>
    </w:p>
    <w:p w14:paraId="13664611" w14:textId="297A7CEB" w:rsidR="00617E50" w:rsidRPr="00925BCD" w:rsidRDefault="00617E50" w:rsidP="00617E50">
      <w:pPr>
        <w:jc w:val="both"/>
        <w:rPr>
          <w:rFonts w:ascii="Arial" w:hAnsi="Arial" w:cs="Arial"/>
          <w:b/>
          <w:bCs/>
          <w:szCs w:val="18"/>
        </w:rPr>
      </w:pPr>
      <w:r w:rsidRPr="00925BCD">
        <w:rPr>
          <w:rFonts w:ascii="Arial" w:hAnsi="Arial" w:cs="Arial"/>
          <w:b/>
          <w:bCs/>
          <w:szCs w:val="18"/>
        </w:rPr>
        <w:t>Wykres 1. Liczba osób przeszkolonych w latach 2009–20</w:t>
      </w:r>
      <w:r w:rsidR="00A358AF">
        <w:rPr>
          <w:rFonts w:ascii="Arial" w:hAnsi="Arial" w:cs="Arial"/>
          <w:b/>
          <w:bCs/>
          <w:szCs w:val="18"/>
        </w:rPr>
        <w:t>2</w:t>
      </w:r>
      <w:r w:rsidR="001D69F2">
        <w:rPr>
          <w:rFonts w:ascii="Arial" w:hAnsi="Arial" w:cs="Arial"/>
          <w:b/>
          <w:bCs/>
          <w:szCs w:val="18"/>
        </w:rPr>
        <w:t>2</w:t>
      </w:r>
    </w:p>
    <w:p w14:paraId="559AAC60" w14:textId="77777777" w:rsidR="00E54725" w:rsidRPr="00925BCD" w:rsidRDefault="00E54725">
      <w:pPr>
        <w:jc w:val="both"/>
        <w:rPr>
          <w:rFonts w:ascii="Arial" w:hAnsi="Arial" w:cs="Arial"/>
          <w:b/>
          <w:bCs/>
          <w:szCs w:val="18"/>
        </w:rPr>
      </w:pPr>
      <w:r w:rsidRPr="00925BCD">
        <w:rPr>
          <w:noProof/>
          <w:lang w:eastAsia="pl-PL"/>
        </w:rPr>
        <w:drawing>
          <wp:inline distT="0" distB="0" distL="0" distR="0" wp14:anchorId="0B035216" wp14:editId="36D1ACFB">
            <wp:extent cx="5886312" cy="2759103"/>
            <wp:effectExtent l="0" t="0" r="635" b="317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D3D38A" w14:textId="77777777" w:rsidR="00056846" w:rsidRPr="00925BCD" w:rsidRDefault="00E54725">
      <w:pPr>
        <w:pStyle w:val="Nagwek1"/>
        <w:numPr>
          <w:ilvl w:val="1"/>
          <w:numId w:val="9"/>
        </w:numPr>
        <w:tabs>
          <w:tab w:val="left" w:pos="284"/>
          <w:tab w:val="left" w:pos="2552"/>
        </w:tabs>
        <w:spacing w:before="0" w:after="120" w:line="360" w:lineRule="auto"/>
        <w:ind w:left="426" w:hanging="426"/>
        <w:jc w:val="both"/>
        <w:rPr>
          <w:i w:val="0"/>
          <w:sz w:val="22"/>
          <w:szCs w:val="22"/>
        </w:rPr>
      </w:pPr>
      <w:bookmarkStart w:id="4" w:name="_Toc161744860"/>
      <w:r w:rsidRPr="00925BCD">
        <w:rPr>
          <w:i w:val="0"/>
          <w:sz w:val="22"/>
          <w:szCs w:val="22"/>
        </w:rPr>
        <w:t>Mierniki służące monitorowaniu</w:t>
      </w:r>
      <w:bookmarkEnd w:id="4"/>
    </w:p>
    <w:p w14:paraId="3E6727DB" w14:textId="3FF1D70B"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jest oceniana na podstawie poziomu nieprawidłowości dotyczących realizacji obowiązku ukończenia szkolenia przez osoby stosujące środki ochrony roślin. W 2022</w:t>
      </w:r>
      <w:r w:rsidR="00451223">
        <w:rPr>
          <w:rFonts w:ascii="Arial" w:hAnsi="Arial" w:cs="Arial"/>
        </w:rPr>
        <w:t> </w:t>
      </w:r>
      <w:r w:rsidRPr="00925BCD">
        <w:rPr>
          <w:rFonts w:ascii="Arial" w:hAnsi="Arial" w:cs="Arial"/>
        </w:rPr>
        <w:t xml:space="preserve">r. poziom nieprawidłowości w tym zakresie, stwierdzanych w ramach kontroli planowanej przeprowadzanej przez Państwową Inspekcję Ochrony Roślin i Nasiennictwa, powinien wynosić poniżej 1%. </w:t>
      </w:r>
    </w:p>
    <w:p w14:paraId="410ADFED" w14:textId="77777777" w:rsidR="0096791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dotyczących realizacji obowiązku ukończenia szkolenia przez osoby stosujące środki ochrony roślin wyniósł 1,59%</w:t>
      </w:r>
      <w:r w:rsidR="00370932" w:rsidRPr="00925BCD">
        <w:rPr>
          <w:rFonts w:ascii="Arial" w:hAnsi="Arial" w:cs="Arial"/>
        </w:rPr>
        <w:t>, w 2019 r.</w:t>
      </w:r>
      <w:r w:rsidR="008510AB" w:rsidRPr="00925BCD">
        <w:rPr>
          <w:rFonts w:ascii="Arial" w:hAnsi="Arial" w:cs="Arial"/>
        </w:rPr>
        <w:t xml:space="preserve"> wyniósł 2,38</w:t>
      </w:r>
      <w:r w:rsidR="008510AB" w:rsidRPr="00B943DC">
        <w:rPr>
          <w:rFonts w:ascii="Arial" w:hAnsi="Arial" w:cs="Arial"/>
        </w:rPr>
        <w:t>%</w:t>
      </w:r>
      <w:r w:rsidR="00D041C0">
        <w:rPr>
          <w:rFonts w:ascii="Arial" w:hAnsi="Arial" w:cs="Arial"/>
        </w:rPr>
        <w:t>.</w:t>
      </w:r>
      <w:r w:rsidR="006A49D8" w:rsidRPr="00B943DC">
        <w:rPr>
          <w:rFonts w:ascii="Arial" w:hAnsi="Arial" w:cs="Arial"/>
        </w:rPr>
        <w:t xml:space="preserve"> </w:t>
      </w:r>
      <w:r w:rsidR="00D041C0">
        <w:rPr>
          <w:rFonts w:ascii="Arial" w:hAnsi="Arial" w:cs="Arial"/>
        </w:rPr>
        <w:t>W</w:t>
      </w:r>
      <w:r w:rsidR="006A49D8" w:rsidRPr="00B943DC">
        <w:rPr>
          <w:rFonts w:ascii="Arial" w:hAnsi="Arial" w:cs="Arial"/>
        </w:rPr>
        <w:t xml:space="preserve"> 2020</w:t>
      </w:r>
      <w:r w:rsidR="00FB6559">
        <w:rPr>
          <w:rFonts w:ascii="Arial" w:hAnsi="Arial" w:cs="Arial"/>
        </w:rPr>
        <w:t> </w:t>
      </w:r>
      <w:r w:rsidR="006A49D8" w:rsidRPr="00B943DC">
        <w:rPr>
          <w:rFonts w:ascii="Arial" w:hAnsi="Arial" w:cs="Arial"/>
        </w:rPr>
        <w:t>r</w:t>
      </w:r>
      <w:r w:rsidR="00B943DC" w:rsidRPr="00B943DC">
        <w:rPr>
          <w:rFonts w:ascii="Arial" w:hAnsi="Arial" w:cs="Arial"/>
        </w:rPr>
        <w:t xml:space="preserve">. </w:t>
      </w:r>
      <w:r w:rsidR="00084BE8">
        <w:rPr>
          <w:rFonts w:ascii="Arial" w:hAnsi="Arial" w:cs="Arial"/>
        </w:rPr>
        <w:t>i 2021</w:t>
      </w:r>
      <w:r w:rsidR="00FB6559">
        <w:rPr>
          <w:rFonts w:ascii="Arial" w:hAnsi="Arial" w:cs="Arial"/>
        </w:rPr>
        <w:t> </w:t>
      </w:r>
      <w:r w:rsidR="000016AE">
        <w:rPr>
          <w:rFonts w:ascii="Arial" w:hAnsi="Arial" w:cs="Arial"/>
        </w:rPr>
        <w:t xml:space="preserve">r. </w:t>
      </w:r>
      <w:r w:rsidR="00D041C0">
        <w:rPr>
          <w:rFonts w:ascii="Arial" w:hAnsi="Arial" w:cs="Arial"/>
        </w:rPr>
        <w:t xml:space="preserve">odsetek osób nieprzeszkolonych </w:t>
      </w:r>
      <w:r w:rsidR="00645E54">
        <w:rPr>
          <w:rFonts w:ascii="Arial" w:hAnsi="Arial" w:cs="Arial"/>
        </w:rPr>
        <w:t xml:space="preserve">wyniósł </w:t>
      </w:r>
      <w:r w:rsidR="00B943DC" w:rsidRPr="00B943DC">
        <w:rPr>
          <w:rFonts w:ascii="Arial" w:hAnsi="Arial" w:cs="Arial"/>
        </w:rPr>
        <w:t>1,25%</w:t>
      </w:r>
      <w:r w:rsidR="000016AE">
        <w:rPr>
          <w:rFonts w:ascii="Arial" w:hAnsi="Arial" w:cs="Arial"/>
        </w:rPr>
        <w:t xml:space="preserve"> i 0,47%</w:t>
      </w:r>
      <w:r w:rsidR="00D041C0">
        <w:rPr>
          <w:rFonts w:ascii="Arial" w:hAnsi="Arial" w:cs="Arial"/>
        </w:rPr>
        <w:t xml:space="preserve">, przy czym z racji sytuacji pandemicznej nie traktowano tego jako </w:t>
      </w:r>
      <w:r w:rsidR="00D041C0" w:rsidRPr="00E22F85">
        <w:rPr>
          <w:rFonts w:ascii="Arial" w:hAnsi="Arial" w:cs="Arial"/>
        </w:rPr>
        <w:t>nieprawidłowości</w:t>
      </w:r>
      <w:r w:rsidR="00B943DC" w:rsidRPr="00E22F85">
        <w:rPr>
          <w:rFonts w:ascii="Arial" w:hAnsi="Arial" w:cs="Arial"/>
        </w:rPr>
        <w:t>.</w:t>
      </w:r>
      <w:r w:rsidR="001D69F2">
        <w:rPr>
          <w:rFonts w:ascii="Arial" w:hAnsi="Arial" w:cs="Arial"/>
        </w:rPr>
        <w:t xml:space="preserve"> </w:t>
      </w:r>
    </w:p>
    <w:p w14:paraId="1670C46B" w14:textId="344C5075" w:rsidR="00056846" w:rsidRDefault="001D69F2" w:rsidP="00C06C30">
      <w:pPr>
        <w:pStyle w:val="NormalnyWeb"/>
        <w:tabs>
          <w:tab w:val="left" w:pos="284"/>
        </w:tabs>
        <w:spacing w:beforeAutospacing="0" w:after="120" w:afterAutospacing="0" w:line="360" w:lineRule="auto"/>
        <w:ind w:firstLine="284"/>
        <w:jc w:val="both"/>
        <w:rPr>
          <w:rFonts w:ascii="Arial" w:hAnsi="Arial" w:cs="Arial"/>
        </w:rPr>
      </w:pPr>
      <w:r w:rsidRPr="00565D19">
        <w:rPr>
          <w:rFonts w:ascii="Arial" w:hAnsi="Arial" w:cs="Arial"/>
        </w:rPr>
        <w:t xml:space="preserve">W </w:t>
      </w:r>
      <w:r w:rsidR="00FA33CA" w:rsidRPr="00565D19">
        <w:rPr>
          <w:rFonts w:ascii="Arial" w:hAnsi="Arial" w:cs="Arial"/>
        </w:rPr>
        <w:t>2022</w:t>
      </w:r>
      <w:r w:rsidR="006F7C7B">
        <w:rPr>
          <w:rFonts w:ascii="Arial" w:hAnsi="Arial" w:cs="Arial"/>
        </w:rPr>
        <w:t> </w:t>
      </w:r>
      <w:r w:rsidR="00FE260C" w:rsidRPr="00565D19">
        <w:rPr>
          <w:rFonts w:ascii="Arial" w:hAnsi="Arial" w:cs="Arial"/>
        </w:rPr>
        <w:t xml:space="preserve">r. </w:t>
      </w:r>
      <w:r w:rsidR="00565D19" w:rsidRPr="00565D19">
        <w:rPr>
          <w:rFonts w:ascii="Arial" w:hAnsi="Arial" w:cs="Arial"/>
        </w:rPr>
        <w:t xml:space="preserve">odsetek </w:t>
      </w:r>
      <w:r w:rsidR="00565D19">
        <w:rPr>
          <w:rFonts w:ascii="Arial" w:hAnsi="Arial" w:cs="Arial"/>
        </w:rPr>
        <w:t xml:space="preserve">osób nieprzeszkolonych wyniósł </w:t>
      </w:r>
      <w:r w:rsidR="004D166A">
        <w:rPr>
          <w:rFonts w:ascii="Arial" w:hAnsi="Arial" w:cs="Arial"/>
        </w:rPr>
        <w:t xml:space="preserve">0,52%, </w:t>
      </w:r>
      <w:bookmarkStart w:id="5" w:name="_Hlk153282813"/>
      <w:r w:rsidR="004D166A">
        <w:rPr>
          <w:rFonts w:ascii="Arial" w:hAnsi="Arial" w:cs="Arial"/>
        </w:rPr>
        <w:t xml:space="preserve">tym samym </w:t>
      </w:r>
      <w:r w:rsidR="00424D67">
        <w:rPr>
          <w:rFonts w:ascii="Arial" w:hAnsi="Arial" w:cs="Arial"/>
        </w:rPr>
        <w:t>miernik 1.1. został zrealizowany.</w:t>
      </w:r>
    </w:p>
    <w:bookmarkEnd w:id="5"/>
    <w:p w14:paraId="476BD034" w14:textId="50BED995" w:rsidR="00117CF5" w:rsidRPr="00925BCD" w:rsidRDefault="00117CF5" w:rsidP="00117CF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Podkreślenia wymaga fakt, że w </w:t>
      </w:r>
      <w:r w:rsidRPr="00117CF5">
        <w:rPr>
          <w:rFonts w:ascii="Arial" w:hAnsi="Arial" w:cs="Arial"/>
        </w:rPr>
        <w:t>2022</w:t>
      </w:r>
      <w:r w:rsidR="00A96439">
        <w:rPr>
          <w:rFonts w:ascii="Arial" w:hAnsi="Arial" w:cs="Arial"/>
        </w:rPr>
        <w:t> </w:t>
      </w:r>
      <w:r>
        <w:rPr>
          <w:rFonts w:ascii="Arial" w:hAnsi="Arial" w:cs="Arial"/>
        </w:rPr>
        <w:t>r.</w:t>
      </w:r>
      <w:r w:rsidRPr="00117CF5">
        <w:rPr>
          <w:rFonts w:ascii="Arial" w:hAnsi="Arial" w:cs="Arial"/>
        </w:rPr>
        <w:t xml:space="preserve">, z powodu </w:t>
      </w:r>
      <w:r w:rsidR="000B690C">
        <w:rPr>
          <w:rFonts w:ascii="Arial" w:hAnsi="Arial" w:cs="Arial"/>
        </w:rPr>
        <w:t xml:space="preserve">trwającej </w:t>
      </w:r>
      <w:r w:rsidRPr="00117CF5">
        <w:rPr>
          <w:rFonts w:ascii="Arial" w:hAnsi="Arial" w:cs="Arial"/>
        </w:rPr>
        <w:t>sytuacji epidemicznej związanej z</w:t>
      </w:r>
      <w:r w:rsidR="00CF2FDF">
        <w:rPr>
          <w:rFonts w:ascii="Arial" w:hAnsi="Arial" w:cs="Arial"/>
        </w:rPr>
        <w:t> </w:t>
      </w:r>
      <w:r w:rsidRPr="00117CF5">
        <w:rPr>
          <w:rFonts w:ascii="Arial" w:hAnsi="Arial" w:cs="Arial"/>
        </w:rPr>
        <w:t>wirusem SARS-CoV-2, nadal obowiązywały</w:t>
      </w:r>
      <w:r w:rsidR="000B690C">
        <w:rPr>
          <w:rFonts w:ascii="Arial" w:hAnsi="Arial" w:cs="Arial"/>
        </w:rPr>
        <w:t xml:space="preserve"> </w:t>
      </w:r>
      <w:r w:rsidRPr="00117CF5">
        <w:rPr>
          <w:rFonts w:ascii="Arial" w:hAnsi="Arial" w:cs="Arial"/>
        </w:rPr>
        <w:t>ograniczenia dotyczące m. in. organizacji szkoleń oraz zawieszenia obowiązku posiadania aktualnego</w:t>
      </w:r>
      <w:r w:rsidR="000B690C">
        <w:rPr>
          <w:rFonts w:ascii="Arial" w:hAnsi="Arial" w:cs="Arial"/>
        </w:rPr>
        <w:t xml:space="preserve"> </w:t>
      </w:r>
      <w:r w:rsidRPr="00117CF5">
        <w:rPr>
          <w:rFonts w:ascii="Arial" w:hAnsi="Arial" w:cs="Arial"/>
        </w:rPr>
        <w:t>zaświadczenia o ukończeniu szkolenia w zakresie środków ochrony roślin. Jednostki organizujące</w:t>
      </w:r>
      <w:r w:rsidR="000B690C">
        <w:rPr>
          <w:rFonts w:ascii="Arial" w:hAnsi="Arial" w:cs="Arial"/>
        </w:rPr>
        <w:t xml:space="preserve"> </w:t>
      </w:r>
      <w:r w:rsidRPr="00117CF5">
        <w:rPr>
          <w:rFonts w:ascii="Arial" w:hAnsi="Arial" w:cs="Arial"/>
        </w:rPr>
        <w:t>szkolenia mogły prowadzić je on-line, z wyłączeniem części praktycznej i egzaminów.</w:t>
      </w:r>
    </w:p>
    <w:p w14:paraId="7F2BF7C3" w14:textId="77777777" w:rsidR="00056846" w:rsidRPr="00925BCD" w:rsidRDefault="00E54725">
      <w:pPr>
        <w:pStyle w:val="Nagwek1"/>
        <w:numPr>
          <w:ilvl w:val="0"/>
          <w:numId w:val="9"/>
        </w:numPr>
        <w:jc w:val="both"/>
        <w:rPr>
          <w:i w:val="0"/>
          <w:sz w:val="22"/>
          <w:szCs w:val="22"/>
        </w:rPr>
      </w:pPr>
      <w:bookmarkStart w:id="6" w:name="_Toc161744861"/>
      <w:r w:rsidRPr="00925BCD">
        <w:rPr>
          <w:i w:val="0"/>
          <w:sz w:val="22"/>
          <w:szCs w:val="22"/>
        </w:rPr>
        <w:t>Działanie 2. Ograniczanie ryzyka związanego ze zbywaniem środków ochrony roślin</w:t>
      </w:r>
      <w:bookmarkEnd w:id="6"/>
    </w:p>
    <w:p w14:paraId="54CCEB33"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Określone zagrożenia wiążą się nie tylko ze stosowaniem środków ochrony roślin, ale i z obrotem tymi środkami. W związku z powyższym konieczne było objęcie także tego obszaru zakresem krajowego planu działania. Działanie to służy osiągnięciu celów określonych w art. 6 dyrektywy 2009/128/WE.</w:t>
      </w:r>
    </w:p>
    <w:p w14:paraId="5467EB01" w14:textId="433E5A82"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przepisami art. 25 ust. 1 ustawy z dnia 8 marca 2013 r. o środkach ochrony roślin, </w:t>
      </w:r>
      <w:r w:rsidRPr="00925BCD">
        <w:rPr>
          <w:rFonts w:ascii="Arial" w:hAnsi="Arial" w:cs="Arial"/>
        </w:rPr>
        <w:lastRenderedPageBreak/>
        <w:t xml:space="preserve">podmioty zajmujące się wprowadzaniem do obrotu oraz konfekcjonowaniem środków ochrony roślin podlegają obowiązkowi uzyskania wpisu do rejestru działalności regulowanej. Zapewnia to możliwość sprawowania przez Państwową Inspekcję Ochrony Roślin i Nasiennictwa skutecznego nadzoru nad tymi podmiotami. </w:t>
      </w:r>
    </w:p>
    <w:p w14:paraId="31AF594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Jednocześnie, przepisy art. 31 ww. ustawy zabraniają:</w:t>
      </w:r>
    </w:p>
    <w:p w14:paraId="2F0109C8"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1)</w:t>
      </w:r>
      <w:r w:rsidRPr="00925BCD">
        <w:rPr>
          <w:rFonts w:ascii="Arial" w:hAnsi="Arial" w:cs="Arial"/>
        </w:rPr>
        <w:tab/>
      </w:r>
      <w:r w:rsidRPr="006A49D8">
        <w:rPr>
          <w:rFonts w:ascii="Arial" w:hAnsi="Arial" w:cs="Arial"/>
          <w:sz w:val="20"/>
          <w:szCs w:val="20"/>
        </w:rPr>
        <w:t>zbywania środka ochrony roślin oraz składania oferty zbycia takiego środka:</w:t>
      </w:r>
    </w:p>
    <w:p w14:paraId="55E10357"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osobie, której zachowanie wskazuje, że znajduje się w stanie nietrzeźwości, lub osobie niepełnoletniej,</w:t>
      </w:r>
    </w:p>
    <w:p w14:paraId="3449F799"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w opakowaniu zastępczym,</w:t>
      </w:r>
    </w:p>
    <w:p w14:paraId="14AC7E01"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w pomieszczeniu, w którym jest prowadzona sprzedaż żywności lub pasz, chyba że w przypadku środka ochrony roślin przeznaczonego dla użytkownika nieprofesjonalnego środek ten jest przechowywany pod zamknięciem w sposób zapewniający brak jego kontaktu z żywnością lub paszą,</w:t>
      </w:r>
    </w:p>
    <w:p w14:paraId="386AA28A"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przy zastosowaniu automatu, samoobsługi lub sprzedaży dokonywanej poza punktem stałej lokalizacji (sprzedaż obwoźna i obnośna na targowiskach w rozumieniu przepisów o podatkach i opłatach lokalnych),</w:t>
      </w:r>
    </w:p>
    <w:p w14:paraId="6DEA481E"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po upływie terminu jego ważności;</w:t>
      </w:r>
    </w:p>
    <w:p w14:paraId="4FDDABBF"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2)</w:t>
      </w:r>
      <w:r w:rsidRPr="00925BCD">
        <w:rPr>
          <w:rFonts w:ascii="Arial" w:hAnsi="Arial" w:cs="Arial"/>
        </w:rPr>
        <w:tab/>
      </w:r>
      <w:r w:rsidRPr="006A49D8">
        <w:rPr>
          <w:rFonts w:ascii="Arial" w:hAnsi="Arial" w:cs="Arial"/>
          <w:sz w:val="20"/>
          <w:szCs w:val="20"/>
        </w:rPr>
        <w:t>podawania informacji niezgodnych z wymaganiami zawartymi w etykiecie środka ochrony roślin, w tym w trakcie ich sprzedaży.</w:t>
      </w:r>
    </w:p>
    <w:p w14:paraId="06129A2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Przepisy ustawy z dnia 8 marca 2013 r. o środkach ochrony roślin nakładają także na dystrybutorów środków ochrony roślin opisany wcześniej obowiązek ukończenia odpowiedniego szkolenia (dla doradców) przez osoby, które dokonują zbycia środków ochrony roślin ostatecznemu nabywcy (wymóg ten nie dotyczy mikroprzedsiębiorców, dokonujących sprzedaży wyłącznie preparatów charakteryzujących się niskim ryzykiem, przeznaczonych dla użytkowników nieprofesjonalnych), a także udzielania nabywcom środków ochrony roślin informacji o stwarzanych przez nie zagrożeniach oraz sposobach ich unikania (art. 25 ww. ustawy). Osoby dokonujące zbycia środków ochrony roślin są bowiem często głównym źródłem wiedzy o tych środkach dla osób wykonujących zabiegi. </w:t>
      </w:r>
    </w:p>
    <w:p w14:paraId="766E32A9" w14:textId="66E074DA" w:rsidR="00CD011C"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Działania mające na celu ograniczanie ryzyka związanego ze sprzedażą środków ochrony roślin realizowane w ramach krajowego planu działania w </w:t>
      </w:r>
      <w:r w:rsidR="00D308C4">
        <w:rPr>
          <w:rFonts w:ascii="Arial" w:hAnsi="Arial" w:cs="Arial"/>
        </w:rPr>
        <w:t xml:space="preserve">latach </w:t>
      </w:r>
      <w:r w:rsidRPr="00925BCD">
        <w:rPr>
          <w:rFonts w:ascii="Arial" w:hAnsi="Arial" w:cs="Arial"/>
        </w:rPr>
        <w:t>2018</w:t>
      </w:r>
      <w:bookmarkStart w:id="7" w:name="_Hlk92798270"/>
      <w:r w:rsidR="00D308C4" w:rsidRPr="00772A61">
        <w:rPr>
          <w:rFonts w:ascii="Arial" w:hAnsi="Arial" w:cs="Arial"/>
        </w:rPr>
        <w:t>–</w:t>
      </w:r>
      <w:bookmarkEnd w:id="7"/>
      <w:r w:rsidR="00D308C4">
        <w:rPr>
          <w:rFonts w:ascii="Arial" w:hAnsi="Arial" w:cs="Arial"/>
        </w:rPr>
        <w:t>202</w:t>
      </w:r>
      <w:r w:rsidR="001975C1">
        <w:rPr>
          <w:rFonts w:ascii="Arial" w:hAnsi="Arial" w:cs="Arial"/>
        </w:rPr>
        <w:t>2</w:t>
      </w:r>
      <w:r w:rsidR="00804D7A" w:rsidRPr="00925BCD">
        <w:rPr>
          <w:rFonts w:ascii="Arial" w:hAnsi="Arial" w:cs="Arial"/>
        </w:rPr>
        <w:t xml:space="preserve"> </w:t>
      </w:r>
      <w:r w:rsidRPr="00925BCD">
        <w:rPr>
          <w:rFonts w:ascii="Arial" w:hAnsi="Arial" w:cs="Arial"/>
        </w:rPr>
        <w:t>koncentrowały się na eliminowaniu przypadków sprzedaży tych środków osobom nieuprawnionym oraz dystrybucji środków podrobionych lub niedopuszczonych do stosowania. Zgodnie z ewidencją prowadzoną przez Państwową Inspekcję Ochrony Roślin i Nasiennictwa, obrót środk</w:t>
      </w:r>
      <w:r w:rsidR="00C91801" w:rsidRPr="00925BCD">
        <w:rPr>
          <w:rFonts w:ascii="Arial" w:hAnsi="Arial" w:cs="Arial"/>
        </w:rPr>
        <w:t>ami</w:t>
      </w:r>
      <w:r w:rsidRPr="00925BCD">
        <w:rPr>
          <w:rFonts w:ascii="Arial" w:hAnsi="Arial" w:cs="Arial"/>
        </w:rPr>
        <w:t xml:space="preserve"> ochrony roślin prowadzony był </w:t>
      </w:r>
      <w:r w:rsidR="00723954" w:rsidRPr="00925BCD">
        <w:rPr>
          <w:rFonts w:ascii="Arial" w:hAnsi="Arial" w:cs="Arial"/>
        </w:rPr>
        <w:t>w</w:t>
      </w:r>
      <w:r w:rsidR="00723954">
        <w:rPr>
          <w:rFonts w:ascii="Arial" w:hAnsi="Arial" w:cs="Arial"/>
        </w:rPr>
        <w:t> </w:t>
      </w:r>
      <w:r w:rsidR="00025BD5">
        <w:rPr>
          <w:rFonts w:ascii="Arial" w:hAnsi="Arial" w:cs="Arial"/>
        </w:rPr>
        <w:t xml:space="preserve"> około </w:t>
      </w:r>
      <w:r w:rsidR="00B1335E">
        <w:rPr>
          <w:rFonts w:ascii="Arial" w:hAnsi="Arial" w:cs="Arial"/>
        </w:rPr>
        <w:t xml:space="preserve">8 000 </w:t>
      </w:r>
      <w:r w:rsidRPr="00925BCD">
        <w:rPr>
          <w:rFonts w:ascii="Arial" w:hAnsi="Arial" w:cs="Arial"/>
        </w:rPr>
        <w:t xml:space="preserve">punktach sprzedaży. Kontrole przestrzegania ww. wymagań przeprowadzone przez Inspekcję wykazały zbywanie środków ochrony osobom, które nie spełnią wymagań określonych w art. 28 ustawy o środkach ochrony roślin. Wydano </w:t>
      </w:r>
      <w:r w:rsidR="00C91801" w:rsidRPr="00925BCD">
        <w:rPr>
          <w:rFonts w:ascii="Arial" w:hAnsi="Arial" w:cs="Arial"/>
        </w:rPr>
        <w:t xml:space="preserve">też </w:t>
      </w:r>
      <w:r w:rsidRPr="00925BCD">
        <w:rPr>
          <w:rFonts w:ascii="Arial" w:hAnsi="Arial" w:cs="Arial"/>
        </w:rPr>
        <w:t xml:space="preserve">decyzje o określeniu opłaty sankcyjnej </w:t>
      </w:r>
      <w:r w:rsidR="00C91801" w:rsidRPr="00925BCD">
        <w:rPr>
          <w:rFonts w:ascii="Arial" w:hAnsi="Arial" w:cs="Arial"/>
        </w:rPr>
        <w:t xml:space="preserve">ze względu na sprzedaż </w:t>
      </w:r>
      <w:r w:rsidRPr="00925BCD">
        <w:rPr>
          <w:rFonts w:ascii="Arial" w:hAnsi="Arial" w:cs="Arial"/>
        </w:rPr>
        <w:t>środków niedopuszczonych do obrotu</w:t>
      </w:r>
      <w:r w:rsidR="00A33AF1">
        <w:rPr>
          <w:rFonts w:ascii="Arial" w:hAnsi="Arial" w:cs="Arial"/>
        </w:rPr>
        <w:t>.</w:t>
      </w:r>
    </w:p>
    <w:p w14:paraId="523FDCFB" w14:textId="77777777" w:rsidR="00555C79" w:rsidRDefault="00555C79" w:rsidP="00804D7A">
      <w:pPr>
        <w:pStyle w:val="NormalnyWeb"/>
        <w:tabs>
          <w:tab w:val="left" w:pos="284"/>
        </w:tabs>
        <w:spacing w:beforeAutospacing="0" w:after="120" w:afterAutospacing="0" w:line="360" w:lineRule="auto"/>
        <w:ind w:firstLine="284"/>
        <w:jc w:val="both"/>
        <w:rPr>
          <w:rFonts w:ascii="Arial" w:hAnsi="Arial" w:cs="Arial"/>
        </w:rPr>
      </w:pPr>
    </w:p>
    <w:p w14:paraId="1B780A78" w14:textId="5D138E1D" w:rsidR="007F5A8E" w:rsidRDefault="007F5A8E"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Szczegół</w:t>
      </w:r>
      <w:r w:rsidR="00B16E80">
        <w:rPr>
          <w:rFonts w:ascii="Arial" w:hAnsi="Arial" w:cs="Arial"/>
        </w:rPr>
        <w:t>owe dane przedstawia t</w:t>
      </w:r>
      <w:r w:rsidR="00553961">
        <w:rPr>
          <w:rFonts w:ascii="Arial" w:hAnsi="Arial" w:cs="Arial"/>
        </w:rPr>
        <w:t>a</w:t>
      </w:r>
      <w:r w:rsidR="00B16E80">
        <w:rPr>
          <w:rFonts w:ascii="Arial" w:hAnsi="Arial" w:cs="Arial"/>
        </w:rPr>
        <w:t xml:space="preserve">bela poniżej. </w:t>
      </w:r>
    </w:p>
    <w:tbl>
      <w:tblPr>
        <w:tblStyle w:val="Tabela-Siatka"/>
        <w:tblW w:w="0" w:type="auto"/>
        <w:tblLook w:val="04A0" w:firstRow="1" w:lastRow="0" w:firstColumn="1" w:lastColumn="0" w:noHBand="0" w:noVBand="1"/>
      </w:tblPr>
      <w:tblGrid>
        <w:gridCol w:w="1812"/>
        <w:gridCol w:w="1812"/>
        <w:gridCol w:w="1812"/>
        <w:gridCol w:w="1813"/>
        <w:gridCol w:w="1813"/>
      </w:tblGrid>
      <w:tr w:rsidR="009B75C6" w14:paraId="009BD400" w14:textId="77777777" w:rsidTr="008A0D29">
        <w:tc>
          <w:tcPr>
            <w:tcW w:w="1812" w:type="dxa"/>
            <w:vAlign w:val="center"/>
          </w:tcPr>
          <w:p w14:paraId="0ADDF1BD" w14:textId="3A47A628"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Rok</w:t>
            </w:r>
          </w:p>
        </w:tc>
        <w:tc>
          <w:tcPr>
            <w:tcW w:w="1812" w:type="dxa"/>
            <w:vAlign w:val="center"/>
          </w:tcPr>
          <w:p w14:paraId="7F8F8412" w14:textId="1B150566"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Liczba punktów sprzedaży</w:t>
            </w:r>
          </w:p>
        </w:tc>
        <w:tc>
          <w:tcPr>
            <w:tcW w:w="1812" w:type="dxa"/>
            <w:vAlign w:val="center"/>
          </w:tcPr>
          <w:p w14:paraId="3FCAB162" w14:textId="63885F80" w:rsidR="009B75C6" w:rsidRPr="009A3796" w:rsidRDefault="009D0FCC" w:rsidP="0043443F">
            <w:pPr>
              <w:jc w:val="center"/>
              <w:rPr>
                <w:rFonts w:ascii="Arial" w:hAnsi="Arial" w:cs="Arial"/>
                <w:b/>
                <w:color w:val="000000"/>
                <w:sz w:val="20"/>
                <w:szCs w:val="20"/>
              </w:rPr>
            </w:pPr>
            <w:r w:rsidRPr="009A3796">
              <w:rPr>
                <w:rFonts w:ascii="Arial" w:hAnsi="Arial" w:cs="Arial"/>
                <w:b/>
                <w:color w:val="000000"/>
                <w:sz w:val="20"/>
                <w:szCs w:val="20"/>
              </w:rPr>
              <w:t>Liczba kontroli ogółem</w:t>
            </w:r>
          </w:p>
        </w:tc>
        <w:tc>
          <w:tcPr>
            <w:tcW w:w="1813" w:type="dxa"/>
            <w:vAlign w:val="center"/>
          </w:tcPr>
          <w:p w14:paraId="5E03C668" w14:textId="5A273CFC" w:rsidR="009B75C6" w:rsidRPr="009A3796" w:rsidRDefault="00BE74FD" w:rsidP="0043443F">
            <w:pPr>
              <w:jc w:val="center"/>
              <w:rPr>
                <w:rFonts w:ascii="Arial" w:hAnsi="Arial" w:cs="Arial"/>
                <w:b/>
                <w:color w:val="000000"/>
                <w:sz w:val="20"/>
                <w:szCs w:val="20"/>
              </w:rPr>
            </w:pPr>
            <w:r w:rsidRPr="009A3796">
              <w:rPr>
                <w:rFonts w:ascii="Arial" w:hAnsi="Arial" w:cs="Arial"/>
                <w:b/>
                <w:color w:val="000000"/>
                <w:sz w:val="20"/>
                <w:szCs w:val="20"/>
              </w:rPr>
              <w:t xml:space="preserve">Liczba </w:t>
            </w:r>
            <w:r w:rsidR="001C2794" w:rsidRPr="009A3796">
              <w:rPr>
                <w:rFonts w:ascii="Arial" w:hAnsi="Arial" w:cs="Arial"/>
                <w:b/>
                <w:color w:val="000000"/>
                <w:sz w:val="20"/>
                <w:szCs w:val="20"/>
              </w:rPr>
              <w:t>przypadków zbywania śor osobom nieuprawnionym</w:t>
            </w:r>
          </w:p>
        </w:tc>
        <w:tc>
          <w:tcPr>
            <w:tcW w:w="1813" w:type="dxa"/>
            <w:vAlign w:val="center"/>
          </w:tcPr>
          <w:p w14:paraId="51DF5A66" w14:textId="6C6F0A6D" w:rsidR="009B75C6" w:rsidRPr="009A3796" w:rsidRDefault="0023184B" w:rsidP="0043443F">
            <w:pPr>
              <w:jc w:val="center"/>
              <w:rPr>
                <w:rFonts w:ascii="Arial" w:hAnsi="Arial" w:cs="Arial"/>
                <w:b/>
                <w:color w:val="000000"/>
                <w:sz w:val="20"/>
                <w:szCs w:val="20"/>
              </w:rPr>
            </w:pPr>
            <w:r w:rsidRPr="009A3796">
              <w:rPr>
                <w:rFonts w:ascii="Arial" w:hAnsi="Arial" w:cs="Arial"/>
                <w:b/>
                <w:color w:val="000000"/>
                <w:sz w:val="20"/>
                <w:szCs w:val="20"/>
              </w:rPr>
              <w:t>Liczba decyzji o określeniu opłaty sankcyjnej</w:t>
            </w:r>
          </w:p>
        </w:tc>
      </w:tr>
      <w:tr w:rsidR="009B75C6" w14:paraId="2AF2AC56" w14:textId="77777777" w:rsidTr="008A0D29">
        <w:tc>
          <w:tcPr>
            <w:tcW w:w="1812" w:type="dxa"/>
            <w:vAlign w:val="center"/>
          </w:tcPr>
          <w:p w14:paraId="7520A86A" w14:textId="7A8E4A2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2018</w:t>
            </w:r>
          </w:p>
        </w:tc>
        <w:tc>
          <w:tcPr>
            <w:tcW w:w="1812" w:type="dxa"/>
            <w:vAlign w:val="center"/>
          </w:tcPr>
          <w:p w14:paraId="00E9CEFE" w14:textId="1CC493F6"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8 124</w:t>
            </w:r>
          </w:p>
        </w:tc>
        <w:tc>
          <w:tcPr>
            <w:tcW w:w="1812" w:type="dxa"/>
            <w:vAlign w:val="center"/>
          </w:tcPr>
          <w:p w14:paraId="24B69541" w14:textId="2316DAA3"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6 626</w:t>
            </w:r>
          </w:p>
        </w:tc>
        <w:tc>
          <w:tcPr>
            <w:tcW w:w="1813" w:type="dxa"/>
            <w:vAlign w:val="center"/>
          </w:tcPr>
          <w:p w14:paraId="0B88B430" w14:textId="2E3B4BCE"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39 </w:t>
            </w:r>
          </w:p>
        </w:tc>
        <w:tc>
          <w:tcPr>
            <w:tcW w:w="1813" w:type="dxa"/>
            <w:vAlign w:val="center"/>
          </w:tcPr>
          <w:p w14:paraId="16753EB0" w14:textId="1E8D2D29"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22</w:t>
            </w:r>
          </w:p>
        </w:tc>
      </w:tr>
      <w:tr w:rsidR="009B75C6" w14:paraId="271A5648" w14:textId="77777777" w:rsidTr="008A0D29">
        <w:tc>
          <w:tcPr>
            <w:tcW w:w="1812" w:type="dxa"/>
            <w:vAlign w:val="center"/>
          </w:tcPr>
          <w:p w14:paraId="3ACA1887" w14:textId="6002B57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2019</w:t>
            </w:r>
          </w:p>
        </w:tc>
        <w:tc>
          <w:tcPr>
            <w:tcW w:w="1812" w:type="dxa"/>
            <w:vAlign w:val="center"/>
          </w:tcPr>
          <w:p w14:paraId="761BB47D" w14:textId="38CBC733"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8 029</w:t>
            </w:r>
          </w:p>
        </w:tc>
        <w:tc>
          <w:tcPr>
            <w:tcW w:w="1812" w:type="dxa"/>
            <w:vAlign w:val="center"/>
          </w:tcPr>
          <w:p w14:paraId="1FE825D5" w14:textId="0DE79AC6"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6 673</w:t>
            </w:r>
          </w:p>
        </w:tc>
        <w:tc>
          <w:tcPr>
            <w:tcW w:w="1813" w:type="dxa"/>
            <w:vAlign w:val="center"/>
          </w:tcPr>
          <w:p w14:paraId="28003120" w14:textId="7E9BE125"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15</w:t>
            </w:r>
          </w:p>
        </w:tc>
        <w:tc>
          <w:tcPr>
            <w:tcW w:w="1813" w:type="dxa"/>
            <w:vAlign w:val="center"/>
          </w:tcPr>
          <w:p w14:paraId="2A695CD0" w14:textId="2A55BFF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36 </w:t>
            </w:r>
          </w:p>
        </w:tc>
      </w:tr>
      <w:tr w:rsidR="009B75C6" w14:paraId="6CB71363" w14:textId="77777777" w:rsidTr="008A0D29">
        <w:tc>
          <w:tcPr>
            <w:tcW w:w="1812" w:type="dxa"/>
            <w:vAlign w:val="center"/>
          </w:tcPr>
          <w:p w14:paraId="386CBCE8" w14:textId="29C81FF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2020</w:t>
            </w:r>
          </w:p>
        </w:tc>
        <w:tc>
          <w:tcPr>
            <w:tcW w:w="1812" w:type="dxa"/>
            <w:vAlign w:val="center"/>
          </w:tcPr>
          <w:p w14:paraId="3E97E553" w14:textId="1685491C"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8 125</w:t>
            </w:r>
          </w:p>
        </w:tc>
        <w:tc>
          <w:tcPr>
            <w:tcW w:w="1812" w:type="dxa"/>
            <w:vAlign w:val="center"/>
          </w:tcPr>
          <w:p w14:paraId="64458135" w14:textId="3DBA8730"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5 595 </w:t>
            </w:r>
          </w:p>
        </w:tc>
        <w:tc>
          <w:tcPr>
            <w:tcW w:w="1813" w:type="dxa"/>
            <w:vAlign w:val="center"/>
          </w:tcPr>
          <w:p w14:paraId="597AC936" w14:textId="3D195528"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w:t>
            </w:r>
          </w:p>
        </w:tc>
        <w:tc>
          <w:tcPr>
            <w:tcW w:w="1813" w:type="dxa"/>
            <w:vAlign w:val="center"/>
          </w:tcPr>
          <w:p w14:paraId="5685F93A" w14:textId="6FB18F3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27</w:t>
            </w:r>
          </w:p>
        </w:tc>
      </w:tr>
      <w:tr w:rsidR="003F41AA" w14:paraId="3863D0FE" w14:textId="77777777" w:rsidTr="008A0D29">
        <w:tc>
          <w:tcPr>
            <w:tcW w:w="1812" w:type="dxa"/>
            <w:vAlign w:val="center"/>
          </w:tcPr>
          <w:p w14:paraId="03243902" w14:textId="2E097783" w:rsidR="003F41AA" w:rsidRPr="009A3796" w:rsidRDefault="003F41AA"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812" w:type="dxa"/>
            <w:vAlign w:val="center"/>
          </w:tcPr>
          <w:p w14:paraId="1FABAD56" w14:textId="08815EA1" w:rsidR="003F41AA" w:rsidRPr="009A3796" w:rsidRDefault="005D6D06"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 xml:space="preserve">7 </w:t>
            </w:r>
            <w:r w:rsidR="0033725E">
              <w:rPr>
                <w:rFonts w:ascii="Arial" w:hAnsi="Arial" w:cs="Arial"/>
              </w:rPr>
              <w:t>872</w:t>
            </w:r>
          </w:p>
        </w:tc>
        <w:tc>
          <w:tcPr>
            <w:tcW w:w="1812" w:type="dxa"/>
            <w:vAlign w:val="center"/>
          </w:tcPr>
          <w:p w14:paraId="18258B26" w14:textId="3D80BC50" w:rsidR="003F41AA" w:rsidRPr="009A3796" w:rsidRDefault="009B3ECB"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5 121</w:t>
            </w:r>
          </w:p>
        </w:tc>
        <w:tc>
          <w:tcPr>
            <w:tcW w:w="1813" w:type="dxa"/>
            <w:vAlign w:val="center"/>
          </w:tcPr>
          <w:p w14:paraId="7357DF2F" w14:textId="69A27452" w:rsidR="003F41AA" w:rsidRPr="009A3796" w:rsidRDefault="00F9459D"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3</w:t>
            </w:r>
          </w:p>
        </w:tc>
        <w:tc>
          <w:tcPr>
            <w:tcW w:w="1813" w:type="dxa"/>
            <w:vAlign w:val="center"/>
          </w:tcPr>
          <w:p w14:paraId="0D19F8A0" w14:textId="39991F69" w:rsidR="003F41AA" w:rsidRPr="009A3796" w:rsidRDefault="00000E22"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21</w:t>
            </w:r>
          </w:p>
        </w:tc>
      </w:tr>
      <w:tr w:rsidR="008B3838" w14:paraId="2D254946" w14:textId="77777777" w:rsidTr="008A0D29">
        <w:tc>
          <w:tcPr>
            <w:tcW w:w="1812" w:type="dxa"/>
            <w:vAlign w:val="center"/>
          </w:tcPr>
          <w:p w14:paraId="25BD02EC" w14:textId="0863C6BD" w:rsidR="008B3838" w:rsidRDefault="008B3838"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2022</w:t>
            </w:r>
          </w:p>
        </w:tc>
        <w:tc>
          <w:tcPr>
            <w:tcW w:w="1812" w:type="dxa"/>
            <w:vAlign w:val="center"/>
          </w:tcPr>
          <w:p w14:paraId="5F25CCEF" w14:textId="6C2E50DE" w:rsidR="008B3838" w:rsidRDefault="00E37F06"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7 807</w:t>
            </w:r>
          </w:p>
        </w:tc>
        <w:tc>
          <w:tcPr>
            <w:tcW w:w="1812" w:type="dxa"/>
            <w:vAlign w:val="center"/>
          </w:tcPr>
          <w:p w14:paraId="4833C550" w14:textId="368B2C76" w:rsidR="008B3838" w:rsidRDefault="00BB4D32"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 xml:space="preserve">5 </w:t>
            </w:r>
            <w:r w:rsidR="00D4499C">
              <w:rPr>
                <w:rFonts w:ascii="Arial" w:hAnsi="Arial" w:cs="Arial"/>
              </w:rPr>
              <w:t>846</w:t>
            </w:r>
          </w:p>
        </w:tc>
        <w:tc>
          <w:tcPr>
            <w:tcW w:w="1813" w:type="dxa"/>
            <w:vAlign w:val="center"/>
          </w:tcPr>
          <w:p w14:paraId="05257BC3" w14:textId="20C05468" w:rsidR="008B3838" w:rsidRDefault="00795347"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2</w:t>
            </w:r>
          </w:p>
        </w:tc>
        <w:tc>
          <w:tcPr>
            <w:tcW w:w="1813" w:type="dxa"/>
            <w:vAlign w:val="center"/>
          </w:tcPr>
          <w:p w14:paraId="0A099852" w14:textId="60F12C06" w:rsidR="008B3838" w:rsidRDefault="00881851" w:rsidP="008A0D29">
            <w:pPr>
              <w:pStyle w:val="NormalnyWeb"/>
              <w:tabs>
                <w:tab w:val="left" w:pos="284"/>
              </w:tabs>
              <w:spacing w:beforeAutospacing="0" w:after="120" w:afterAutospacing="0" w:line="360" w:lineRule="auto"/>
              <w:jc w:val="center"/>
              <w:rPr>
                <w:rFonts w:ascii="Arial" w:hAnsi="Arial" w:cs="Arial"/>
              </w:rPr>
            </w:pPr>
            <w:r>
              <w:rPr>
                <w:rFonts w:ascii="Arial" w:hAnsi="Arial" w:cs="Arial"/>
              </w:rPr>
              <w:t>50</w:t>
            </w:r>
          </w:p>
        </w:tc>
      </w:tr>
    </w:tbl>
    <w:p w14:paraId="3D3DA592" w14:textId="77777777" w:rsidR="00056846" w:rsidRPr="00925BCD" w:rsidRDefault="00E54725">
      <w:pPr>
        <w:pStyle w:val="Nagwek1"/>
        <w:numPr>
          <w:ilvl w:val="1"/>
          <w:numId w:val="9"/>
        </w:numPr>
        <w:tabs>
          <w:tab w:val="left" w:pos="426"/>
        </w:tabs>
        <w:ind w:left="284" w:hanging="284"/>
        <w:jc w:val="both"/>
        <w:rPr>
          <w:i w:val="0"/>
          <w:sz w:val="22"/>
          <w:szCs w:val="22"/>
        </w:rPr>
      </w:pPr>
      <w:bookmarkStart w:id="8" w:name="_Toc161744862"/>
      <w:r w:rsidRPr="00925BCD">
        <w:rPr>
          <w:i w:val="0"/>
          <w:sz w:val="22"/>
          <w:szCs w:val="22"/>
        </w:rPr>
        <w:t>Mierniki służące monitorowaniu</w:t>
      </w:r>
      <w:bookmarkEnd w:id="8"/>
    </w:p>
    <w:p w14:paraId="0105AA02"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jest oceniana na podstawie nieprawidłowości w zakresie </w:t>
      </w:r>
      <w:bookmarkStart w:id="9" w:name="_Hlk153282373"/>
      <w:r w:rsidRPr="00925BCD">
        <w:rPr>
          <w:rFonts w:ascii="Arial" w:hAnsi="Arial" w:cs="Arial"/>
        </w:rPr>
        <w:t>obrotu środkami ochrony roślin</w:t>
      </w:r>
      <w:bookmarkEnd w:id="9"/>
      <w:r w:rsidRPr="00925BCD">
        <w:rPr>
          <w:rFonts w:ascii="Arial" w:hAnsi="Arial" w:cs="Arial"/>
        </w:rPr>
        <w:t xml:space="preserve">. W 2022 r. poziom nieprawidłowości w tym zakresie, stwierdzanych w ramach kontroli prowadzonej przez Państwową Inspekcję Ochrony Roślin i Nasiennictwa, powinien wynosić poniżej 3%. </w:t>
      </w:r>
    </w:p>
    <w:p w14:paraId="5157CBA4" w14:textId="6D0E4338"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obrotu środkami ochrony roślin wyniósł 3,21%</w:t>
      </w:r>
      <w:r w:rsidR="00617E50" w:rsidRPr="00925BCD">
        <w:rPr>
          <w:rFonts w:ascii="Arial" w:hAnsi="Arial" w:cs="Arial"/>
        </w:rPr>
        <w:t>,</w:t>
      </w:r>
      <w:r w:rsidR="008510AB" w:rsidRPr="00925BCD">
        <w:rPr>
          <w:rFonts w:ascii="Arial" w:hAnsi="Arial" w:cs="Arial"/>
        </w:rPr>
        <w:t> w 2019 r. wyniósł 4,</w:t>
      </w:r>
      <w:r w:rsidR="008510AB" w:rsidRPr="00645E54">
        <w:rPr>
          <w:rFonts w:ascii="Arial" w:hAnsi="Arial" w:cs="Arial"/>
        </w:rPr>
        <w:t>69%</w:t>
      </w:r>
      <w:r w:rsidR="00B110EF" w:rsidRPr="00645E54">
        <w:rPr>
          <w:rFonts w:ascii="Arial" w:hAnsi="Arial" w:cs="Arial"/>
        </w:rPr>
        <w:t>, w 2020 r.</w:t>
      </w:r>
      <w:r w:rsidR="00645E54" w:rsidRPr="00645E54">
        <w:rPr>
          <w:rFonts w:ascii="Arial" w:hAnsi="Arial" w:cs="Arial"/>
        </w:rPr>
        <w:t xml:space="preserve"> wyniósł 4,09</w:t>
      </w:r>
      <w:r w:rsidR="00645E54" w:rsidRPr="009C7F3C">
        <w:rPr>
          <w:rFonts w:ascii="Arial" w:hAnsi="Arial" w:cs="Arial"/>
        </w:rPr>
        <w:t>%</w:t>
      </w:r>
      <w:r w:rsidR="00F42506" w:rsidRPr="009C7F3C">
        <w:rPr>
          <w:rFonts w:ascii="Arial" w:hAnsi="Arial" w:cs="Arial"/>
        </w:rPr>
        <w:t>, w 2021 r. wyniósł</w:t>
      </w:r>
      <w:r w:rsidR="00C71BAC" w:rsidRPr="009C7F3C">
        <w:rPr>
          <w:rFonts w:ascii="Arial" w:hAnsi="Arial" w:cs="Arial"/>
        </w:rPr>
        <w:t xml:space="preserve"> </w:t>
      </w:r>
      <w:r w:rsidR="009C7F3C" w:rsidRPr="009C7F3C">
        <w:rPr>
          <w:rFonts w:ascii="Arial" w:hAnsi="Arial" w:cs="Arial"/>
        </w:rPr>
        <w:t>6,35%</w:t>
      </w:r>
      <w:r w:rsidR="00795347">
        <w:rPr>
          <w:rFonts w:ascii="Arial" w:hAnsi="Arial" w:cs="Arial"/>
        </w:rPr>
        <w:t xml:space="preserve">, </w:t>
      </w:r>
      <w:r w:rsidR="00795347" w:rsidRPr="00155A55">
        <w:rPr>
          <w:rFonts w:ascii="Arial" w:hAnsi="Arial" w:cs="Arial"/>
        </w:rPr>
        <w:t>a w 2022 r</w:t>
      </w:r>
      <w:r w:rsidR="004A21E5" w:rsidRPr="00155A55">
        <w:rPr>
          <w:rFonts w:ascii="Arial" w:hAnsi="Arial" w:cs="Arial"/>
        </w:rPr>
        <w:t>.</w:t>
      </w:r>
      <w:r w:rsidR="004A21E5">
        <w:rPr>
          <w:rFonts w:ascii="Arial" w:hAnsi="Arial" w:cs="Arial"/>
        </w:rPr>
        <w:t xml:space="preserve"> </w:t>
      </w:r>
      <w:r w:rsidR="005511D7">
        <w:rPr>
          <w:rFonts w:ascii="Arial" w:hAnsi="Arial" w:cs="Arial"/>
        </w:rPr>
        <w:t xml:space="preserve">wyniósł </w:t>
      </w:r>
      <w:r w:rsidR="00155A55">
        <w:rPr>
          <w:rFonts w:ascii="Arial" w:hAnsi="Arial" w:cs="Arial"/>
        </w:rPr>
        <w:t>4,19%.</w:t>
      </w:r>
      <w:r w:rsidR="006C78ED">
        <w:rPr>
          <w:rFonts w:ascii="Arial" w:hAnsi="Arial" w:cs="Arial"/>
        </w:rPr>
        <w:t xml:space="preserve"> Tym samym </w:t>
      </w:r>
      <w:r w:rsidR="00782A4F">
        <w:rPr>
          <w:rFonts w:ascii="Arial" w:hAnsi="Arial" w:cs="Arial"/>
        </w:rPr>
        <w:t>p</w:t>
      </w:r>
      <w:r w:rsidR="006D3081">
        <w:rPr>
          <w:rFonts w:ascii="Arial" w:hAnsi="Arial" w:cs="Arial"/>
        </w:rPr>
        <w:t>rzekroczenie oczekiwanej wartości miernika nie było wysokie (1,19%)</w:t>
      </w:r>
      <w:r w:rsidR="00782A4F">
        <w:rPr>
          <w:rFonts w:ascii="Arial" w:hAnsi="Arial" w:cs="Arial"/>
        </w:rPr>
        <w:t xml:space="preserve"> i założone cele zostały w dużej mierze zrealizowane.</w:t>
      </w:r>
      <w:r w:rsidR="006D3081">
        <w:rPr>
          <w:rFonts w:ascii="Arial" w:hAnsi="Arial" w:cs="Arial"/>
        </w:rPr>
        <w:t xml:space="preserve"> </w:t>
      </w:r>
    </w:p>
    <w:p w14:paraId="302C4645" w14:textId="77777777" w:rsidR="00056846" w:rsidRPr="00925BCD" w:rsidRDefault="00E54725">
      <w:pPr>
        <w:pStyle w:val="Nagwek1"/>
        <w:numPr>
          <w:ilvl w:val="0"/>
          <w:numId w:val="9"/>
        </w:numPr>
        <w:jc w:val="both"/>
        <w:rPr>
          <w:i w:val="0"/>
          <w:sz w:val="22"/>
          <w:szCs w:val="22"/>
        </w:rPr>
      </w:pPr>
      <w:bookmarkStart w:id="10" w:name="_Toc161744863"/>
      <w:r w:rsidRPr="00925BCD">
        <w:rPr>
          <w:i w:val="0"/>
          <w:sz w:val="22"/>
          <w:szCs w:val="22"/>
        </w:rPr>
        <w:t>Działanie 3. Upowszechnianie w społeczeństwie wiedzy o środkach ochrony roślin</w:t>
      </w:r>
      <w:bookmarkEnd w:id="10"/>
      <w:r w:rsidRPr="00925BCD">
        <w:rPr>
          <w:i w:val="0"/>
          <w:sz w:val="22"/>
          <w:szCs w:val="22"/>
        </w:rPr>
        <w:t xml:space="preserve"> </w:t>
      </w:r>
    </w:p>
    <w:p w14:paraId="2D909564" w14:textId="070FDA28"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Dyrektywa 2009/128/WE podkreśla konieczność podnoszenia wiedzy ogółu społeczeństwa odnośnie środków ochrony roślin, w tym osób nie zajmujących się zawodowo działalnością związaną ze stosowaniem tych środków, ich roli w nowoczesnym rolnictwie oraz ryzykiem, jakie może wiązać się z ich stosowaniem. </w:t>
      </w:r>
    </w:p>
    <w:p w14:paraId="1EBFEC61" w14:textId="16A845E7" w:rsidR="00CD011C"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działania, które służy osiągnięciu celów określonych w art. 7 dyrektywy 2009/128/WE, Ministerstwo Rolnictwa i Rozwoju Wsi, Państwowa Inspekcja Ochrony Roślin i Nasiennictwa, Centrum Doradztwa Rolniczego wraz z wojewódzkimi ośrodkami doradztwa rolniczego jak również instytuty nadzorowane przez Ministra Rolnictwa i Rozwoju Wsi prowadziły działalność edukacyjną w zakresie środków ochrony roślin, która obejmowała informacje o zagrożeniach wynikających ze stosowania środków ochrony roślin oraz metodach eliminacji tych zagrożeń. Informacje na ten temat były prezentowane na konferencjach, publikowane w prasie i Internecie. Wśród użytkowników środków ochrony roślin dystrybuowane były materiały informacyjne. Szczegółowe informacje w zakresie realizacji tego działania podano również w opisie Zadania 1 w Działaniu 10.</w:t>
      </w:r>
    </w:p>
    <w:p w14:paraId="43DC10EA"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Informacje dotyczące ograniczania ryzyka związanego ze stosowaniem środków ochrony roślin dla zdrowia ludzi i zwierząt oraz dla środowiska udostępniane były także na stronie internetowej </w:t>
      </w:r>
      <w:r w:rsidRPr="00925BCD">
        <w:rPr>
          <w:rFonts w:ascii="Arial" w:hAnsi="Arial" w:cs="Arial"/>
        </w:rPr>
        <w:lastRenderedPageBreak/>
        <w:t>poświęconej integrowanej ochronie roślin – Platforma Sygnalizacji Agrofagów.</w:t>
      </w:r>
    </w:p>
    <w:p w14:paraId="6C81CC61" w14:textId="77777777" w:rsidR="00056846" w:rsidRPr="00925BCD" w:rsidRDefault="00E54725" w:rsidP="00BD23CE">
      <w:pPr>
        <w:pStyle w:val="NormalnyWeb"/>
        <w:tabs>
          <w:tab w:val="left" w:pos="284"/>
        </w:tabs>
        <w:spacing w:before="280" w:beforeAutospacing="0" w:after="120" w:afterAutospacing="0" w:line="360" w:lineRule="auto"/>
        <w:jc w:val="center"/>
        <w:rPr>
          <w:rFonts w:ascii="Arial" w:hAnsi="Arial" w:cs="Arial"/>
        </w:rPr>
      </w:pPr>
      <w:r w:rsidRPr="00925BCD">
        <w:rPr>
          <w:noProof/>
        </w:rPr>
        <w:drawing>
          <wp:inline distT="0" distB="0" distL="0" distR="0" wp14:anchorId="18666154" wp14:editId="1557D908">
            <wp:extent cx="5781675" cy="1513189"/>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9"/>
                    <a:stretch>
                      <a:fillRect/>
                    </a:stretch>
                  </pic:blipFill>
                  <pic:spPr bwMode="auto">
                    <a:xfrm>
                      <a:off x="0" y="0"/>
                      <a:ext cx="5885970" cy="1540485"/>
                    </a:xfrm>
                    <a:prstGeom prst="rect">
                      <a:avLst/>
                    </a:prstGeom>
                  </pic:spPr>
                </pic:pic>
              </a:graphicData>
            </a:graphic>
          </wp:inline>
        </w:drawing>
      </w:r>
    </w:p>
    <w:p w14:paraId="4A8A8A3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w ramach działania były realizowane następujące zadania szczegółowe:</w:t>
      </w:r>
    </w:p>
    <w:p w14:paraId="3FE640AB" w14:textId="77777777" w:rsidR="00056846" w:rsidRPr="00925BCD" w:rsidRDefault="00E54725">
      <w:pPr>
        <w:pStyle w:val="Nagwek2"/>
        <w:rPr>
          <w:i w:val="0"/>
          <w:sz w:val="20"/>
          <w:szCs w:val="20"/>
        </w:rPr>
      </w:pPr>
      <w:bookmarkStart w:id="11" w:name="_Toc161744864"/>
      <w:r w:rsidRPr="00925BCD">
        <w:rPr>
          <w:i w:val="0"/>
          <w:sz w:val="20"/>
          <w:szCs w:val="20"/>
        </w:rPr>
        <w:t>Zadanie 1. Promowanie dobrych praktyk bezpiecznego stosowania środków ochrony roślin</w:t>
      </w:r>
      <w:bookmarkEnd w:id="11"/>
    </w:p>
    <w:p w14:paraId="7F4BB948" w14:textId="48930A11"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Bezpieczne stosowanie środków ochrony roślin zależy w dużym stopniu od świadomości, wiedzy i umiejętności osób wykonujących zabiegi. Dokonując właściwych wyborów oraz wykorzystując odpowiedni sprzęt i infrastrukturę techniczną, osoby wykonujące zabiegi środkami ochrony roślin minimalizują ryzyko związane z ich użyciem. </w:t>
      </w:r>
    </w:p>
    <w:p w14:paraId="17100535" w14:textId="24E6BB9E"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Ze względu na znaczenie upowszechniania i promowania dobrych praktyk w ochronie roślin dla zapewnienia bezpiecznego stosowania środków ochrony roślin, </w:t>
      </w:r>
      <w:bookmarkStart w:id="12" w:name="_Hlk152583174"/>
      <w:r w:rsidRPr="00925BCD">
        <w:rPr>
          <w:rFonts w:ascii="Arial" w:hAnsi="Arial" w:cs="Arial"/>
        </w:rPr>
        <w:t>w ramach programu wieloletniego pn.</w:t>
      </w:r>
      <w:r w:rsidR="00804D7A" w:rsidRPr="00925BCD">
        <w:rPr>
          <w:rFonts w:ascii="Arial" w:hAnsi="Arial" w:cs="Arial"/>
        </w:rPr>
        <w:t> </w:t>
      </w:r>
      <w:r w:rsidRPr="00925BCD">
        <w:rPr>
          <w:rFonts w:ascii="Arial" w:hAnsi="Arial" w:cs="Arial"/>
        </w:rPr>
        <w:t xml:space="preserve">Działania na rzecz poprawy konkurencyjności i innowacyjności sektora ogrodniczego z uwzględnieniem jakości i bezpieczeństwa żywności oraz ochrony środowiska naturalnego na lata 2015–2020, </w:t>
      </w:r>
      <w:bookmarkEnd w:id="12"/>
      <w:r w:rsidRPr="00925BCD">
        <w:rPr>
          <w:rFonts w:ascii="Arial" w:hAnsi="Arial" w:cs="Arial"/>
        </w:rPr>
        <w:t xml:space="preserve">realizowanego przez </w:t>
      </w:r>
      <w:bookmarkStart w:id="13" w:name="_Hlk152583241"/>
      <w:r w:rsidRPr="00925BCD">
        <w:rPr>
          <w:rFonts w:ascii="Arial" w:hAnsi="Arial" w:cs="Arial"/>
        </w:rPr>
        <w:t xml:space="preserve">Instytut Ogrodnictwa </w:t>
      </w:r>
      <w:r w:rsidR="006C4771" w:rsidRPr="00772A61">
        <w:rPr>
          <w:rFonts w:ascii="Arial" w:hAnsi="Arial" w:cs="Arial"/>
        </w:rPr>
        <w:t>–</w:t>
      </w:r>
      <w:r w:rsidR="006C4771" w:rsidRPr="00925BCD">
        <w:rPr>
          <w:rFonts w:ascii="Arial" w:hAnsi="Arial" w:cs="Arial"/>
        </w:rPr>
        <w:t xml:space="preserve"> </w:t>
      </w:r>
      <w:r w:rsidR="006C4771">
        <w:rPr>
          <w:rFonts w:ascii="Arial" w:hAnsi="Arial" w:cs="Arial"/>
        </w:rPr>
        <w:t xml:space="preserve">PIB </w:t>
      </w:r>
      <w:bookmarkEnd w:id="13"/>
      <w:r w:rsidRPr="00925BCD">
        <w:rPr>
          <w:rFonts w:ascii="Arial" w:hAnsi="Arial" w:cs="Arial"/>
        </w:rPr>
        <w:t>w 2018 r. opublikowano poradniki praktyk bezpiecznego stosowania środków ochrony roślin tj.:</w:t>
      </w:r>
    </w:p>
    <w:p w14:paraId="5CA4741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opryskiwaczy polowych i sadowniczych”, </w:t>
      </w:r>
    </w:p>
    <w:p w14:paraId="2C061B7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zaprawiarek do nasion”; </w:t>
      </w:r>
    </w:p>
    <w:p w14:paraId="0157F21C"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Badania sprawności technicznej sprzętu ochrony roślin. Zaprawiarka do nasion”.</w:t>
      </w:r>
    </w:p>
    <w:p w14:paraId="25EFBBCB" w14:textId="77777777" w:rsidR="00A002EF" w:rsidRPr="00925BCD" w:rsidRDefault="00A002EF"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ramach zadania zaktualizowano i wydano drukiem następujące monografie:</w:t>
      </w:r>
    </w:p>
    <w:p w14:paraId="7904273F"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ochrony roślin – opryskiwacze szklarniowe”</w:t>
      </w:r>
      <w:r w:rsidR="00340372" w:rsidRPr="00925BCD">
        <w:rPr>
          <w:rFonts w:ascii="Arial" w:hAnsi="Arial" w:cs="Arial"/>
        </w:rPr>
        <w:t>,</w:t>
      </w:r>
      <w:r w:rsidRPr="00925BCD">
        <w:rPr>
          <w:rFonts w:ascii="Arial" w:hAnsi="Arial" w:cs="Arial"/>
        </w:rPr>
        <w:t xml:space="preserve"> </w:t>
      </w:r>
    </w:p>
    <w:p w14:paraId="2F6292B0"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„D</w:t>
      </w:r>
      <w:r w:rsidR="00511CCD" w:rsidRPr="00925BCD">
        <w:rPr>
          <w:rFonts w:ascii="Arial" w:hAnsi="Arial" w:cs="Arial"/>
        </w:rPr>
        <w:t>obra</w:t>
      </w:r>
      <w:r w:rsidRPr="00925BCD">
        <w:rPr>
          <w:rFonts w:ascii="Arial" w:hAnsi="Arial" w:cs="Arial"/>
        </w:rPr>
        <w:t xml:space="preserve"> P</w:t>
      </w:r>
      <w:r w:rsidR="00511CCD" w:rsidRPr="00925BCD">
        <w:rPr>
          <w:rFonts w:ascii="Arial" w:hAnsi="Arial" w:cs="Arial"/>
        </w:rPr>
        <w:t>raktyka</w:t>
      </w:r>
      <w:r w:rsidRPr="00925BCD">
        <w:rPr>
          <w:rFonts w:ascii="Arial" w:hAnsi="Arial" w:cs="Arial"/>
        </w:rPr>
        <w:t xml:space="preserve"> – Samodzielna kontrola opryskiwaczy szklarniowych”.</w:t>
      </w:r>
    </w:p>
    <w:p w14:paraId="73A2304B" w14:textId="77777777" w:rsidR="00340372" w:rsidRPr="00925BCD"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oraz </w:t>
      </w:r>
      <w:r w:rsidR="00A002EF" w:rsidRPr="00925BCD">
        <w:rPr>
          <w:rFonts w:ascii="Arial" w:hAnsi="Arial" w:cs="Arial"/>
        </w:rPr>
        <w:t>opracowano dwie nowe książki dotyczące badania urządzeń do stosowania granulatów:</w:t>
      </w:r>
    </w:p>
    <w:p w14:paraId="30239C97" w14:textId="77777777" w:rsidR="00340372"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do stosowania środków ochrony roślin w formie granulatu”</w:t>
      </w:r>
      <w:r w:rsidR="00340372" w:rsidRPr="00925BCD">
        <w:rPr>
          <w:rFonts w:ascii="Arial" w:hAnsi="Arial" w:cs="Arial"/>
        </w:rPr>
        <w:t>,</w:t>
      </w:r>
    </w:p>
    <w:p w14:paraId="613B23B2" w14:textId="0B39BA6E" w:rsidR="00A002EF"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„D</w:t>
      </w:r>
      <w:r w:rsidR="00511CCD" w:rsidRPr="00925BCD">
        <w:rPr>
          <w:rFonts w:ascii="Arial" w:hAnsi="Arial" w:cs="Arial"/>
        </w:rPr>
        <w:t xml:space="preserve">obra </w:t>
      </w:r>
      <w:r w:rsidRPr="00925BCD">
        <w:rPr>
          <w:rFonts w:ascii="Arial" w:hAnsi="Arial" w:cs="Arial"/>
        </w:rPr>
        <w:t>P</w:t>
      </w:r>
      <w:r w:rsidR="00511CCD" w:rsidRPr="00925BCD">
        <w:rPr>
          <w:rFonts w:ascii="Arial" w:hAnsi="Arial" w:cs="Arial"/>
        </w:rPr>
        <w:t>raktyka</w:t>
      </w:r>
      <w:r w:rsidRPr="00925BCD">
        <w:rPr>
          <w:rFonts w:ascii="Arial" w:hAnsi="Arial" w:cs="Arial"/>
        </w:rPr>
        <w:t xml:space="preserve"> – Samodzielna kontrola sprzętu do stosowania środków ochrony roślin w</w:t>
      </w:r>
      <w:r w:rsidR="00511CCD" w:rsidRPr="00925BCD">
        <w:rPr>
          <w:rFonts w:ascii="Arial" w:hAnsi="Arial" w:cs="Arial"/>
        </w:rPr>
        <w:t> </w:t>
      </w:r>
      <w:r w:rsidRPr="00925BCD">
        <w:rPr>
          <w:rFonts w:ascii="Arial" w:hAnsi="Arial" w:cs="Arial"/>
        </w:rPr>
        <w:t>formie gran</w:t>
      </w:r>
      <w:r w:rsidR="00340372" w:rsidRPr="00925BCD">
        <w:rPr>
          <w:rFonts w:ascii="Arial" w:hAnsi="Arial" w:cs="Arial"/>
        </w:rPr>
        <w:t>ulatu”</w:t>
      </w:r>
      <w:r w:rsidR="006C4771">
        <w:rPr>
          <w:rFonts w:ascii="Arial" w:hAnsi="Arial" w:cs="Arial"/>
        </w:rPr>
        <w:t>,</w:t>
      </w:r>
    </w:p>
    <w:p w14:paraId="44CD1710" w14:textId="4FD9E284" w:rsidR="00E570F6" w:rsidRPr="00B110EF" w:rsidRDefault="006C4771" w:rsidP="006C477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natomiast w</w:t>
      </w:r>
      <w:r w:rsidR="00E570F6" w:rsidRPr="00B110EF">
        <w:rPr>
          <w:rFonts w:ascii="Arial" w:hAnsi="Arial" w:cs="Arial"/>
        </w:rPr>
        <w:t xml:space="preserve"> 2020 r. zaktualizowano i wydano drukiem opracowania o charakterze instruktażowym:</w:t>
      </w:r>
    </w:p>
    <w:p w14:paraId="0AFA982F" w14:textId="6B0A0D7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lastRenderedPageBreak/>
        <w:t>DOBRA PRAKTYKA – Samodzielna kontrola pozostałego sprzętu do stosowania środków ochrony roślin w formie oprysku,</w:t>
      </w:r>
    </w:p>
    <w:p w14:paraId="4AACEE9B" w14:textId="7BB31BA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DOBRA PRAKTYKA – Samodzielna kontrola sprzętu do stosowania środków ochrony roślin w formie granulatu,</w:t>
      </w:r>
    </w:p>
    <w:p w14:paraId="674A9E9A" w14:textId="21385033"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pozostałego sprzętu do stosowania środków ochrony roślin w formie oprysku,</w:t>
      </w:r>
    </w:p>
    <w:p w14:paraId="4C07C896" w14:textId="604626CF" w:rsidR="006C4771"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sprzętu do stosowania środków ochrony roślin w formie granulatu.</w:t>
      </w:r>
    </w:p>
    <w:p w14:paraId="70CB2E9A" w14:textId="7ED76D13" w:rsidR="002317DA" w:rsidRPr="00B110EF" w:rsidRDefault="008A7955" w:rsidP="00DB27C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Pr="008A7955">
        <w:rPr>
          <w:rFonts w:ascii="Arial" w:hAnsi="Arial" w:cs="Arial"/>
        </w:rPr>
        <w:t xml:space="preserve"> 2020 r.</w:t>
      </w:r>
      <w:r>
        <w:rPr>
          <w:rFonts w:ascii="Arial" w:hAnsi="Arial" w:cs="Arial"/>
        </w:rPr>
        <w:t>,</w:t>
      </w:r>
      <w:r w:rsidR="008B3E4C">
        <w:rPr>
          <w:rFonts w:ascii="Arial" w:hAnsi="Arial" w:cs="Arial"/>
        </w:rPr>
        <w:t xml:space="preserve"> </w:t>
      </w:r>
      <w:r w:rsidR="00D72EF7">
        <w:rPr>
          <w:rFonts w:ascii="Arial" w:hAnsi="Arial" w:cs="Arial"/>
        </w:rPr>
        <w:t>w</w:t>
      </w:r>
      <w:r w:rsidR="002317DA" w:rsidRPr="00F06F48">
        <w:rPr>
          <w:rFonts w:ascii="Arial" w:hAnsi="Arial" w:cs="Arial"/>
        </w:rPr>
        <w:t xml:space="preserve"> ramach programu wieloletniego </w:t>
      </w:r>
      <w:r w:rsidR="00E92418">
        <w:rPr>
          <w:rFonts w:ascii="Arial" w:hAnsi="Arial" w:cs="Arial"/>
        </w:rPr>
        <w:t xml:space="preserve">również </w:t>
      </w:r>
      <w:r w:rsidR="002317DA" w:rsidRPr="00F06F48">
        <w:rPr>
          <w:rFonts w:ascii="Arial" w:hAnsi="Arial" w:cs="Arial"/>
        </w:rPr>
        <w:t xml:space="preserve">Instytut Ochrony Roślin – PIB opracował </w:t>
      </w:r>
      <w:r w:rsidR="00A0625C" w:rsidRPr="00F06F48">
        <w:rPr>
          <w:rFonts w:ascii="Arial" w:hAnsi="Arial" w:cs="Arial"/>
        </w:rPr>
        <w:t>i</w:t>
      </w:r>
      <w:r w:rsidR="00A0625C">
        <w:rPr>
          <w:rFonts w:ascii="Arial" w:hAnsi="Arial" w:cs="Arial"/>
        </w:rPr>
        <w:t> </w:t>
      </w:r>
      <w:r w:rsidR="002317DA" w:rsidRPr="00F06F48">
        <w:rPr>
          <w:rFonts w:ascii="Arial" w:hAnsi="Arial" w:cs="Arial"/>
        </w:rPr>
        <w:t>wydał cieszący się dużą popularnością „Kodeks dobrej praktyki ochrony roślin”, który systematyzuje najważniejsze a zarazem praktyczne elementy związane z prawidłową i bezpieczną ochroną roślin oraz przepisami prawa w tym obszarze.</w:t>
      </w:r>
    </w:p>
    <w:p w14:paraId="36CCD082" w14:textId="40D58987" w:rsidR="0056471C" w:rsidRDefault="0056471C" w:rsidP="00C96C2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Po zakończeniu realizacji </w:t>
      </w:r>
      <w:r w:rsidR="004C7C57">
        <w:rPr>
          <w:rFonts w:ascii="Arial" w:hAnsi="Arial" w:cs="Arial"/>
        </w:rPr>
        <w:t>programu</w:t>
      </w:r>
      <w:r>
        <w:rPr>
          <w:rFonts w:ascii="Arial" w:hAnsi="Arial" w:cs="Arial"/>
        </w:rPr>
        <w:t xml:space="preserve"> wieloletniego</w:t>
      </w:r>
      <w:r w:rsidR="00B33E53">
        <w:rPr>
          <w:rFonts w:ascii="Arial" w:hAnsi="Arial" w:cs="Arial"/>
        </w:rPr>
        <w:t xml:space="preserve">, od 2021 r. </w:t>
      </w:r>
      <w:r w:rsidR="00B33E53" w:rsidRPr="00925BCD">
        <w:rPr>
          <w:rFonts w:ascii="Arial" w:hAnsi="Arial" w:cs="Arial"/>
        </w:rPr>
        <w:t xml:space="preserve">Instytut Ogrodnictwa </w:t>
      </w:r>
      <w:r w:rsidR="00B33E53" w:rsidRPr="00772A61">
        <w:rPr>
          <w:rFonts w:ascii="Arial" w:hAnsi="Arial" w:cs="Arial"/>
        </w:rPr>
        <w:t>–</w:t>
      </w:r>
      <w:r w:rsidR="00B33E53" w:rsidRPr="00925BCD">
        <w:rPr>
          <w:rFonts w:ascii="Arial" w:hAnsi="Arial" w:cs="Arial"/>
        </w:rPr>
        <w:t xml:space="preserve"> </w:t>
      </w:r>
      <w:r w:rsidR="00B33E53">
        <w:rPr>
          <w:rFonts w:ascii="Arial" w:hAnsi="Arial" w:cs="Arial"/>
        </w:rPr>
        <w:t>PIB</w:t>
      </w:r>
      <w:r w:rsidR="00F17435">
        <w:rPr>
          <w:rFonts w:ascii="Arial" w:hAnsi="Arial" w:cs="Arial"/>
        </w:rPr>
        <w:t xml:space="preserve"> realizował zadania </w:t>
      </w:r>
      <w:r w:rsidR="009B77EF">
        <w:rPr>
          <w:rFonts w:ascii="Arial" w:hAnsi="Arial" w:cs="Arial"/>
        </w:rPr>
        <w:t>w ramach dotacji celowe</w:t>
      </w:r>
      <w:r w:rsidR="004C7C57">
        <w:rPr>
          <w:rFonts w:ascii="Arial" w:hAnsi="Arial" w:cs="Arial"/>
        </w:rPr>
        <w:t>j</w:t>
      </w:r>
      <w:r w:rsidR="00F17435">
        <w:rPr>
          <w:rFonts w:ascii="Arial" w:hAnsi="Arial" w:cs="Arial"/>
        </w:rPr>
        <w:t xml:space="preserve"> finansowane</w:t>
      </w:r>
      <w:r w:rsidR="004C7C57">
        <w:rPr>
          <w:rFonts w:ascii="Arial" w:hAnsi="Arial" w:cs="Arial"/>
        </w:rPr>
        <w:t>j</w:t>
      </w:r>
      <w:r w:rsidR="00F17435">
        <w:rPr>
          <w:rFonts w:ascii="Arial" w:hAnsi="Arial" w:cs="Arial"/>
        </w:rPr>
        <w:t xml:space="preserve"> prze</w:t>
      </w:r>
      <w:r w:rsidR="004C7C57">
        <w:rPr>
          <w:rFonts w:ascii="Arial" w:hAnsi="Arial" w:cs="Arial"/>
        </w:rPr>
        <w:t>z</w:t>
      </w:r>
      <w:r w:rsidR="00F17435">
        <w:rPr>
          <w:rFonts w:ascii="Arial" w:hAnsi="Arial" w:cs="Arial"/>
        </w:rPr>
        <w:t xml:space="preserve"> MRiRW</w:t>
      </w:r>
      <w:r w:rsidR="004B5A87">
        <w:rPr>
          <w:rFonts w:ascii="Arial" w:hAnsi="Arial" w:cs="Arial"/>
        </w:rPr>
        <w:t>,</w:t>
      </w:r>
      <w:r w:rsidR="00F17435">
        <w:rPr>
          <w:rFonts w:ascii="Arial" w:hAnsi="Arial" w:cs="Arial"/>
        </w:rPr>
        <w:t xml:space="preserve"> w </w:t>
      </w:r>
      <w:r w:rsidR="004B5A87">
        <w:rPr>
          <w:rFonts w:ascii="Arial" w:hAnsi="Arial" w:cs="Arial"/>
        </w:rPr>
        <w:t>ramach</w:t>
      </w:r>
      <w:r w:rsidR="00F17435">
        <w:rPr>
          <w:rFonts w:ascii="Arial" w:hAnsi="Arial" w:cs="Arial"/>
        </w:rPr>
        <w:t xml:space="preserve">, </w:t>
      </w:r>
      <w:r w:rsidR="006F76DA">
        <w:rPr>
          <w:rFonts w:ascii="Arial" w:hAnsi="Arial" w:cs="Arial"/>
        </w:rPr>
        <w:t>których:</w:t>
      </w:r>
    </w:p>
    <w:p w14:paraId="08EFBFCE" w14:textId="1E943765" w:rsidR="00C674EF" w:rsidRPr="003C705E" w:rsidRDefault="006F76DA" w:rsidP="00C96C2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C674EF" w:rsidRPr="003C705E">
        <w:rPr>
          <w:rFonts w:ascii="Arial" w:hAnsi="Arial" w:cs="Arial"/>
        </w:rPr>
        <w:t xml:space="preserve"> 2021</w:t>
      </w:r>
      <w:r w:rsidR="00430FB6">
        <w:rPr>
          <w:rFonts w:ascii="Arial" w:hAnsi="Arial" w:cs="Arial"/>
        </w:rPr>
        <w:t> </w:t>
      </w:r>
      <w:r w:rsidR="00C674EF" w:rsidRPr="003C705E">
        <w:rPr>
          <w:rFonts w:ascii="Arial" w:hAnsi="Arial" w:cs="Arial"/>
        </w:rPr>
        <w:t>r. opracowano 2 filmy szkoleniowe dotyczące badania stanu technicznego i kalibracji opryskiwaczy polowych oraz sadowniczych:</w:t>
      </w:r>
    </w:p>
    <w:p w14:paraId="709E0438" w14:textId="77777777" w:rsidR="00C674EF" w:rsidRPr="003C705E" w:rsidRDefault="00C674EF" w:rsidP="003C705E">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3C705E">
        <w:rPr>
          <w:rFonts w:ascii="Arial" w:hAnsi="Arial" w:cs="Arial"/>
        </w:rPr>
        <w:t>FILM - Opryskiwacze polowe – badanie stanu technicznego opryskiwaczy polowych,</w:t>
      </w:r>
    </w:p>
    <w:p w14:paraId="7914D5FF" w14:textId="77777777" w:rsidR="00C674EF" w:rsidRPr="003C705E" w:rsidRDefault="00C674EF" w:rsidP="003C705E">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3C705E">
        <w:rPr>
          <w:rFonts w:ascii="Arial" w:hAnsi="Arial" w:cs="Arial"/>
        </w:rPr>
        <w:t>FILM - Opryskiwacze polowe - kalibracja opryskiwaczy polowych.</w:t>
      </w:r>
    </w:p>
    <w:p w14:paraId="2F628901" w14:textId="6253E5AA" w:rsidR="00C674EF" w:rsidRPr="003C705E" w:rsidRDefault="006F76DA" w:rsidP="00687E84">
      <w:pPr>
        <w:pStyle w:val="NormalnyWeb"/>
        <w:tabs>
          <w:tab w:val="left" w:pos="284"/>
        </w:tabs>
        <w:spacing w:beforeAutospacing="0" w:after="120" w:afterAutospacing="0" w:line="360" w:lineRule="auto"/>
        <w:jc w:val="both"/>
        <w:rPr>
          <w:rFonts w:ascii="Arial" w:hAnsi="Arial" w:cs="Arial"/>
        </w:rPr>
      </w:pPr>
      <w:r>
        <w:rPr>
          <w:rFonts w:ascii="Arial" w:hAnsi="Arial" w:cs="Arial"/>
        </w:rPr>
        <w:t>natomiast w</w:t>
      </w:r>
      <w:r w:rsidR="00C674EF" w:rsidRPr="003C705E">
        <w:rPr>
          <w:rFonts w:ascii="Arial" w:hAnsi="Arial" w:cs="Arial"/>
        </w:rPr>
        <w:t xml:space="preserve"> 2022 r. wydano drukiem:</w:t>
      </w:r>
    </w:p>
    <w:p w14:paraId="064D7935" w14:textId="4950DEFF" w:rsidR="00C674EF" w:rsidRPr="005515DF" w:rsidRDefault="00C674EF" w:rsidP="00CF1B33">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5515DF">
        <w:rPr>
          <w:rFonts w:ascii="Arial" w:hAnsi="Arial" w:cs="Arial"/>
        </w:rPr>
        <w:t>PORADNIK użytkowania sprzętu do ochrony roślin metodami nie chemicznymi,</w:t>
      </w:r>
      <w:r w:rsidR="004B5A87">
        <w:rPr>
          <w:rFonts w:ascii="Arial" w:hAnsi="Arial" w:cs="Arial"/>
        </w:rPr>
        <w:t xml:space="preserve"> </w:t>
      </w:r>
      <w:r w:rsidRPr="005515DF">
        <w:rPr>
          <w:rFonts w:ascii="Arial" w:hAnsi="Arial" w:cs="Arial"/>
        </w:rPr>
        <w:t>oraz opracowano 2 filmy szkoleniowe:</w:t>
      </w:r>
    </w:p>
    <w:p w14:paraId="652F8C8A" w14:textId="77777777" w:rsidR="00C674EF" w:rsidRPr="003C705E" w:rsidRDefault="00C674EF" w:rsidP="003C705E">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3C705E">
        <w:rPr>
          <w:rFonts w:ascii="Arial" w:hAnsi="Arial" w:cs="Arial"/>
        </w:rPr>
        <w:t>FILM - Opryskiwacze sadownicze – badanie stanu technicznego opryskiwaczy sadowniczych,</w:t>
      </w:r>
    </w:p>
    <w:p w14:paraId="7E4BABC3" w14:textId="57DF38E6" w:rsidR="00F06F48" w:rsidRPr="003E2E78" w:rsidRDefault="00C674EF" w:rsidP="00F06F48">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3C705E">
        <w:rPr>
          <w:rFonts w:ascii="Arial" w:hAnsi="Arial" w:cs="Arial"/>
        </w:rPr>
        <w:t>FILM - Opryskiwacze sadownicze - kalibracja opryskiwaczy sadowniczych.</w:t>
      </w:r>
    </w:p>
    <w:p w14:paraId="34D55183" w14:textId="0FC6B2DA" w:rsidR="00056846"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Instytut Ogrodnictwa </w:t>
      </w:r>
      <w:r w:rsidR="005754FE" w:rsidRPr="00925BCD">
        <w:rPr>
          <w:rFonts w:ascii="Arial" w:hAnsi="Arial" w:cs="Arial"/>
        </w:rPr>
        <w:t xml:space="preserve">– </w:t>
      </w:r>
      <w:r w:rsidR="005754FE">
        <w:rPr>
          <w:rFonts w:ascii="Arial" w:hAnsi="Arial" w:cs="Arial"/>
        </w:rPr>
        <w:t xml:space="preserve">PIB </w:t>
      </w:r>
      <w:r w:rsidRPr="00925BCD">
        <w:rPr>
          <w:rFonts w:ascii="Arial" w:hAnsi="Arial" w:cs="Arial"/>
        </w:rPr>
        <w:t xml:space="preserve">zorganizował także szkolenia. </w:t>
      </w:r>
      <w:r w:rsidR="00E54725" w:rsidRPr="00925BCD">
        <w:rPr>
          <w:rFonts w:ascii="Arial" w:hAnsi="Arial" w:cs="Arial"/>
        </w:rPr>
        <w:t>W 2018 r</w:t>
      </w:r>
      <w:r w:rsidR="00804D7A" w:rsidRPr="00925BCD">
        <w:rPr>
          <w:rFonts w:ascii="Arial" w:hAnsi="Arial" w:cs="Arial"/>
        </w:rPr>
        <w:t>.</w:t>
      </w:r>
      <w:r w:rsidRPr="00925BCD">
        <w:rPr>
          <w:rFonts w:ascii="Arial" w:hAnsi="Arial" w:cs="Arial"/>
        </w:rPr>
        <w:t xml:space="preserve"> odbyły się</w:t>
      </w:r>
      <w:r w:rsidR="00E54725" w:rsidRPr="00925BCD">
        <w:rPr>
          <w:rFonts w:ascii="Arial" w:hAnsi="Arial" w:cs="Arial"/>
        </w:rPr>
        <w:t xml:space="preserve"> cztery szkolenia pod wspólnym tytułem „Podstawy diagnostyki sprzętu do stosowania środków ochrony roślin”, podzielone na trzy bloki tematyczne: technika ochrony roślin (opryskiwacze</w:t>
      </w:r>
      <w:bookmarkStart w:id="14" w:name="_Hlk92798414"/>
      <w:r w:rsidR="00E54725" w:rsidRPr="00925BCD">
        <w:rPr>
          <w:rFonts w:ascii="Arial" w:hAnsi="Arial" w:cs="Arial"/>
        </w:rPr>
        <w:t xml:space="preserve"> – </w:t>
      </w:r>
      <w:bookmarkEnd w:id="14"/>
      <w:r w:rsidR="00E54725" w:rsidRPr="00925BCD">
        <w:rPr>
          <w:rFonts w:ascii="Arial" w:hAnsi="Arial" w:cs="Arial"/>
        </w:rPr>
        <w:t>wyposażenie i stosowanie, rodzaje i dobór rozpylaczy oraz kalibracja opryskiwaczy), badanie sprawności technicznej sprzętu ochrony roślin (przepisy prawne i zasady ogólne, procedura badania i protokół kontroli) oraz ćwiczenia praktyczne (kalibracja opryskiwacza polowego i sadowniczego, badanie opryskiwaczy polowych i sadowniczych oraz badanie zaprawiarek do nasion). W szkoleniach uczestniczyło 106 osób.</w:t>
      </w:r>
      <w:r w:rsidR="00511CCD" w:rsidRPr="00925BCD">
        <w:rPr>
          <w:rFonts w:ascii="Arial" w:hAnsi="Arial" w:cs="Arial"/>
        </w:rPr>
        <w:t xml:space="preserve"> </w:t>
      </w:r>
      <w:r w:rsidR="00E54725" w:rsidRPr="00925BCD">
        <w:rPr>
          <w:rFonts w:ascii="Arial" w:hAnsi="Arial" w:cs="Arial"/>
        </w:rPr>
        <w:t>W 2019</w:t>
      </w:r>
      <w:r w:rsidR="00804D7A" w:rsidRPr="00925BCD">
        <w:rPr>
          <w:rFonts w:ascii="Arial" w:hAnsi="Arial" w:cs="Arial"/>
        </w:rPr>
        <w:t> </w:t>
      </w:r>
      <w:r w:rsidR="00A002EF" w:rsidRPr="00925BCD">
        <w:rPr>
          <w:rFonts w:ascii="Arial" w:hAnsi="Arial" w:cs="Arial"/>
        </w:rPr>
        <w:t>r.</w:t>
      </w:r>
      <w:r w:rsidR="00E54725" w:rsidRPr="00925BCD">
        <w:rPr>
          <w:rFonts w:ascii="Arial" w:hAnsi="Arial" w:cs="Arial"/>
        </w:rPr>
        <w:t xml:space="preserve"> </w:t>
      </w:r>
      <w:r w:rsidR="00A002EF" w:rsidRPr="00925BCD">
        <w:rPr>
          <w:rFonts w:ascii="Arial" w:hAnsi="Arial" w:cs="Arial"/>
        </w:rPr>
        <w:t xml:space="preserve">Instytut Ogrodnictwa </w:t>
      </w:r>
      <w:bookmarkStart w:id="15" w:name="_Hlk97287653"/>
      <w:r w:rsidR="005754FE" w:rsidRPr="00925BCD">
        <w:rPr>
          <w:rFonts w:ascii="Arial" w:hAnsi="Arial" w:cs="Arial"/>
        </w:rPr>
        <w:t xml:space="preserve">– </w:t>
      </w:r>
      <w:r w:rsidR="005754FE">
        <w:rPr>
          <w:rFonts w:ascii="Arial" w:hAnsi="Arial" w:cs="Arial"/>
        </w:rPr>
        <w:t xml:space="preserve">PIB </w:t>
      </w:r>
      <w:bookmarkEnd w:id="15"/>
      <w:r w:rsidR="00E54725" w:rsidRPr="00925BCD">
        <w:rPr>
          <w:rFonts w:ascii="Arial" w:hAnsi="Arial" w:cs="Arial"/>
        </w:rPr>
        <w:t>przeprowadz</w:t>
      </w:r>
      <w:r w:rsidR="00A002EF" w:rsidRPr="00925BCD">
        <w:rPr>
          <w:rFonts w:ascii="Arial" w:hAnsi="Arial" w:cs="Arial"/>
        </w:rPr>
        <w:t>ił</w:t>
      </w:r>
      <w:r w:rsidR="00E54725" w:rsidRPr="00925BCD">
        <w:rPr>
          <w:rFonts w:ascii="Arial" w:hAnsi="Arial" w:cs="Arial"/>
        </w:rPr>
        <w:t xml:space="preserve"> </w:t>
      </w:r>
      <w:r w:rsidR="00511CCD" w:rsidRPr="00925BCD">
        <w:rPr>
          <w:rFonts w:ascii="Arial" w:hAnsi="Arial" w:cs="Arial"/>
        </w:rPr>
        <w:t xml:space="preserve">dwa takie szkolenia </w:t>
      </w:r>
      <w:r w:rsidR="00A002EF" w:rsidRPr="00925BCD">
        <w:rPr>
          <w:rFonts w:ascii="Arial" w:hAnsi="Arial" w:cs="Arial"/>
        </w:rPr>
        <w:t>dla Wojewódzkich Inspektoratów Ochrony Roślin i Nasiennictwa</w:t>
      </w:r>
      <w:r w:rsidR="00804D7A" w:rsidRPr="00925BCD">
        <w:rPr>
          <w:rFonts w:ascii="Arial" w:hAnsi="Arial" w:cs="Arial"/>
        </w:rPr>
        <w:t>.</w:t>
      </w:r>
      <w:r w:rsidR="00A002EF" w:rsidRPr="00925BCD">
        <w:rPr>
          <w:rFonts w:ascii="Arial" w:hAnsi="Arial" w:cs="Arial"/>
        </w:rPr>
        <w:t xml:space="preserve"> </w:t>
      </w:r>
      <w:r w:rsidR="00E54725" w:rsidRPr="00925BCD">
        <w:rPr>
          <w:rFonts w:ascii="Arial" w:hAnsi="Arial" w:cs="Arial"/>
        </w:rPr>
        <w:t>W szkoleniach wzięło udział 55 osób</w:t>
      </w:r>
      <w:r w:rsidR="00511CCD" w:rsidRPr="00925BCD">
        <w:rPr>
          <w:rFonts w:ascii="Arial" w:hAnsi="Arial" w:cs="Arial"/>
        </w:rPr>
        <w:t>.</w:t>
      </w:r>
      <w:r w:rsidR="00E54725" w:rsidRPr="00925BCD">
        <w:rPr>
          <w:rFonts w:ascii="Arial" w:hAnsi="Arial" w:cs="Arial"/>
        </w:rPr>
        <w:t xml:space="preserve"> </w:t>
      </w:r>
      <w:r w:rsidR="00E570F6" w:rsidRPr="005754FE">
        <w:rPr>
          <w:rFonts w:ascii="Arial" w:hAnsi="Arial" w:cs="Arial"/>
        </w:rPr>
        <w:t>W 2020 r</w:t>
      </w:r>
      <w:r w:rsidR="006C4771" w:rsidRPr="005754FE">
        <w:rPr>
          <w:rFonts w:ascii="Arial" w:hAnsi="Arial" w:cs="Arial"/>
        </w:rPr>
        <w:t>.</w:t>
      </w:r>
      <w:r w:rsidR="00E570F6" w:rsidRPr="005754FE">
        <w:rPr>
          <w:rFonts w:ascii="Arial" w:hAnsi="Arial" w:cs="Arial"/>
        </w:rPr>
        <w:t xml:space="preserve"> w Instytucie Ogrodnictwa</w:t>
      </w:r>
      <w:r w:rsidR="006C4771" w:rsidRPr="005754FE">
        <w:rPr>
          <w:rFonts w:ascii="Arial" w:hAnsi="Arial" w:cs="Arial"/>
        </w:rPr>
        <w:t xml:space="preserve"> </w:t>
      </w:r>
      <w:r w:rsidR="00F006D5" w:rsidRPr="00925BCD">
        <w:rPr>
          <w:rFonts w:ascii="Arial" w:hAnsi="Arial" w:cs="Arial"/>
        </w:rPr>
        <w:t xml:space="preserve">– </w:t>
      </w:r>
      <w:r w:rsidR="00F006D5">
        <w:rPr>
          <w:rFonts w:ascii="Arial" w:hAnsi="Arial" w:cs="Arial"/>
        </w:rPr>
        <w:t xml:space="preserve">PIB </w:t>
      </w:r>
      <w:r w:rsidR="00E570F6" w:rsidRPr="005754FE">
        <w:rPr>
          <w:rFonts w:ascii="Arial" w:hAnsi="Arial" w:cs="Arial"/>
        </w:rPr>
        <w:t xml:space="preserve">odbyły się dwa webinaria dotyczące „Podstaw diagnostyki sprzętu do stosowania środków ochrony roślin”. Odbiorcami e-szkoleń transmitowanych za pośrednictwem platformy konferencyjnej byli przedstawiciele Wojewódzkich Inspektoratów Ochrony Roślin i Nasiennictwa z całej Polski. E-kurs </w:t>
      </w:r>
      <w:r w:rsidR="00E570F6" w:rsidRPr="005754FE">
        <w:rPr>
          <w:rFonts w:ascii="Arial" w:hAnsi="Arial" w:cs="Arial"/>
        </w:rPr>
        <w:lastRenderedPageBreak/>
        <w:t>wzbogacony został instruktażowymi materiałami filmowymi.</w:t>
      </w:r>
    </w:p>
    <w:p w14:paraId="3F2BC13B" w14:textId="1BB1E491" w:rsidR="00F06F48" w:rsidRDefault="00F06F48" w:rsidP="00470C67">
      <w:pPr>
        <w:pStyle w:val="NormalnyWeb"/>
        <w:tabs>
          <w:tab w:val="left" w:pos="284"/>
        </w:tabs>
        <w:spacing w:beforeAutospacing="0" w:after="120" w:afterAutospacing="0" w:line="360" w:lineRule="auto"/>
        <w:ind w:firstLine="284"/>
        <w:jc w:val="both"/>
        <w:rPr>
          <w:rFonts w:ascii="Arial" w:hAnsi="Arial" w:cs="Arial"/>
        </w:rPr>
      </w:pPr>
      <w:r w:rsidRPr="0023005C">
        <w:rPr>
          <w:rFonts w:ascii="Arial" w:hAnsi="Arial" w:cs="Arial"/>
        </w:rPr>
        <w:t>W 2021 r., w ramach dotacji celowej MRiRW, w Instytucie Ogrodnictwa – PIB zrealizowano dwa szkolenia pt. "Podstawy diagnostyki sprzętu do stosowania środków ochrony roślin”. Omawiano zagadnienia dotyczące techniki ochrony upraw oraz badania sprawności technicznej sprzętu ochrony roślin. Szkolenia odbywały się w trybie zdalnym. W szkoleniach uczestniczyło blisko 100 pracowników Państwowej Inspekcji Ochrony Roślin i</w:t>
      </w:r>
      <w:r w:rsidR="00B43490" w:rsidRPr="0023005C">
        <w:rPr>
          <w:rFonts w:ascii="Arial" w:hAnsi="Arial" w:cs="Arial"/>
        </w:rPr>
        <w:t> </w:t>
      </w:r>
      <w:r w:rsidRPr="0023005C">
        <w:rPr>
          <w:rFonts w:ascii="Arial" w:hAnsi="Arial" w:cs="Arial"/>
        </w:rPr>
        <w:t>Nasiennictwa.</w:t>
      </w:r>
      <w:r>
        <w:rPr>
          <w:rFonts w:ascii="Arial" w:hAnsi="Arial" w:cs="Arial"/>
        </w:rPr>
        <w:t xml:space="preserve"> </w:t>
      </w:r>
    </w:p>
    <w:p w14:paraId="0CA0BD1E" w14:textId="410AA458" w:rsidR="00F06F48" w:rsidRDefault="00F06F48" w:rsidP="00CF008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Opracowano </w:t>
      </w:r>
      <w:r w:rsidR="009C59FD">
        <w:rPr>
          <w:rFonts w:ascii="Arial" w:hAnsi="Arial" w:cs="Arial"/>
        </w:rPr>
        <w:t xml:space="preserve">również </w:t>
      </w:r>
      <w:r>
        <w:rPr>
          <w:rFonts w:ascii="Arial" w:hAnsi="Arial" w:cs="Arial"/>
        </w:rPr>
        <w:t>materiały szkoleniowe dla osób prowadzących szkolenia w zakresie stosowania środków ochrony roślin przy użyciu opryskiwaczy, z wyłączeniem sprzętu kolejowego. Całość materiałów została podzielona na segmenty dotyczące poszczególnych tematów wskazanych w</w:t>
      </w:r>
      <w:r w:rsidR="00B43490">
        <w:rPr>
          <w:rFonts w:ascii="Arial" w:hAnsi="Arial" w:cs="Arial"/>
        </w:rPr>
        <w:t> </w:t>
      </w:r>
      <w:r>
        <w:rPr>
          <w:rFonts w:ascii="Arial" w:hAnsi="Arial" w:cs="Arial"/>
        </w:rPr>
        <w:t>załączniku nr 4 do rozporządzenia M</w:t>
      </w:r>
      <w:r w:rsidR="00B43490">
        <w:rPr>
          <w:rFonts w:ascii="Arial" w:hAnsi="Arial" w:cs="Arial"/>
        </w:rPr>
        <w:t xml:space="preserve">inistra </w:t>
      </w:r>
      <w:r>
        <w:rPr>
          <w:rFonts w:ascii="Arial" w:hAnsi="Arial" w:cs="Arial"/>
        </w:rPr>
        <w:t>R</w:t>
      </w:r>
      <w:r w:rsidR="00B43490">
        <w:rPr>
          <w:rFonts w:ascii="Arial" w:hAnsi="Arial" w:cs="Arial"/>
        </w:rPr>
        <w:t xml:space="preserve">olnictwa </w:t>
      </w:r>
      <w:r>
        <w:rPr>
          <w:rFonts w:ascii="Arial" w:hAnsi="Arial" w:cs="Arial"/>
        </w:rPr>
        <w:t>i</w:t>
      </w:r>
      <w:r w:rsidR="00B43490">
        <w:rPr>
          <w:rFonts w:ascii="Arial" w:hAnsi="Arial" w:cs="Arial"/>
        </w:rPr>
        <w:t xml:space="preserve"> </w:t>
      </w:r>
      <w:r>
        <w:rPr>
          <w:rFonts w:ascii="Arial" w:hAnsi="Arial" w:cs="Arial"/>
        </w:rPr>
        <w:t>R</w:t>
      </w:r>
      <w:r w:rsidR="00B43490">
        <w:rPr>
          <w:rFonts w:ascii="Arial" w:hAnsi="Arial" w:cs="Arial"/>
        </w:rPr>
        <w:t xml:space="preserve">ozwoju </w:t>
      </w:r>
      <w:r>
        <w:rPr>
          <w:rFonts w:ascii="Arial" w:hAnsi="Arial" w:cs="Arial"/>
        </w:rPr>
        <w:t>W</w:t>
      </w:r>
      <w:r w:rsidR="00B43490">
        <w:rPr>
          <w:rFonts w:ascii="Arial" w:hAnsi="Arial" w:cs="Arial"/>
        </w:rPr>
        <w:t>si</w:t>
      </w:r>
      <w:r>
        <w:rPr>
          <w:rFonts w:ascii="Arial" w:hAnsi="Arial" w:cs="Arial"/>
        </w:rPr>
        <w:t xml:space="preserve"> w sprawie szkoleń w zakr</w:t>
      </w:r>
      <w:r w:rsidR="00B43490">
        <w:rPr>
          <w:rFonts w:ascii="Arial" w:hAnsi="Arial" w:cs="Arial"/>
        </w:rPr>
        <w:t>esie środków ochrony roślin</w:t>
      </w:r>
      <w:r>
        <w:rPr>
          <w:rFonts w:ascii="Arial" w:hAnsi="Arial" w:cs="Arial"/>
        </w:rPr>
        <w:t xml:space="preserve">, a w ramach tematów na zagadnienia (podtematy). </w:t>
      </w:r>
    </w:p>
    <w:p w14:paraId="545D13DF" w14:textId="1B655907" w:rsidR="00617F99" w:rsidRDefault="004756AE" w:rsidP="004756AE">
      <w:pPr>
        <w:pStyle w:val="NormalnyWeb"/>
        <w:tabs>
          <w:tab w:val="left" w:pos="284"/>
        </w:tabs>
        <w:spacing w:beforeAutospacing="0" w:after="120" w:afterAutospacing="0" w:line="360" w:lineRule="auto"/>
        <w:ind w:firstLine="284"/>
        <w:jc w:val="both"/>
        <w:rPr>
          <w:rFonts w:ascii="Arial" w:hAnsi="Arial" w:cs="Arial"/>
        </w:rPr>
      </w:pPr>
      <w:r w:rsidRPr="004756AE">
        <w:rPr>
          <w:rFonts w:ascii="Arial" w:hAnsi="Arial" w:cs="Arial"/>
        </w:rPr>
        <w:t>W 2022</w:t>
      </w:r>
      <w:r>
        <w:rPr>
          <w:rFonts w:ascii="Arial" w:hAnsi="Arial" w:cs="Arial"/>
        </w:rPr>
        <w:t> </w:t>
      </w:r>
      <w:r w:rsidRPr="004756AE">
        <w:rPr>
          <w:rFonts w:ascii="Arial" w:hAnsi="Arial" w:cs="Arial"/>
        </w:rPr>
        <w:t>r.</w:t>
      </w:r>
      <w:r w:rsidR="00585AAE">
        <w:rPr>
          <w:rFonts w:ascii="Arial" w:hAnsi="Arial" w:cs="Arial"/>
        </w:rPr>
        <w:t xml:space="preserve">, również </w:t>
      </w:r>
      <w:r w:rsidR="00615C2D" w:rsidRPr="00615C2D">
        <w:rPr>
          <w:rFonts w:ascii="Arial" w:hAnsi="Arial" w:cs="Arial"/>
        </w:rPr>
        <w:t>w ramach dotacji celowej MRiRW</w:t>
      </w:r>
      <w:r w:rsidR="00585AAE">
        <w:rPr>
          <w:rFonts w:ascii="Arial" w:hAnsi="Arial" w:cs="Arial"/>
        </w:rPr>
        <w:t>,</w:t>
      </w:r>
      <w:r w:rsidR="00615C2D" w:rsidRPr="00615C2D">
        <w:rPr>
          <w:rFonts w:ascii="Arial" w:hAnsi="Arial" w:cs="Arial"/>
        </w:rPr>
        <w:t xml:space="preserve"> </w:t>
      </w:r>
      <w:r w:rsidRPr="004756AE">
        <w:rPr>
          <w:rFonts w:ascii="Arial" w:hAnsi="Arial" w:cs="Arial"/>
        </w:rPr>
        <w:t>przeprowadzono szkolenie w zakresie korzystania z listy Technik Ograniczających Znoszenie (TOZ) i metod ograniczania znoszenia przeznaczone dla doradców. Omówione zostały: miejsce znoszenia w technice opryskiwania, normy dotyczące badań i klasyfikacji znoszenia, sposoby pomiaru znoszenia w polu, doświadczenia producenta rozpylaczy związane z wpisaniem swoich produktów na listę TOZ</w:t>
      </w:r>
      <w:r w:rsidR="00DE2282">
        <w:rPr>
          <w:rFonts w:ascii="Arial" w:hAnsi="Arial" w:cs="Arial"/>
        </w:rPr>
        <w:t xml:space="preserve">, </w:t>
      </w:r>
      <w:r w:rsidRPr="004756AE">
        <w:rPr>
          <w:rFonts w:ascii="Arial" w:hAnsi="Arial" w:cs="Arial"/>
        </w:rPr>
        <w:t xml:space="preserve">techniki ograniczające znoszenie zapisane na liście TOZ </w:t>
      </w:r>
      <w:r w:rsidR="00DE2282">
        <w:rPr>
          <w:rFonts w:ascii="Arial" w:hAnsi="Arial" w:cs="Arial"/>
        </w:rPr>
        <w:t>oraz</w:t>
      </w:r>
      <w:r w:rsidRPr="004756AE">
        <w:rPr>
          <w:rFonts w:ascii="Arial" w:hAnsi="Arial" w:cs="Arial"/>
        </w:rPr>
        <w:t xml:space="preserve"> sposób korzystania z listy TOZ. W części praktycznej uczestnicy szkolenia dokonywali interpretacji zapisów etykiet</w:t>
      </w:r>
      <w:r w:rsidR="00F42B3E">
        <w:rPr>
          <w:rFonts w:ascii="Arial" w:hAnsi="Arial" w:cs="Arial"/>
        </w:rPr>
        <w:t xml:space="preserve"> środków ochrony </w:t>
      </w:r>
      <w:r w:rsidR="00B3061A">
        <w:rPr>
          <w:rFonts w:ascii="Arial" w:hAnsi="Arial" w:cs="Arial"/>
        </w:rPr>
        <w:t>roślin</w:t>
      </w:r>
      <w:r w:rsidRPr="004756AE">
        <w:rPr>
          <w:rFonts w:ascii="Arial" w:hAnsi="Arial" w:cs="Arial"/>
        </w:rPr>
        <w:t xml:space="preserve"> dotyczących stref buforowych, wybierali właściwą technikę z listy TOZ. </w:t>
      </w:r>
      <w:r w:rsidR="00BF6082">
        <w:rPr>
          <w:rFonts w:ascii="Arial" w:hAnsi="Arial" w:cs="Arial"/>
        </w:rPr>
        <w:t>K</w:t>
      </w:r>
      <w:r w:rsidRPr="004756AE">
        <w:rPr>
          <w:rFonts w:ascii="Arial" w:hAnsi="Arial" w:cs="Arial"/>
        </w:rPr>
        <w:t xml:space="preserve">ursanci uczestniczyli w polowym pokazie technik i metod ograniczania znoszenia dla opryskiwacza polowego i sadowniczego. </w:t>
      </w:r>
    </w:p>
    <w:p w14:paraId="32880392" w14:textId="16955768" w:rsidR="004756AE" w:rsidRPr="004756AE" w:rsidRDefault="004756AE" w:rsidP="004756AE">
      <w:pPr>
        <w:pStyle w:val="NormalnyWeb"/>
        <w:tabs>
          <w:tab w:val="left" w:pos="284"/>
        </w:tabs>
        <w:spacing w:beforeAutospacing="0" w:after="120" w:afterAutospacing="0" w:line="360" w:lineRule="auto"/>
        <w:ind w:firstLine="284"/>
        <w:jc w:val="both"/>
        <w:rPr>
          <w:rFonts w:ascii="Arial" w:hAnsi="Arial" w:cs="Arial"/>
        </w:rPr>
      </w:pPr>
      <w:r w:rsidRPr="004756AE">
        <w:rPr>
          <w:rFonts w:ascii="Arial" w:hAnsi="Arial" w:cs="Arial"/>
        </w:rPr>
        <w:t>W trybie zdalnym zrealizowano dwa szkolenia pt. "Podstawy diagnostyki sprzętu do stosowania środków ochrony roślin”, które odbyły się w terminach 16 i 17 listopada 2022</w:t>
      </w:r>
      <w:r w:rsidR="00617F99">
        <w:rPr>
          <w:rFonts w:ascii="Arial" w:hAnsi="Arial" w:cs="Arial"/>
        </w:rPr>
        <w:t> </w:t>
      </w:r>
      <w:r w:rsidRPr="004756AE">
        <w:rPr>
          <w:rFonts w:ascii="Arial" w:hAnsi="Arial" w:cs="Arial"/>
        </w:rPr>
        <w:t>r. Podczas szkoleń omówiono zagadnienia dotyczące techniki ochrony upraw (wyposażenie i stosowanie opryskiwaczy, kalibracja opryskiwaczy i dobór rozpylaczy) oraz tematy dotyczące badania sprawności technicznej sprzętu ochrony roślin (przepisy prawne i zasady ogólne badań stanu technicznego opryskiwaczy). W</w:t>
      </w:r>
      <w:r w:rsidR="00617F99">
        <w:rPr>
          <w:rFonts w:ascii="Arial" w:hAnsi="Arial" w:cs="Arial"/>
        </w:rPr>
        <w:t> </w:t>
      </w:r>
      <w:r w:rsidRPr="004756AE">
        <w:rPr>
          <w:rFonts w:ascii="Arial" w:hAnsi="Arial" w:cs="Arial"/>
        </w:rPr>
        <w:t>szkoleniach uczestniczyło łącznie 275 osób</w:t>
      </w:r>
      <w:r w:rsidR="00617F99">
        <w:rPr>
          <w:rFonts w:ascii="Arial" w:hAnsi="Arial" w:cs="Arial"/>
        </w:rPr>
        <w:t xml:space="preserve"> </w:t>
      </w:r>
      <w:r w:rsidRPr="004756AE">
        <w:rPr>
          <w:rFonts w:ascii="Arial" w:hAnsi="Arial" w:cs="Arial"/>
        </w:rPr>
        <w:t>– pracowników Państwowej Inspekcji Ochrony Roślin i</w:t>
      </w:r>
      <w:r w:rsidR="00617F99">
        <w:rPr>
          <w:rFonts w:ascii="Arial" w:hAnsi="Arial" w:cs="Arial"/>
        </w:rPr>
        <w:t> </w:t>
      </w:r>
      <w:r w:rsidRPr="004756AE">
        <w:rPr>
          <w:rFonts w:ascii="Arial" w:hAnsi="Arial" w:cs="Arial"/>
        </w:rPr>
        <w:t>Nasiennictwa.</w:t>
      </w:r>
    </w:p>
    <w:p w14:paraId="76A4CD01"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informacje i publikacje poświęcone dobrym praktykom są zamieszczane na Platformie Sygnalizacji Agrofagów. </w:t>
      </w:r>
    </w:p>
    <w:p w14:paraId="2B5984F8" w14:textId="77777777" w:rsidR="00056846" w:rsidRPr="00925BCD" w:rsidRDefault="00E54725">
      <w:pPr>
        <w:pStyle w:val="Nagwek2"/>
        <w:rPr>
          <w:i w:val="0"/>
          <w:sz w:val="20"/>
          <w:szCs w:val="20"/>
        </w:rPr>
      </w:pPr>
      <w:bookmarkStart w:id="16" w:name="_Toc161744865"/>
      <w:r w:rsidRPr="00925BCD">
        <w:rPr>
          <w:i w:val="0"/>
          <w:sz w:val="20"/>
          <w:szCs w:val="20"/>
        </w:rPr>
        <w:t>Zadanie 2. Gromadzenie informacji o zatruciach ludzi środkami ochrony roślin</w:t>
      </w:r>
      <w:bookmarkEnd w:id="16"/>
    </w:p>
    <w:p w14:paraId="244EDD43"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Obowiązek prowadzenia systemu rejestracji zatruć środkami ochrony roślin wynika z art. 7 ust. 2 dyrektywy 2009/128/WE. Przepis ten stanowi, że „państwa członkowskie ustanawiają systemy gromadzenia informacji o przypadkach ostrych zatruć pestycydami oraz, w stosownych przypadkach, o przewlekłych objawach zatruć wśród osób, które mogą być narażone na regularny kontakt z pestycydami, takich jak operatorzy stosujący pestycydy, pracownicy rolni lub osoby mieszkające w pobliżu obszarów, na których są stosowane pestycydy”. Implementując przepisy dyrektywy do prawodawstwa polskiego w ustawie z dnia 8 marca 2013 r. o środkach ochrony roślin, postanowiono, że informacje o zatruciach ludzi środkami ochrony roślin gromadzi urząd obsługujący ministra </w:t>
      </w:r>
      <w:r w:rsidRPr="00925BCD">
        <w:rPr>
          <w:rFonts w:ascii="Arial" w:hAnsi="Arial" w:cs="Arial"/>
        </w:rPr>
        <w:lastRenderedPageBreak/>
        <w:t xml:space="preserve">właściwego do spraw rolnictwa. </w:t>
      </w:r>
    </w:p>
    <w:p w14:paraId="008B0B8A" w14:textId="69EBFBF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była kontynuowana współpraca Ministerstwa Rolnictwa i Rozwoju Wsi w zakresie pozyskiwania danych o zatruciach ludzi środkami ochrony roślin z Kasą Rolniczego Ubezpieczenia Społecznego, Ministerstwem Zdrowia (Narodowym Funduszem Zdrowia), Państwową Inspekcją Pracy.</w:t>
      </w:r>
    </w:p>
    <w:p w14:paraId="71466973" w14:textId="618AD3B6"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A000EC">
        <w:rPr>
          <w:rFonts w:ascii="Arial" w:hAnsi="Arial" w:cs="Arial"/>
        </w:rPr>
        <w:t xml:space="preserve">W </w:t>
      </w:r>
      <w:r w:rsidR="00126273" w:rsidRPr="00A000EC">
        <w:rPr>
          <w:rFonts w:ascii="Arial" w:hAnsi="Arial" w:cs="Arial"/>
        </w:rPr>
        <w:t xml:space="preserve">latach </w:t>
      </w:r>
      <w:r w:rsidRPr="00A000EC">
        <w:rPr>
          <w:rFonts w:ascii="Arial" w:hAnsi="Arial" w:cs="Arial"/>
        </w:rPr>
        <w:t>2018</w:t>
      </w:r>
      <w:r w:rsidR="00CB2064" w:rsidRPr="00A000EC">
        <w:rPr>
          <w:rFonts w:ascii="Arial" w:hAnsi="Arial" w:cs="Arial"/>
        </w:rPr>
        <w:t>–</w:t>
      </w:r>
      <w:r w:rsidR="00126273" w:rsidRPr="00A000EC">
        <w:rPr>
          <w:rFonts w:ascii="Arial" w:hAnsi="Arial" w:cs="Arial"/>
        </w:rPr>
        <w:t>202</w:t>
      </w:r>
      <w:r w:rsidR="00D45000" w:rsidRPr="00A000EC">
        <w:rPr>
          <w:rFonts w:ascii="Arial" w:hAnsi="Arial" w:cs="Arial"/>
        </w:rPr>
        <w:t>2</w:t>
      </w:r>
      <w:r w:rsidR="00C1142E" w:rsidRPr="00A000EC">
        <w:rPr>
          <w:rFonts w:ascii="Arial" w:hAnsi="Arial" w:cs="Arial"/>
        </w:rPr>
        <w:t xml:space="preserve"> </w:t>
      </w:r>
      <w:r w:rsidRPr="00A000EC">
        <w:rPr>
          <w:rFonts w:ascii="Arial" w:hAnsi="Arial" w:cs="Arial"/>
        </w:rPr>
        <w:t>z Głównego Inspektoratu</w:t>
      </w:r>
      <w:r w:rsidRPr="00925BCD">
        <w:rPr>
          <w:rFonts w:ascii="Arial" w:hAnsi="Arial" w:cs="Arial"/>
        </w:rPr>
        <w:t xml:space="preserve"> Pracy nie wpłynęły żadne zgłoszenia dotyczące zatruć ludzi środkami ochrony roślin</w:t>
      </w:r>
      <w:r w:rsidR="00C146B6">
        <w:rPr>
          <w:rFonts w:ascii="Arial" w:hAnsi="Arial" w:cs="Arial"/>
        </w:rPr>
        <w:t xml:space="preserve">, natomiast </w:t>
      </w:r>
      <w:r w:rsidR="00C146B6" w:rsidRPr="00925BCD">
        <w:rPr>
          <w:rFonts w:ascii="Arial" w:hAnsi="Arial" w:cs="Arial"/>
        </w:rPr>
        <w:t xml:space="preserve">z Kasy Rolniczego Ubezpieczenia Społecznego </w:t>
      </w:r>
      <w:r w:rsidR="00A000EC">
        <w:rPr>
          <w:rFonts w:ascii="Arial" w:hAnsi="Arial" w:cs="Arial"/>
        </w:rPr>
        <w:t xml:space="preserve">tylko </w:t>
      </w:r>
      <w:r w:rsidR="00CB2064">
        <w:rPr>
          <w:rFonts w:ascii="Arial" w:hAnsi="Arial" w:cs="Arial"/>
        </w:rPr>
        <w:t>w 2020 </w:t>
      </w:r>
      <w:r w:rsidR="00C146B6">
        <w:rPr>
          <w:rFonts w:ascii="Arial" w:hAnsi="Arial" w:cs="Arial"/>
        </w:rPr>
        <w:t xml:space="preserve">r. wpłynęło </w:t>
      </w:r>
      <w:r w:rsidR="008055AC">
        <w:rPr>
          <w:rFonts w:ascii="Arial" w:hAnsi="Arial" w:cs="Arial"/>
        </w:rPr>
        <w:t>jedno zgłoszenie</w:t>
      </w:r>
      <w:r w:rsidR="009E34C0">
        <w:rPr>
          <w:rFonts w:ascii="Arial" w:hAnsi="Arial" w:cs="Arial"/>
        </w:rPr>
        <w:t>.</w:t>
      </w:r>
      <w:r w:rsidR="00557E92">
        <w:rPr>
          <w:rFonts w:ascii="Arial" w:hAnsi="Arial" w:cs="Arial"/>
        </w:rPr>
        <w:t xml:space="preserve"> </w:t>
      </w:r>
    </w:p>
    <w:p w14:paraId="35484316" w14:textId="23ADF41B"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danych </w:t>
      </w:r>
      <w:r w:rsidRPr="00195A30">
        <w:rPr>
          <w:rFonts w:ascii="Arial" w:hAnsi="Arial" w:cs="Arial"/>
        </w:rPr>
        <w:t>Narodowego Funduszu Zdrowia</w:t>
      </w:r>
      <w:r w:rsidRPr="00925BCD">
        <w:rPr>
          <w:rFonts w:ascii="Arial" w:hAnsi="Arial" w:cs="Arial"/>
        </w:rPr>
        <w:t xml:space="preserve"> </w:t>
      </w:r>
      <w:r w:rsidR="00DC3F8B" w:rsidRPr="00925BCD">
        <w:rPr>
          <w:rFonts w:ascii="Arial" w:hAnsi="Arial" w:cs="Arial"/>
        </w:rPr>
        <w:t xml:space="preserve">w 2018 r. – </w:t>
      </w:r>
      <w:r w:rsidRPr="00925BCD">
        <w:rPr>
          <w:rFonts w:ascii="Arial" w:hAnsi="Arial" w:cs="Arial"/>
        </w:rPr>
        <w:t>492 osobom udzielona została pomoc medyczna w związku z zatruciem środkami ochrony roślin, w tym 260 osób wymagało leczenia szpitalnego</w:t>
      </w:r>
      <w:r w:rsidR="00DC3F8B" w:rsidRPr="00925BCD">
        <w:rPr>
          <w:rFonts w:ascii="Arial" w:hAnsi="Arial" w:cs="Arial"/>
        </w:rPr>
        <w:t>, natomiast w 2019 r. – 393 osobom udzielona została pomoc medyczna w związku z</w:t>
      </w:r>
      <w:r w:rsidR="00804D7A" w:rsidRPr="00925BCD">
        <w:rPr>
          <w:rFonts w:ascii="Arial" w:hAnsi="Arial" w:cs="Arial"/>
        </w:rPr>
        <w:t> </w:t>
      </w:r>
      <w:r w:rsidR="00DC3F8B" w:rsidRPr="00925BCD">
        <w:rPr>
          <w:rFonts w:ascii="Arial" w:hAnsi="Arial" w:cs="Arial"/>
        </w:rPr>
        <w:t>zatruciem środkami ochrony roślin, w tym 215 osób wymagało leczenia szpitalnego</w:t>
      </w:r>
      <w:r w:rsidRPr="00925BCD">
        <w:rPr>
          <w:rFonts w:ascii="Arial" w:hAnsi="Arial" w:cs="Arial"/>
        </w:rPr>
        <w:t xml:space="preserve">. </w:t>
      </w:r>
      <w:r w:rsidR="00E40553">
        <w:rPr>
          <w:rFonts w:ascii="Arial" w:hAnsi="Arial" w:cs="Arial"/>
        </w:rPr>
        <w:t xml:space="preserve">W </w:t>
      </w:r>
      <w:r w:rsidR="00A0559B">
        <w:rPr>
          <w:rFonts w:ascii="Arial" w:hAnsi="Arial" w:cs="Arial"/>
        </w:rPr>
        <w:t xml:space="preserve">latach </w:t>
      </w:r>
      <w:r w:rsidR="00E40553">
        <w:rPr>
          <w:rFonts w:ascii="Arial" w:hAnsi="Arial" w:cs="Arial"/>
        </w:rPr>
        <w:t>2020</w:t>
      </w:r>
      <w:r w:rsidR="00A0559B">
        <w:rPr>
          <w:rFonts w:ascii="Arial" w:hAnsi="Arial" w:cs="Arial"/>
        </w:rPr>
        <w:t>-</w:t>
      </w:r>
      <w:r w:rsidR="005A3F70">
        <w:rPr>
          <w:rFonts w:ascii="Arial" w:hAnsi="Arial" w:cs="Arial"/>
        </w:rPr>
        <w:t> </w:t>
      </w:r>
      <w:r w:rsidR="00A0559B">
        <w:rPr>
          <w:rFonts w:ascii="Arial" w:hAnsi="Arial" w:cs="Arial"/>
        </w:rPr>
        <w:t>202</w:t>
      </w:r>
      <w:r w:rsidR="00036481">
        <w:rPr>
          <w:rFonts w:ascii="Arial" w:hAnsi="Arial" w:cs="Arial"/>
        </w:rPr>
        <w:t>2</w:t>
      </w:r>
      <w:r w:rsidR="00E40553">
        <w:rPr>
          <w:rFonts w:ascii="Arial" w:hAnsi="Arial" w:cs="Arial"/>
        </w:rPr>
        <w:t xml:space="preserve"> </w:t>
      </w:r>
      <w:r w:rsidR="00E40553" w:rsidRPr="00E40553">
        <w:rPr>
          <w:rFonts w:ascii="Arial" w:hAnsi="Arial" w:cs="Arial"/>
        </w:rPr>
        <w:t>pomoc medyczna w</w:t>
      </w:r>
      <w:r w:rsidR="005A3F70">
        <w:rPr>
          <w:rFonts w:ascii="Arial" w:hAnsi="Arial" w:cs="Arial"/>
        </w:rPr>
        <w:t xml:space="preserve"> </w:t>
      </w:r>
      <w:r w:rsidR="00E40553" w:rsidRPr="00E40553">
        <w:rPr>
          <w:rFonts w:ascii="Arial" w:hAnsi="Arial" w:cs="Arial"/>
        </w:rPr>
        <w:t>związku z</w:t>
      </w:r>
      <w:r w:rsidR="005A3F70">
        <w:rPr>
          <w:rFonts w:ascii="Arial" w:hAnsi="Arial" w:cs="Arial"/>
        </w:rPr>
        <w:t xml:space="preserve"> </w:t>
      </w:r>
      <w:r w:rsidR="00E40553" w:rsidRPr="00E40553">
        <w:rPr>
          <w:rFonts w:ascii="Arial" w:hAnsi="Arial" w:cs="Arial"/>
        </w:rPr>
        <w:t>zatruciem środkami ochrony roślin</w:t>
      </w:r>
      <w:r w:rsidR="00E40553">
        <w:rPr>
          <w:rFonts w:ascii="Arial" w:hAnsi="Arial" w:cs="Arial"/>
        </w:rPr>
        <w:t xml:space="preserve"> zmalała, udzielona została </w:t>
      </w:r>
      <w:r w:rsidR="00C44B9D">
        <w:rPr>
          <w:rFonts w:ascii="Arial" w:hAnsi="Arial" w:cs="Arial"/>
        </w:rPr>
        <w:t>odpowiedni</w:t>
      </w:r>
      <w:r w:rsidR="00331758">
        <w:rPr>
          <w:rFonts w:ascii="Arial" w:hAnsi="Arial" w:cs="Arial"/>
        </w:rPr>
        <w:t xml:space="preserve">o </w:t>
      </w:r>
      <w:r w:rsidR="00E40553">
        <w:rPr>
          <w:rFonts w:ascii="Arial" w:hAnsi="Arial" w:cs="Arial"/>
        </w:rPr>
        <w:t>249</w:t>
      </w:r>
      <w:r w:rsidR="00A40B0F">
        <w:rPr>
          <w:rFonts w:ascii="Arial" w:hAnsi="Arial" w:cs="Arial"/>
        </w:rPr>
        <w:t>,</w:t>
      </w:r>
      <w:r w:rsidR="00331758">
        <w:rPr>
          <w:rFonts w:ascii="Arial" w:hAnsi="Arial" w:cs="Arial"/>
        </w:rPr>
        <w:t xml:space="preserve"> </w:t>
      </w:r>
      <w:r w:rsidR="00E34439">
        <w:rPr>
          <w:rFonts w:ascii="Arial" w:hAnsi="Arial" w:cs="Arial"/>
        </w:rPr>
        <w:t xml:space="preserve">226 </w:t>
      </w:r>
      <w:r w:rsidR="00A40B0F">
        <w:rPr>
          <w:rFonts w:ascii="Arial" w:hAnsi="Arial" w:cs="Arial"/>
        </w:rPr>
        <w:t xml:space="preserve">i 237 </w:t>
      </w:r>
      <w:r w:rsidR="00E40553">
        <w:rPr>
          <w:rFonts w:ascii="Arial" w:hAnsi="Arial" w:cs="Arial"/>
        </w:rPr>
        <w:t xml:space="preserve">osobom, w tym </w:t>
      </w:r>
      <w:r w:rsidR="00E34439">
        <w:rPr>
          <w:rFonts w:ascii="Arial" w:hAnsi="Arial" w:cs="Arial"/>
        </w:rPr>
        <w:t xml:space="preserve">co roku </w:t>
      </w:r>
      <w:r w:rsidR="00854A51">
        <w:rPr>
          <w:rFonts w:ascii="Arial" w:hAnsi="Arial" w:cs="Arial"/>
        </w:rPr>
        <w:t>ok</w:t>
      </w:r>
      <w:r w:rsidR="00920C8B">
        <w:rPr>
          <w:rFonts w:ascii="Arial" w:hAnsi="Arial" w:cs="Arial"/>
        </w:rPr>
        <w:t xml:space="preserve">. </w:t>
      </w:r>
      <w:r w:rsidR="00E40553">
        <w:rPr>
          <w:rFonts w:ascii="Arial" w:hAnsi="Arial" w:cs="Arial"/>
        </w:rPr>
        <w:t>15</w:t>
      </w:r>
      <w:r w:rsidR="00920C8B">
        <w:rPr>
          <w:rFonts w:ascii="Arial" w:hAnsi="Arial" w:cs="Arial"/>
        </w:rPr>
        <w:t>0</w:t>
      </w:r>
      <w:r w:rsidR="00E40553">
        <w:rPr>
          <w:rFonts w:ascii="Arial" w:hAnsi="Arial" w:cs="Arial"/>
        </w:rPr>
        <w:t xml:space="preserve"> </w:t>
      </w:r>
      <w:r w:rsidR="005A3F70">
        <w:rPr>
          <w:rFonts w:ascii="Arial" w:hAnsi="Arial" w:cs="Arial"/>
        </w:rPr>
        <w:t>os</w:t>
      </w:r>
      <w:r w:rsidR="00920C8B">
        <w:rPr>
          <w:rFonts w:ascii="Arial" w:hAnsi="Arial" w:cs="Arial"/>
        </w:rPr>
        <w:t>ó</w:t>
      </w:r>
      <w:r w:rsidR="005A3F70">
        <w:rPr>
          <w:rFonts w:ascii="Arial" w:hAnsi="Arial" w:cs="Arial"/>
        </w:rPr>
        <w:t xml:space="preserve">b </w:t>
      </w:r>
      <w:r w:rsidR="00E40553">
        <w:rPr>
          <w:rFonts w:ascii="Arial" w:hAnsi="Arial" w:cs="Arial"/>
        </w:rPr>
        <w:t>wymagał</w:t>
      </w:r>
      <w:r w:rsidR="00920C8B">
        <w:rPr>
          <w:rFonts w:ascii="Arial" w:hAnsi="Arial" w:cs="Arial"/>
        </w:rPr>
        <w:t>o</w:t>
      </w:r>
      <w:r w:rsidR="00E40553">
        <w:rPr>
          <w:rFonts w:ascii="Arial" w:hAnsi="Arial" w:cs="Arial"/>
        </w:rPr>
        <w:t xml:space="preserve"> leczenia szpitalnego.</w:t>
      </w:r>
    </w:p>
    <w:p w14:paraId="30426DFF" w14:textId="2CDF17FD"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Dane Zakładu Ubezpieczeń Społecznych informują, że </w:t>
      </w:r>
      <w:r w:rsidR="00DC3F8B" w:rsidRPr="00925BCD">
        <w:rPr>
          <w:rFonts w:ascii="Arial" w:hAnsi="Arial" w:cs="Arial"/>
        </w:rPr>
        <w:t xml:space="preserve">w 2018 r. i 2019 r. </w:t>
      </w:r>
      <w:r w:rsidRPr="00925BCD">
        <w:rPr>
          <w:rFonts w:ascii="Arial" w:hAnsi="Arial" w:cs="Arial"/>
        </w:rPr>
        <w:t xml:space="preserve">nie </w:t>
      </w:r>
      <w:r w:rsidR="00425426" w:rsidRPr="00925BCD">
        <w:rPr>
          <w:rFonts w:ascii="Arial" w:hAnsi="Arial" w:cs="Arial"/>
        </w:rPr>
        <w:t xml:space="preserve">zostało </w:t>
      </w:r>
      <w:r w:rsidRPr="00925BCD">
        <w:rPr>
          <w:rFonts w:ascii="Arial" w:hAnsi="Arial" w:cs="Arial"/>
        </w:rPr>
        <w:t>wydane żadne orzeczenie</w:t>
      </w:r>
      <w:r w:rsidR="005754FE">
        <w:rPr>
          <w:rFonts w:ascii="Arial" w:hAnsi="Arial" w:cs="Arial"/>
        </w:rPr>
        <w:t>,</w:t>
      </w:r>
      <w:r w:rsidRPr="00925BCD">
        <w:rPr>
          <w:rFonts w:ascii="Arial" w:hAnsi="Arial" w:cs="Arial"/>
        </w:rPr>
        <w:t xml:space="preserve"> </w:t>
      </w:r>
      <w:r w:rsidR="00126273">
        <w:rPr>
          <w:rFonts w:ascii="Arial" w:hAnsi="Arial" w:cs="Arial"/>
        </w:rPr>
        <w:t>natomiast w 2020</w:t>
      </w:r>
      <w:r w:rsidR="00123162">
        <w:rPr>
          <w:rFonts w:ascii="Arial" w:hAnsi="Arial" w:cs="Arial"/>
        </w:rPr>
        <w:t xml:space="preserve"> r.</w:t>
      </w:r>
      <w:r w:rsidR="00126273">
        <w:rPr>
          <w:rFonts w:ascii="Arial" w:hAnsi="Arial" w:cs="Arial"/>
        </w:rPr>
        <w:t xml:space="preserve"> wydane zostały 3</w:t>
      </w:r>
      <w:r w:rsidR="006C6C20">
        <w:rPr>
          <w:rFonts w:ascii="Arial" w:hAnsi="Arial" w:cs="Arial"/>
        </w:rPr>
        <w:t>,</w:t>
      </w:r>
      <w:r w:rsidR="00126273">
        <w:rPr>
          <w:rFonts w:ascii="Arial" w:hAnsi="Arial" w:cs="Arial"/>
        </w:rPr>
        <w:t xml:space="preserve"> </w:t>
      </w:r>
      <w:r w:rsidR="00A41FE3" w:rsidRPr="00A236AF">
        <w:rPr>
          <w:rFonts w:ascii="Arial" w:hAnsi="Arial" w:cs="Arial"/>
        </w:rPr>
        <w:t>w 2021</w:t>
      </w:r>
      <w:r w:rsidR="00123162" w:rsidRPr="00A236AF">
        <w:rPr>
          <w:rFonts w:ascii="Arial" w:hAnsi="Arial" w:cs="Arial"/>
        </w:rPr>
        <w:t xml:space="preserve"> r. – 2</w:t>
      </w:r>
      <w:r w:rsidR="00C55C35">
        <w:rPr>
          <w:rFonts w:ascii="Arial" w:hAnsi="Arial" w:cs="Arial"/>
        </w:rPr>
        <w:t>,</w:t>
      </w:r>
      <w:r w:rsidR="00123162" w:rsidRPr="00A236AF">
        <w:rPr>
          <w:rFonts w:ascii="Arial" w:hAnsi="Arial" w:cs="Arial"/>
        </w:rPr>
        <w:t xml:space="preserve"> </w:t>
      </w:r>
      <w:r w:rsidR="009B1F09">
        <w:rPr>
          <w:rFonts w:ascii="Arial" w:hAnsi="Arial" w:cs="Arial"/>
        </w:rPr>
        <w:t xml:space="preserve">a w 20220 r. – 1 </w:t>
      </w:r>
      <w:r w:rsidR="00123162" w:rsidRPr="00A236AF">
        <w:rPr>
          <w:rFonts w:ascii="Arial" w:hAnsi="Arial" w:cs="Arial"/>
        </w:rPr>
        <w:t>orzeczeni</w:t>
      </w:r>
      <w:r w:rsidR="009B1F09">
        <w:rPr>
          <w:rFonts w:ascii="Arial" w:hAnsi="Arial" w:cs="Arial"/>
        </w:rPr>
        <w:t>e</w:t>
      </w:r>
      <w:r w:rsidR="00123162" w:rsidRPr="00A236AF">
        <w:rPr>
          <w:rFonts w:ascii="Arial" w:hAnsi="Arial" w:cs="Arial"/>
        </w:rPr>
        <w:t xml:space="preserve"> </w:t>
      </w:r>
      <w:r w:rsidR="00FA2364">
        <w:rPr>
          <w:rFonts w:ascii="Arial" w:hAnsi="Arial" w:cs="Arial"/>
        </w:rPr>
        <w:t>stwierdzające</w:t>
      </w:r>
      <w:r w:rsidRPr="00925BCD">
        <w:rPr>
          <w:rFonts w:ascii="Arial" w:hAnsi="Arial" w:cs="Arial"/>
        </w:rPr>
        <w:t xml:space="preserve"> uprawnie</w:t>
      </w:r>
      <w:r w:rsidR="00D317B5">
        <w:rPr>
          <w:rFonts w:ascii="Arial" w:hAnsi="Arial" w:cs="Arial"/>
        </w:rPr>
        <w:t>nia</w:t>
      </w:r>
      <w:r w:rsidRPr="00925BCD">
        <w:rPr>
          <w:rFonts w:ascii="Arial" w:hAnsi="Arial" w:cs="Arial"/>
        </w:rPr>
        <w:t xml:space="preserve"> do świadczenia rehabilitacyjnego, w którym lekarz orzecznik wskazał jako przyczynę niezdolności do pracy schorzenie oznaczone według Międzynarodowej Statystycznej Klasyfikacji Chorób i Problemów Zdrowotnych ICD-10, kodem T60-Toksyczny efekt pestycydów oraz</w:t>
      </w:r>
      <w:r w:rsidR="00804D7A" w:rsidRPr="00925BCD">
        <w:rPr>
          <w:rFonts w:ascii="Arial" w:hAnsi="Arial" w:cs="Arial"/>
        </w:rPr>
        <w:t>,</w:t>
      </w:r>
      <w:r w:rsidRPr="00925BCD">
        <w:rPr>
          <w:rFonts w:ascii="Arial" w:hAnsi="Arial" w:cs="Arial"/>
        </w:rPr>
        <w:t xml:space="preserve"> że wystawionych zostało i przekazanych do ZUS przez lekarzy systemu ochrony zdrowia </w:t>
      </w:r>
      <w:r w:rsidR="00DC3F8B" w:rsidRPr="00925BCD">
        <w:rPr>
          <w:rFonts w:ascii="Arial" w:hAnsi="Arial" w:cs="Arial"/>
        </w:rPr>
        <w:t xml:space="preserve">w 2018 r. – </w:t>
      </w:r>
      <w:r w:rsidRPr="00925BCD">
        <w:rPr>
          <w:rFonts w:ascii="Arial" w:hAnsi="Arial" w:cs="Arial"/>
        </w:rPr>
        <w:t>68</w:t>
      </w:r>
      <w:r w:rsidR="00DC3F8B" w:rsidRPr="00925BCD">
        <w:rPr>
          <w:rFonts w:ascii="Arial" w:hAnsi="Arial" w:cs="Arial"/>
        </w:rPr>
        <w:t>,</w:t>
      </w:r>
      <w:r w:rsidRPr="00925BCD">
        <w:rPr>
          <w:rFonts w:ascii="Arial" w:hAnsi="Arial" w:cs="Arial"/>
        </w:rPr>
        <w:t xml:space="preserve"> </w:t>
      </w:r>
      <w:r w:rsidR="00DC3F8B" w:rsidRPr="00925BCD">
        <w:rPr>
          <w:rFonts w:ascii="Arial" w:hAnsi="Arial" w:cs="Arial"/>
        </w:rPr>
        <w:t>w 2019 r. – 23</w:t>
      </w:r>
      <w:r w:rsidR="007543E2">
        <w:rPr>
          <w:rFonts w:ascii="Arial" w:hAnsi="Arial" w:cs="Arial"/>
        </w:rPr>
        <w:t xml:space="preserve">, w 2020 </w:t>
      </w:r>
      <w:r w:rsidR="00FF0AB0" w:rsidRPr="00925BCD">
        <w:rPr>
          <w:rFonts w:ascii="Arial" w:hAnsi="Arial" w:cs="Arial"/>
        </w:rPr>
        <w:t xml:space="preserve">– </w:t>
      </w:r>
      <w:r w:rsidR="00FF0AB0">
        <w:rPr>
          <w:rFonts w:ascii="Arial" w:hAnsi="Arial" w:cs="Arial"/>
        </w:rPr>
        <w:t>19</w:t>
      </w:r>
      <w:r w:rsidR="00EE087C">
        <w:rPr>
          <w:rFonts w:ascii="Arial" w:hAnsi="Arial" w:cs="Arial"/>
        </w:rPr>
        <w:t>,</w:t>
      </w:r>
      <w:r w:rsidR="00DC3F8B" w:rsidRPr="00925BCD">
        <w:rPr>
          <w:rFonts w:ascii="Arial" w:hAnsi="Arial" w:cs="Arial"/>
        </w:rPr>
        <w:t xml:space="preserve"> </w:t>
      </w:r>
      <w:r w:rsidR="00EE087C">
        <w:rPr>
          <w:rFonts w:ascii="Arial" w:hAnsi="Arial" w:cs="Arial"/>
        </w:rPr>
        <w:t xml:space="preserve">w 2021 r. </w:t>
      </w:r>
      <w:r w:rsidR="00896DE4">
        <w:rPr>
          <w:rFonts w:ascii="Arial" w:hAnsi="Arial" w:cs="Arial"/>
        </w:rPr>
        <w:t>– 15</w:t>
      </w:r>
      <w:r w:rsidR="002E01A7">
        <w:rPr>
          <w:rFonts w:ascii="Arial" w:hAnsi="Arial" w:cs="Arial"/>
        </w:rPr>
        <w:t xml:space="preserve">, a w 2022 r. </w:t>
      </w:r>
      <w:r w:rsidR="00BA4637">
        <w:rPr>
          <w:rFonts w:ascii="Arial" w:hAnsi="Arial" w:cs="Arial"/>
        </w:rPr>
        <w:t>–</w:t>
      </w:r>
      <w:r w:rsidR="002E01A7">
        <w:rPr>
          <w:rFonts w:ascii="Arial" w:hAnsi="Arial" w:cs="Arial"/>
        </w:rPr>
        <w:t xml:space="preserve"> 19</w:t>
      </w:r>
      <w:r w:rsidR="00BA4637">
        <w:rPr>
          <w:rFonts w:ascii="Arial" w:hAnsi="Arial" w:cs="Arial"/>
        </w:rPr>
        <w:t xml:space="preserve"> </w:t>
      </w:r>
      <w:r w:rsidRPr="00925BCD">
        <w:rPr>
          <w:rFonts w:ascii="Arial" w:hAnsi="Arial" w:cs="Arial"/>
        </w:rPr>
        <w:t>zaświadcze</w:t>
      </w:r>
      <w:r w:rsidR="00FF0AB0">
        <w:rPr>
          <w:rFonts w:ascii="Arial" w:hAnsi="Arial" w:cs="Arial"/>
        </w:rPr>
        <w:t>ń</w:t>
      </w:r>
      <w:r w:rsidRPr="00925BCD">
        <w:rPr>
          <w:rFonts w:ascii="Arial" w:hAnsi="Arial" w:cs="Arial"/>
        </w:rPr>
        <w:t xml:space="preserve"> lekarski</w:t>
      </w:r>
      <w:r w:rsidR="00FF0AB0">
        <w:rPr>
          <w:rFonts w:ascii="Arial" w:hAnsi="Arial" w:cs="Arial"/>
        </w:rPr>
        <w:t>ch</w:t>
      </w:r>
      <w:r w:rsidRPr="00925BCD">
        <w:rPr>
          <w:rFonts w:ascii="Arial" w:hAnsi="Arial" w:cs="Arial"/>
        </w:rPr>
        <w:t xml:space="preserve"> o czasowej niezdolności do pracy z powodu choroby z rozpoznaniem oznaczonym według klasyfikacji ICD-10, kodem T60-Toksyczny efekt pestycydów.</w:t>
      </w:r>
    </w:p>
    <w:p w14:paraId="7F82A2A7" w14:textId="668D1E7B" w:rsidR="00CD011C" w:rsidRDefault="004570E6"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utrzymuje się trend spadku liczby zatruć ludzi środkami ochrony roślin. </w:t>
      </w:r>
    </w:p>
    <w:p w14:paraId="0B890BB1" w14:textId="77777777" w:rsidR="004570E6" w:rsidRPr="00925BCD" w:rsidRDefault="004570E6" w:rsidP="00F27DD8">
      <w:pPr>
        <w:jc w:val="center"/>
        <w:rPr>
          <w:rFonts w:ascii="Arial" w:hAnsi="Arial" w:cs="Arial"/>
          <w:b/>
          <w:bCs/>
          <w:szCs w:val="18"/>
        </w:rPr>
      </w:pPr>
      <w:r w:rsidRPr="00925BCD">
        <w:rPr>
          <w:rFonts w:ascii="Arial" w:hAnsi="Arial" w:cs="Arial"/>
          <w:b/>
          <w:bCs/>
          <w:szCs w:val="18"/>
        </w:rPr>
        <w:t>Wykres 2. Zatrucia ludzi środkami ochrony roślin</w:t>
      </w:r>
    </w:p>
    <w:p w14:paraId="23923867" w14:textId="77777777" w:rsidR="00D72E31" w:rsidRPr="00925BCD" w:rsidRDefault="00D72E31" w:rsidP="00804D7A">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noProof/>
        </w:rPr>
        <w:drawing>
          <wp:inline distT="0" distB="0" distL="0" distR="0" wp14:anchorId="50BBF581" wp14:editId="2A2DD2F5">
            <wp:extent cx="5239910" cy="2854518"/>
            <wp:effectExtent l="0" t="0" r="18415" b="317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A6FAAA" w14:textId="77777777" w:rsidR="00056846" w:rsidRPr="00925BCD" w:rsidRDefault="00E54725">
      <w:pPr>
        <w:pStyle w:val="Nagwek1"/>
        <w:numPr>
          <w:ilvl w:val="1"/>
          <w:numId w:val="9"/>
        </w:numPr>
        <w:tabs>
          <w:tab w:val="left" w:pos="426"/>
        </w:tabs>
        <w:ind w:left="709" w:hanging="709"/>
        <w:jc w:val="both"/>
        <w:rPr>
          <w:i w:val="0"/>
          <w:sz w:val="22"/>
          <w:szCs w:val="22"/>
        </w:rPr>
      </w:pPr>
      <w:bookmarkStart w:id="17" w:name="_Toc161744866"/>
      <w:r w:rsidRPr="00925BCD">
        <w:rPr>
          <w:i w:val="0"/>
          <w:sz w:val="22"/>
          <w:szCs w:val="22"/>
        </w:rPr>
        <w:lastRenderedPageBreak/>
        <w:t>Mierniki służące monitorowaniu</w:t>
      </w:r>
      <w:bookmarkEnd w:id="17"/>
    </w:p>
    <w:p w14:paraId="53EB3E79" w14:textId="5583E656"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w:t>
      </w:r>
      <w:r w:rsidR="00364634">
        <w:rPr>
          <w:rFonts w:ascii="Arial" w:hAnsi="Arial" w:cs="Arial"/>
        </w:rPr>
        <w:t>jest</w:t>
      </w:r>
      <w:r w:rsidR="00364634" w:rsidRPr="00925BCD">
        <w:rPr>
          <w:rFonts w:ascii="Arial" w:hAnsi="Arial" w:cs="Arial"/>
        </w:rPr>
        <w:t xml:space="preserve"> </w:t>
      </w:r>
      <w:r w:rsidRPr="00925BCD">
        <w:rPr>
          <w:rFonts w:ascii="Arial" w:hAnsi="Arial" w:cs="Arial"/>
        </w:rPr>
        <w:t xml:space="preserve">oceniana na podstawie nieprawidłowości w zakresie stosowania środków ochrony roślin. W 2022 r. poziom  nieprawidłowości w tym zakresie, stwierdzanych w ramach kontroli prowadzonej przez Państwową Inspekcję Ochrony Roślin i Nasiennictwa, powinien wynosić poniżej 5%. </w:t>
      </w:r>
    </w:p>
    <w:p w14:paraId="02C88552" w14:textId="73347CF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w:t>
      </w:r>
      <w:r w:rsidR="00542111">
        <w:rPr>
          <w:rFonts w:ascii="Arial" w:hAnsi="Arial" w:cs="Arial"/>
        </w:rPr>
        <w:t> </w:t>
      </w:r>
      <w:r w:rsidRPr="00925BCD">
        <w:rPr>
          <w:rFonts w:ascii="Arial" w:hAnsi="Arial" w:cs="Arial"/>
        </w:rPr>
        <w:t>r. poziom nieprawidłowości w zakresie stosowania środków ochrony roślin wyniósł 6,48</w:t>
      </w:r>
      <w:r w:rsidR="00847AF6" w:rsidRPr="00925BCD">
        <w:rPr>
          <w:rFonts w:ascii="Arial" w:hAnsi="Arial" w:cs="Arial"/>
        </w:rPr>
        <w:t>,</w:t>
      </w:r>
      <w:r w:rsidR="008510AB" w:rsidRPr="00925BCD">
        <w:rPr>
          <w:rFonts w:ascii="Arial" w:hAnsi="Arial" w:cs="Arial"/>
        </w:rPr>
        <w:t> w 2019 r. wyniósł 9,05</w:t>
      </w:r>
      <w:r w:rsidR="008510AB" w:rsidRPr="003A0A0D">
        <w:rPr>
          <w:rFonts w:ascii="Arial" w:hAnsi="Arial" w:cs="Arial"/>
        </w:rPr>
        <w:t>%</w:t>
      </w:r>
      <w:r w:rsidR="0086664B" w:rsidRPr="003A0A0D">
        <w:rPr>
          <w:rFonts w:ascii="Arial" w:hAnsi="Arial" w:cs="Arial"/>
        </w:rPr>
        <w:t>, w 2020 r.</w:t>
      </w:r>
      <w:r w:rsidR="00645E54" w:rsidRPr="003A0A0D">
        <w:rPr>
          <w:rFonts w:ascii="Arial" w:hAnsi="Arial" w:cs="Arial"/>
        </w:rPr>
        <w:t xml:space="preserve"> wyniósł </w:t>
      </w:r>
      <w:r w:rsidR="003A0A0D" w:rsidRPr="003A0A0D">
        <w:rPr>
          <w:rFonts w:ascii="Arial" w:hAnsi="Arial" w:cs="Arial"/>
        </w:rPr>
        <w:t>7,8%</w:t>
      </w:r>
      <w:r w:rsidR="00A20B2A">
        <w:rPr>
          <w:rFonts w:ascii="Arial" w:hAnsi="Arial" w:cs="Arial"/>
        </w:rPr>
        <w:t xml:space="preserve">, </w:t>
      </w:r>
      <w:r w:rsidR="001F2C6A" w:rsidRPr="00D86D2F">
        <w:rPr>
          <w:rFonts w:ascii="Arial" w:hAnsi="Arial" w:cs="Arial"/>
        </w:rPr>
        <w:t>w 2021</w:t>
      </w:r>
      <w:r w:rsidR="00E21283" w:rsidRPr="00D86D2F">
        <w:rPr>
          <w:rFonts w:ascii="Arial" w:hAnsi="Arial" w:cs="Arial"/>
        </w:rPr>
        <w:t xml:space="preserve"> r. wyniósł </w:t>
      </w:r>
      <w:r w:rsidR="00D86D2F" w:rsidRPr="00D86D2F">
        <w:rPr>
          <w:rFonts w:ascii="Arial" w:hAnsi="Arial" w:cs="Arial"/>
        </w:rPr>
        <w:t>7,38</w:t>
      </w:r>
      <w:r w:rsidR="00D86D2F" w:rsidRPr="003C3ED9">
        <w:rPr>
          <w:rFonts w:ascii="Arial" w:hAnsi="Arial" w:cs="Arial"/>
        </w:rPr>
        <w:t>%</w:t>
      </w:r>
      <w:r w:rsidR="000048ED" w:rsidRPr="003C3ED9">
        <w:rPr>
          <w:rFonts w:ascii="Arial" w:hAnsi="Arial" w:cs="Arial"/>
        </w:rPr>
        <w:t xml:space="preserve">, a w 2022 r. </w:t>
      </w:r>
      <w:r w:rsidR="0025709A" w:rsidRPr="003C3ED9">
        <w:rPr>
          <w:rFonts w:ascii="Arial" w:hAnsi="Arial" w:cs="Arial"/>
        </w:rPr>
        <w:t xml:space="preserve">wyniósł </w:t>
      </w:r>
      <w:r w:rsidR="004B2771" w:rsidRPr="003C3ED9">
        <w:rPr>
          <w:rFonts w:ascii="Arial" w:hAnsi="Arial" w:cs="Arial"/>
        </w:rPr>
        <w:t xml:space="preserve">6,17%. </w:t>
      </w:r>
      <w:r w:rsidR="00782A4F">
        <w:rPr>
          <w:rFonts w:ascii="Arial" w:hAnsi="Arial" w:cs="Arial"/>
        </w:rPr>
        <w:t xml:space="preserve">Tym samym przekroczenie oczekiwanej wartości miernika nie było wysokie (1,17%) i założone cele zostały w dużej mierze zrealizowane. </w:t>
      </w:r>
    </w:p>
    <w:p w14:paraId="61AF5AB3" w14:textId="77777777" w:rsidR="00056846" w:rsidRPr="00925BCD" w:rsidRDefault="00E54725">
      <w:pPr>
        <w:pStyle w:val="Nagwek1"/>
        <w:numPr>
          <w:ilvl w:val="0"/>
          <w:numId w:val="9"/>
        </w:numPr>
        <w:ind w:left="284" w:hanging="284"/>
        <w:jc w:val="both"/>
        <w:rPr>
          <w:i w:val="0"/>
          <w:sz w:val="22"/>
          <w:szCs w:val="22"/>
        </w:rPr>
      </w:pPr>
      <w:bookmarkStart w:id="18" w:name="_Toc161744867"/>
      <w:r w:rsidRPr="00925BCD">
        <w:rPr>
          <w:i w:val="0"/>
          <w:sz w:val="22"/>
          <w:szCs w:val="22"/>
        </w:rPr>
        <w:t>Działanie 4. Zapewnienie sprawności technicznej sprzętu przeznaczonego do stosowania środków ochrony roślin</w:t>
      </w:r>
      <w:bookmarkStart w:id="19" w:name="_Toc341876080"/>
      <w:bookmarkStart w:id="20" w:name="_Toc301334598"/>
      <w:bookmarkStart w:id="21" w:name="_Toc300916209"/>
      <w:bookmarkStart w:id="22" w:name="_Toc300753356"/>
      <w:bookmarkEnd w:id="18"/>
      <w:bookmarkEnd w:id="19"/>
      <w:bookmarkEnd w:id="20"/>
      <w:bookmarkEnd w:id="21"/>
      <w:bookmarkEnd w:id="22"/>
    </w:p>
    <w:p w14:paraId="1F3782E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Korzystanie z niesprawnego technicznie opryskiwacza może mieć nieodwracalne, negatywne skutki zarówno dla zdrowia człowieka i zwierząt, jak i stanu środowiska. Nierównomierne rozprowadzenie środków ochrony roślin na opryskiwanej powierzchni niesie ze sobą także ryzyko, że na obszarze, na którym ilość użytych środków jest mniejsza od zamierzonej, zostanie ograniczona efektywność zabiegu. Działanie to służy osiągnięciu celów określonych w art. 8 dyrektywy 2009/128/WE</w:t>
      </w:r>
      <w:r w:rsidR="004570E6" w:rsidRPr="00925BCD">
        <w:rPr>
          <w:rFonts w:ascii="Arial" w:hAnsi="Arial" w:cs="Arial"/>
        </w:rPr>
        <w:t>.</w:t>
      </w:r>
    </w:p>
    <w:p w14:paraId="2FA5F51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celu ograniczenia ryzyka związanego z używaniem niesprawnych opryskiwaczy do wykonywania zabiegów ochrony roślin, a co za tym idzie zmniejszenia ryzyka nieprawidłowej aplikacji środków ochrony roślin, został utworzony system obligatoryjnych, okresowych badań sprawności technicznej opryskiwaczy. </w:t>
      </w:r>
    </w:p>
    <w:p w14:paraId="0CB95CE3" w14:textId="3D886454"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sprawności technicznej opryskiwaczy są wykonywane na podstawie ustawy z dnia 8 marca 2013 r. o środkach ochrony roślin oraz przepisów rozporządzenia Ministra Rolnictwa i Rozwoju Wsi z dnia 18 grudnia 2013 r. w sprawie wymagań dotyczących sprawności technicznej sprzętu przeznaczonego do stosowania środków ochrony roślin (Dz. U. z 2016 r. poz. 760) </w:t>
      </w:r>
      <w:r w:rsidR="00364634">
        <w:rPr>
          <w:rFonts w:ascii="Arial" w:hAnsi="Arial" w:cs="Arial"/>
        </w:rPr>
        <w:t>i</w:t>
      </w:r>
      <w:r w:rsidR="00364634" w:rsidRPr="00925BCD">
        <w:rPr>
          <w:rFonts w:ascii="Arial" w:hAnsi="Arial" w:cs="Arial"/>
        </w:rPr>
        <w:t xml:space="preserve"> </w:t>
      </w:r>
      <w:r w:rsidRPr="00925BCD">
        <w:rPr>
          <w:rFonts w:ascii="Arial" w:hAnsi="Arial" w:cs="Arial"/>
        </w:rPr>
        <w:t>rozporządzenia Ministra Rolnictwa i Rozwoju Wsi z dnia 13 grudnia 2013 r. w sprawie potwierdzania sprawności technicznej sprzętu przeznaczonego do stosowania środków ochrony roślin (Dz. U. z 20</w:t>
      </w:r>
      <w:r w:rsidR="00B64902">
        <w:rPr>
          <w:rFonts w:ascii="Arial" w:hAnsi="Arial" w:cs="Arial"/>
        </w:rPr>
        <w:t>2</w:t>
      </w:r>
      <w:r w:rsidRPr="00925BCD">
        <w:rPr>
          <w:rFonts w:ascii="Arial" w:hAnsi="Arial" w:cs="Arial"/>
        </w:rPr>
        <w:t xml:space="preserve">1 r. poz. </w:t>
      </w:r>
      <w:r w:rsidR="00B64902">
        <w:rPr>
          <w:rFonts w:ascii="Arial" w:hAnsi="Arial" w:cs="Arial"/>
        </w:rPr>
        <w:t>775</w:t>
      </w:r>
      <w:r w:rsidRPr="00925BCD">
        <w:rPr>
          <w:rFonts w:ascii="Arial" w:hAnsi="Arial" w:cs="Arial"/>
        </w:rPr>
        <w:t>).</w:t>
      </w:r>
    </w:p>
    <w:p w14:paraId="3E2D33E7"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Przepisy ww. ustawy nakładają na użytkowników profesjonalnych środków ochrony roślin obowiązek przeprowadzania zarówno okresowej kontroli stanu technicznego, jak i kalibracji sprzętu przeznaczonego do stosowania tych środków. Zgodnie z tymi przepisami badaniom sprawności technicznej powinny być poddawane: opryskiwacze ciągnikowe i samobieżne polowe lub sadownicze, sprzęt agrolotniczy oraz wykorzystywany w kolejnictwie, a także sprzęt niestandardowy, tj. zaprawiarki do nasion, instalacje przeznaczone do stosowania środków ochrony roślin w formie oprysku lub zamgławiania w szklarniach lub tunelach foliowych, samobieżny lub ciągnikowy sprzęt przeznaczony do stosowania środków ochrony roślin w formie granulatu oraz sprzęt przeznaczony do stosowania środków ochrony roślin w formie oprysku, inny niż opryskiwacze ręczne i plecakowe, którego pojemność zbiornika przekracza 30 litrów.</w:t>
      </w:r>
    </w:p>
    <w:p w14:paraId="672CEAAD"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Mając na uwadze, że dyrektywa 2006/42/WE Parlamentu Europejskiego i Rady z dnia 17 maja 2006 r. w sprawie maszyn, zmieniająca dyrektywę 95/16/WE (przekształcenie) (Dz. Urz. UE L 157 </w:t>
      </w:r>
      <w:r w:rsidRPr="00925BCD">
        <w:rPr>
          <w:rFonts w:ascii="Arial" w:hAnsi="Arial" w:cs="Arial"/>
        </w:rPr>
        <w:lastRenderedPageBreak/>
        <w:t>z 09.06.2006, str. 24, z późn. zm.) określa wymagania techniczne, jakie powinny spełniać maszyny przeznaczone do stosowania środków ochrony roślin, wprowadzane do obrotu lub oddawane do użytku (nowe opryskiwacze), to wymienione wyżej przepisy określają wymagania odnoszące się jedynie do opryskiwaczy będących już w użytkowaniu. Ich celem jest sprawdzenie, czy w procesie eksploatacji stan techniczny opryskiwaczy nie uległ pogorszeniu w sposób stwarzający zagrożenie dla zdrowia ludzi i środowiska.</w:t>
      </w:r>
    </w:p>
    <w:p w14:paraId="4133CCCF"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Wskazane wyżej ramy prawne w pełni implementują postanowienia art. 8 dyrektywy 2009/128/WE, a także pozwalają na wyeliminowanie ryzyka wiążącego się ze stosowaniem środków ochrony roślin sprzętem niesprawnym technicznie. </w:t>
      </w:r>
    </w:p>
    <w:p w14:paraId="7B44F27E" w14:textId="42E7AFD3" w:rsidR="00056846" w:rsidRDefault="001B4131"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E54725" w:rsidRPr="00925BCD">
        <w:rPr>
          <w:rFonts w:ascii="Arial" w:hAnsi="Arial" w:cs="Arial"/>
        </w:rPr>
        <w:t xml:space="preserve">pisy do rejestrów prowadzonych przez wojewódzkich inspektorów ochrony roślin i nasiennictwa </w:t>
      </w:r>
      <w:r w:rsidR="00807FF7" w:rsidRPr="00925BCD">
        <w:rPr>
          <w:rFonts w:ascii="Arial" w:hAnsi="Arial" w:cs="Arial"/>
        </w:rPr>
        <w:t>w</w:t>
      </w:r>
      <w:r w:rsidR="00807FF7">
        <w:rPr>
          <w:rFonts w:ascii="Arial" w:hAnsi="Arial" w:cs="Arial"/>
        </w:rPr>
        <w:t> </w:t>
      </w:r>
      <w:r w:rsidR="00E54725" w:rsidRPr="00925BCD">
        <w:rPr>
          <w:rFonts w:ascii="Arial" w:hAnsi="Arial" w:cs="Arial"/>
        </w:rPr>
        <w:t>zakresie potwierdzania sprawności technicznej sprzętu przeznaczonego do stosowania środków ochrony roślin, z</w:t>
      </w:r>
      <w:r w:rsidR="00DA54F4">
        <w:rPr>
          <w:rFonts w:ascii="Arial" w:hAnsi="Arial" w:cs="Arial"/>
        </w:rPr>
        <w:t> </w:t>
      </w:r>
      <w:r w:rsidR="00E54725" w:rsidRPr="00925BCD">
        <w:rPr>
          <w:rFonts w:ascii="Arial" w:hAnsi="Arial" w:cs="Arial"/>
        </w:rPr>
        <w:t xml:space="preserve">uwzględnieniem zakresów tych upoważnień, </w:t>
      </w:r>
      <w:r>
        <w:rPr>
          <w:rFonts w:ascii="Arial" w:hAnsi="Arial" w:cs="Arial"/>
        </w:rPr>
        <w:t>n</w:t>
      </w:r>
      <w:r w:rsidRPr="00925BCD">
        <w:rPr>
          <w:rFonts w:ascii="Arial" w:hAnsi="Arial" w:cs="Arial"/>
        </w:rPr>
        <w:t xml:space="preserve">a dzień 31 grudnia </w:t>
      </w:r>
      <w:r w:rsidR="00E244AB">
        <w:rPr>
          <w:rFonts w:ascii="Arial" w:hAnsi="Arial" w:cs="Arial"/>
        </w:rPr>
        <w:t xml:space="preserve">w </w:t>
      </w:r>
      <w:r w:rsidR="00D74BFE">
        <w:rPr>
          <w:rFonts w:ascii="Arial" w:hAnsi="Arial" w:cs="Arial"/>
        </w:rPr>
        <w:t>poszczególnych latach sprawozdawczych</w:t>
      </w:r>
      <w:r w:rsidR="00E244AB">
        <w:rPr>
          <w:rFonts w:ascii="Arial" w:hAnsi="Arial" w:cs="Arial"/>
        </w:rPr>
        <w:t>,</w:t>
      </w:r>
      <w:r>
        <w:rPr>
          <w:rFonts w:ascii="Arial" w:hAnsi="Arial" w:cs="Arial"/>
        </w:rPr>
        <w:t xml:space="preserve"> </w:t>
      </w:r>
      <w:r w:rsidR="00BD23CE">
        <w:rPr>
          <w:rFonts w:ascii="Arial" w:hAnsi="Arial" w:cs="Arial"/>
        </w:rPr>
        <w:t>przedstawia</w:t>
      </w:r>
      <w:r w:rsidR="00E54725" w:rsidRPr="00925BCD">
        <w:rPr>
          <w:rFonts w:ascii="Arial" w:hAnsi="Arial" w:cs="Arial"/>
        </w:rPr>
        <w:t xml:space="preserve"> tabela</w:t>
      </w:r>
      <w:r w:rsidR="00BD23CE">
        <w:rPr>
          <w:rFonts w:ascii="Arial" w:hAnsi="Arial" w:cs="Arial"/>
        </w:rPr>
        <w:t xml:space="preserve"> poniżej</w:t>
      </w:r>
      <w:r w:rsidR="00E54725" w:rsidRPr="00925BCD">
        <w:rPr>
          <w:rFonts w:ascii="Arial" w:hAnsi="Arial" w:cs="Arial"/>
        </w:rPr>
        <w:t>.</w:t>
      </w:r>
    </w:p>
    <w:p w14:paraId="4D50FD54" w14:textId="6C39EA5F" w:rsidR="00CD011C" w:rsidRDefault="00CD011C">
      <w:pPr>
        <w:spacing w:after="0" w:line="240" w:lineRule="auto"/>
        <w:rPr>
          <w:rFonts w:ascii="Arial" w:eastAsia="Times New Roman" w:hAnsi="Arial" w:cs="Arial"/>
          <w:sz w:val="20"/>
          <w:szCs w:val="20"/>
          <w:lang w:eastAsia="pl-PL"/>
        </w:rPr>
      </w:pPr>
    </w:p>
    <w:tbl>
      <w:tblPr>
        <w:tblW w:w="9062" w:type="dxa"/>
        <w:tblCellMar>
          <w:left w:w="70" w:type="dxa"/>
          <w:right w:w="70" w:type="dxa"/>
        </w:tblCellMar>
        <w:tblLook w:val="04A0" w:firstRow="1" w:lastRow="0" w:firstColumn="1" w:lastColumn="0" w:noHBand="0" w:noVBand="1"/>
      </w:tblPr>
      <w:tblGrid>
        <w:gridCol w:w="4141"/>
        <w:gridCol w:w="984"/>
        <w:gridCol w:w="984"/>
        <w:gridCol w:w="984"/>
        <w:gridCol w:w="984"/>
        <w:gridCol w:w="985"/>
      </w:tblGrid>
      <w:tr w:rsidR="00105402" w:rsidRPr="00925BCD" w14:paraId="67465FF2" w14:textId="248CAEDF" w:rsidTr="008B3738">
        <w:trPr>
          <w:trHeight w:val="1345"/>
        </w:trPr>
        <w:tc>
          <w:tcPr>
            <w:tcW w:w="4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CF0D" w14:textId="77777777" w:rsidR="00105402" w:rsidRPr="00536D65" w:rsidRDefault="00105402">
            <w:pPr>
              <w:jc w:val="center"/>
              <w:rPr>
                <w:rFonts w:ascii="Arial" w:hAnsi="Arial" w:cs="Arial"/>
                <w:b/>
                <w:bCs/>
                <w:color w:val="000000"/>
                <w:sz w:val="20"/>
                <w:szCs w:val="20"/>
              </w:rPr>
            </w:pPr>
            <w:r w:rsidRPr="00536D65">
              <w:rPr>
                <w:rFonts w:ascii="Arial" w:hAnsi="Arial" w:cs="Arial"/>
                <w:b/>
                <w:bCs/>
                <w:color w:val="000000"/>
                <w:sz w:val="20"/>
                <w:szCs w:val="20"/>
              </w:rPr>
              <w:t xml:space="preserve">Liczba jednostek upoważnionych do prowadzenia badań opryskiwaczy/ liczba przedsiębiorców/podmiotów prowadzących działalność w zakresie potwierdzania sprawności technicznej sprzętu przeznaczonego do stosowania środków ochrony roślin </w:t>
            </w:r>
          </w:p>
        </w:tc>
        <w:tc>
          <w:tcPr>
            <w:tcW w:w="984" w:type="dxa"/>
            <w:tcBorders>
              <w:top w:val="single" w:sz="4" w:space="0" w:color="000000"/>
              <w:bottom w:val="single" w:sz="4" w:space="0" w:color="000000"/>
              <w:right w:val="single" w:sz="4" w:space="0" w:color="000000"/>
            </w:tcBorders>
            <w:vAlign w:val="center"/>
          </w:tcPr>
          <w:p w14:paraId="6F6EE230" w14:textId="77777777" w:rsidR="00105402" w:rsidRPr="00536D65" w:rsidRDefault="00105402">
            <w:pPr>
              <w:jc w:val="center"/>
              <w:rPr>
                <w:rFonts w:ascii="Arial" w:hAnsi="Arial" w:cs="Arial"/>
                <w:b/>
                <w:bCs/>
                <w:color w:val="000000"/>
                <w:sz w:val="20"/>
                <w:szCs w:val="20"/>
              </w:rPr>
            </w:pPr>
            <w:r w:rsidRPr="00536D65">
              <w:rPr>
                <w:rFonts w:ascii="Arial" w:hAnsi="Arial" w:cs="Arial"/>
                <w:b/>
                <w:bCs/>
                <w:color w:val="000000"/>
                <w:sz w:val="20"/>
                <w:szCs w:val="20"/>
              </w:rPr>
              <w:t>2018</w:t>
            </w:r>
          </w:p>
        </w:tc>
        <w:tc>
          <w:tcPr>
            <w:tcW w:w="984" w:type="dxa"/>
            <w:tcBorders>
              <w:top w:val="single" w:sz="4" w:space="0" w:color="000000"/>
              <w:bottom w:val="single" w:sz="4" w:space="0" w:color="000000"/>
              <w:right w:val="single" w:sz="4" w:space="0" w:color="000000"/>
            </w:tcBorders>
            <w:vAlign w:val="center"/>
          </w:tcPr>
          <w:p w14:paraId="0BE83BAF" w14:textId="77777777" w:rsidR="00105402" w:rsidRPr="00536D65" w:rsidRDefault="00105402" w:rsidP="00C03D4A">
            <w:pPr>
              <w:jc w:val="center"/>
              <w:rPr>
                <w:rFonts w:ascii="Arial" w:hAnsi="Arial" w:cs="Arial"/>
                <w:b/>
                <w:bCs/>
                <w:color w:val="000000"/>
                <w:sz w:val="20"/>
                <w:szCs w:val="20"/>
              </w:rPr>
            </w:pPr>
            <w:r w:rsidRPr="00536D65">
              <w:rPr>
                <w:rFonts w:ascii="Arial" w:hAnsi="Arial" w:cs="Arial"/>
                <w:b/>
                <w:bCs/>
                <w:color w:val="000000"/>
                <w:sz w:val="20"/>
                <w:szCs w:val="20"/>
              </w:rPr>
              <w:t>2019</w:t>
            </w:r>
          </w:p>
        </w:tc>
        <w:tc>
          <w:tcPr>
            <w:tcW w:w="984" w:type="dxa"/>
            <w:tcBorders>
              <w:top w:val="single" w:sz="4" w:space="0" w:color="000000"/>
              <w:bottom w:val="single" w:sz="4" w:space="0" w:color="000000"/>
              <w:right w:val="single" w:sz="4" w:space="0" w:color="000000"/>
            </w:tcBorders>
            <w:vAlign w:val="center"/>
          </w:tcPr>
          <w:p w14:paraId="31F389B0" w14:textId="0AE94346" w:rsidR="00105402" w:rsidRPr="00536D65" w:rsidRDefault="00105402" w:rsidP="0086664B">
            <w:pPr>
              <w:jc w:val="center"/>
              <w:rPr>
                <w:rFonts w:ascii="Arial" w:hAnsi="Arial" w:cs="Arial"/>
                <w:b/>
                <w:bCs/>
                <w:sz w:val="20"/>
                <w:szCs w:val="20"/>
              </w:rPr>
            </w:pPr>
            <w:r w:rsidRPr="00536D65">
              <w:rPr>
                <w:rFonts w:ascii="Arial" w:hAnsi="Arial" w:cs="Arial"/>
                <w:b/>
                <w:bCs/>
                <w:sz w:val="20"/>
                <w:szCs w:val="20"/>
              </w:rPr>
              <w:t>2020</w:t>
            </w:r>
          </w:p>
        </w:tc>
        <w:tc>
          <w:tcPr>
            <w:tcW w:w="984" w:type="dxa"/>
            <w:tcBorders>
              <w:top w:val="single" w:sz="4" w:space="0" w:color="000000"/>
              <w:bottom w:val="single" w:sz="4" w:space="0" w:color="000000"/>
              <w:right w:val="single" w:sz="4" w:space="0" w:color="000000"/>
            </w:tcBorders>
            <w:vAlign w:val="center"/>
          </w:tcPr>
          <w:p w14:paraId="4B6D0A12" w14:textId="544303C6" w:rsidR="00105402" w:rsidRPr="00536D65" w:rsidRDefault="00105402" w:rsidP="00E244AB">
            <w:pPr>
              <w:jc w:val="center"/>
              <w:rPr>
                <w:rFonts w:ascii="Arial" w:hAnsi="Arial" w:cs="Arial"/>
                <w:b/>
                <w:bCs/>
                <w:sz w:val="20"/>
                <w:szCs w:val="20"/>
              </w:rPr>
            </w:pPr>
            <w:r w:rsidRPr="00536D65">
              <w:rPr>
                <w:rFonts w:ascii="Arial" w:hAnsi="Arial" w:cs="Arial"/>
                <w:b/>
                <w:bCs/>
                <w:sz w:val="20"/>
                <w:szCs w:val="20"/>
              </w:rPr>
              <w:t>2021</w:t>
            </w:r>
          </w:p>
        </w:tc>
        <w:tc>
          <w:tcPr>
            <w:tcW w:w="985" w:type="dxa"/>
            <w:tcBorders>
              <w:top w:val="single" w:sz="4" w:space="0" w:color="000000"/>
              <w:bottom w:val="single" w:sz="4" w:space="0" w:color="000000"/>
              <w:right w:val="single" w:sz="4" w:space="0" w:color="000000"/>
            </w:tcBorders>
            <w:vAlign w:val="center"/>
          </w:tcPr>
          <w:p w14:paraId="441D5B62" w14:textId="7DA333B9" w:rsidR="00105402" w:rsidRPr="00536D65" w:rsidRDefault="008B3738" w:rsidP="008B3738">
            <w:pPr>
              <w:jc w:val="center"/>
              <w:rPr>
                <w:rFonts w:ascii="Arial" w:hAnsi="Arial" w:cs="Arial"/>
                <w:b/>
                <w:bCs/>
                <w:sz w:val="20"/>
                <w:szCs w:val="20"/>
              </w:rPr>
            </w:pPr>
            <w:r>
              <w:rPr>
                <w:rFonts w:ascii="Arial" w:hAnsi="Arial" w:cs="Arial"/>
                <w:b/>
                <w:bCs/>
                <w:sz w:val="20"/>
                <w:szCs w:val="20"/>
              </w:rPr>
              <w:t>2022</w:t>
            </w:r>
          </w:p>
        </w:tc>
      </w:tr>
      <w:tr w:rsidR="00105402" w:rsidRPr="00925BCD" w14:paraId="589A6F7F" w14:textId="6CA4364B" w:rsidTr="008B3738">
        <w:trPr>
          <w:trHeight w:val="300"/>
        </w:trPr>
        <w:tc>
          <w:tcPr>
            <w:tcW w:w="4141" w:type="dxa"/>
            <w:tcBorders>
              <w:left w:val="single" w:sz="4" w:space="0" w:color="000000"/>
              <w:bottom w:val="single" w:sz="4" w:space="0" w:color="000000"/>
              <w:right w:val="single" w:sz="4" w:space="0" w:color="000000"/>
            </w:tcBorders>
            <w:shd w:val="clear" w:color="auto" w:fill="auto"/>
            <w:vAlign w:val="center"/>
          </w:tcPr>
          <w:p w14:paraId="11DBA9AC" w14:textId="77777777" w:rsidR="00105402" w:rsidRPr="00536D65" w:rsidRDefault="00105402">
            <w:pPr>
              <w:rPr>
                <w:rFonts w:ascii="Arial" w:hAnsi="Arial" w:cs="Arial"/>
                <w:color w:val="000000"/>
                <w:sz w:val="20"/>
                <w:szCs w:val="20"/>
              </w:rPr>
            </w:pPr>
            <w:r w:rsidRPr="00536D65">
              <w:rPr>
                <w:rFonts w:ascii="Arial" w:hAnsi="Arial" w:cs="Arial"/>
                <w:color w:val="000000"/>
                <w:sz w:val="20"/>
                <w:szCs w:val="20"/>
              </w:rPr>
              <w:t>Ogółem, w tym badających:</w:t>
            </w:r>
          </w:p>
        </w:tc>
        <w:tc>
          <w:tcPr>
            <w:tcW w:w="984" w:type="dxa"/>
            <w:tcBorders>
              <w:bottom w:val="single" w:sz="4" w:space="0" w:color="000000"/>
              <w:right w:val="single" w:sz="4" w:space="0" w:color="000000"/>
            </w:tcBorders>
            <w:vAlign w:val="center"/>
          </w:tcPr>
          <w:p w14:paraId="3308EE65"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392</w:t>
            </w:r>
          </w:p>
        </w:tc>
        <w:tc>
          <w:tcPr>
            <w:tcW w:w="984" w:type="dxa"/>
            <w:tcBorders>
              <w:bottom w:val="single" w:sz="4" w:space="0" w:color="000000"/>
              <w:right w:val="single" w:sz="4" w:space="0" w:color="000000"/>
            </w:tcBorders>
            <w:vAlign w:val="center"/>
          </w:tcPr>
          <w:p w14:paraId="78AE7A65" w14:textId="77777777" w:rsidR="00105402" w:rsidRPr="00536D65" w:rsidRDefault="00105402" w:rsidP="008510AB">
            <w:pPr>
              <w:jc w:val="center"/>
              <w:rPr>
                <w:rFonts w:ascii="Arial" w:hAnsi="Arial" w:cs="Arial"/>
                <w:color w:val="000000"/>
                <w:sz w:val="20"/>
                <w:szCs w:val="20"/>
              </w:rPr>
            </w:pPr>
            <w:r w:rsidRPr="00536D65">
              <w:rPr>
                <w:rFonts w:ascii="Arial" w:hAnsi="Arial" w:cs="Arial"/>
                <w:color w:val="000000"/>
                <w:sz w:val="20"/>
                <w:szCs w:val="20"/>
              </w:rPr>
              <w:t>386</w:t>
            </w:r>
          </w:p>
        </w:tc>
        <w:tc>
          <w:tcPr>
            <w:tcW w:w="984" w:type="dxa"/>
            <w:tcBorders>
              <w:bottom w:val="single" w:sz="4" w:space="0" w:color="000000"/>
              <w:right w:val="single" w:sz="4" w:space="0" w:color="000000"/>
            </w:tcBorders>
            <w:vAlign w:val="center"/>
          </w:tcPr>
          <w:p w14:paraId="02A4135A" w14:textId="62CA153E" w:rsidR="00105402" w:rsidRPr="00536D65" w:rsidRDefault="00105402" w:rsidP="0086664B">
            <w:pPr>
              <w:jc w:val="center"/>
              <w:rPr>
                <w:rFonts w:ascii="Arial" w:hAnsi="Arial" w:cs="Arial"/>
                <w:sz w:val="20"/>
                <w:szCs w:val="20"/>
              </w:rPr>
            </w:pPr>
            <w:r w:rsidRPr="00536D65">
              <w:rPr>
                <w:rFonts w:ascii="Arial" w:hAnsi="Arial" w:cs="Arial"/>
                <w:sz w:val="20"/>
                <w:szCs w:val="20"/>
              </w:rPr>
              <w:t>365</w:t>
            </w:r>
          </w:p>
        </w:tc>
        <w:tc>
          <w:tcPr>
            <w:tcW w:w="984" w:type="dxa"/>
            <w:tcBorders>
              <w:bottom w:val="single" w:sz="4" w:space="0" w:color="000000"/>
              <w:right w:val="single" w:sz="4" w:space="0" w:color="000000"/>
            </w:tcBorders>
            <w:vAlign w:val="center"/>
          </w:tcPr>
          <w:p w14:paraId="6C4EBF01" w14:textId="468E8979" w:rsidR="00105402" w:rsidRPr="00536D65" w:rsidRDefault="00105402" w:rsidP="00E244AB">
            <w:pPr>
              <w:jc w:val="center"/>
              <w:rPr>
                <w:rFonts w:ascii="Arial" w:hAnsi="Arial" w:cs="Arial"/>
                <w:bCs/>
                <w:sz w:val="20"/>
                <w:szCs w:val="20"/>
              </w:rPr>
            </w:pPr>
            <w:r w:rsidRPr="00536D65">
              <w:rPr>
                <w:rFonts w:ascii="Arial" w:hAnsi="Arial" w:cs="Arial"/>
                <w:bCs/>
                <w:sz w:val="20"/>
                <w:szCs w:val="20"/>
              </w:rPr>
              <w:t>356</w:t>
            </w:r>
          </w:p>
        </w:tc>
        <w:tc>
          <w:tcPr>
            <w:tcW w:w="985" w:type="dxa"/>
            <w:tcBorders>
              <w:bottom w:val="single" w:sz="4" w:space="0" w:color="000000"/>
              <w:right w:val="single" w:sz="4" w:space="0" w:color="000000"/>
            </w:tcBorders>
            <w:vAlign w:val="center"/>
          </w:tcPr>
          <w:p w14:paraId="72C3CE68" w14:textId="324604FC" w:rsidR="00105402" w:rsidRPr="00536D65" w:rsidRDefault="007D40CA" w:rsidP="008B3738">
            <w:pPr>
              <w:jc w:val="center"/>
              <w:rPr>
                <w:rFonts w:ascii="Arial" w:hAnsi="Arial" w:cs="Arial"/>
                <w:bCs/>
                <w:sz w:val="20"/>
                <w:szCs w:val="20"/>
              </w:rPr>
            </w:pPr>
            <w:r>
              <w:rPr>
                <w:rFonts w:ascii="Arial" w:hAnsi="Arial" w:cs="Arial"/>
                <w:bCs/>
                <w:sz w:val="20"/>
                <w:szCs w:val="20"/>
              </w:rPr>
              <w:t>347</w:t>
            </w:r>
          </w:p>
        </w:tc>
      </w:tr>
      <w:tr w:rsidR="00105402" w:rsidRPr="00925BCD" w14:paraId="48A59E4A" w14:textId="0BA62354" w:rsidTr="008B3738">
        <w:trPr>
          <w:trHeight w:val="300"/>
        </w:trPr>
        <w:tc>
          <w:tcPr>
            <w:tcW w:w="4141" w:type="dxa"/>
            <w:tcBorders>
              <w:left w:val="single" w:sz="4" w:space="0" w:color="000000"/>
              <w:bottom w:val="single" w:sz="4" w:space="0" w:color="000000"/>
              <w:right w:val="single" w:sz="4" w:space="0" w:color="000000"/>
            </w:tcBorders>
            <w:shd w:val="clear" w:color="auto" w:fill="auto"/>
            <w:vAlign w:val="center"/>
          </w:tcPr>
          <w:p w14:paraId="37B45040"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opryskiwacze ciągnikowe i samobieżne polowe</w:t>
            </w:r>
          </w:p>
        </w:tc>
        <w:tc>
          <w:tcPr>
            <w:tcW w:w="984" w:type="dxa"/>
            <w:tcBorders>
              <w:bottom w:val="single" w:sz="4" w:space="0" w:color="000000"/>
              <w:right w:val="single" w:sz="4" w:space="0" w:color="000000"/>
            </w:tcBorders>
            <w:vAlign w:val="center"/>
          </w:tcPr>
          <w:p w14:paraId="1B777D6C"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377</w:t>
            </w:r>
          </w:p>
        </w:tc>
        <w:tc>
          <w:tcPr>
            <w:tcW w:w="984" w:type="dxa"/>
            <w:tcBorders>
              <w:bottom w:val="single" w:sz="4" w:space="0" w:color="000000"/>
              <w:right w:val="single" w:sz="4" w:space="0" w:color="000000"/>
            </w:tcBorders>
            <w:vAlign w:val="center"/>
          </w:tcPr>
          <w:p w14:paraId="5213475D" w14:textId="77777777" w:rsidR="00105402" w:rsidRPr="00536D65" w:rsidRDefault="00105402" w:rsidP="008510AB">
            <w:pPr>
              <w:jc w:val="center"/>
              <w:rPr>
                <w:rFonts w:ascii="Arial" w:hAnsi="Arial" w:cs="Arial"/>
                <w:color w:val="000000"/>
                <w:sz w:val="20"/>
                <w:szCs w:val="20"/>
              </w:rPr>
            </w:pPr>
            <w:r w:rsidRPr="00536D65">
              <w:rPr>
                <w:rFonts w:ascii="Arial" w:hAnsi="Arial" w:cs="Arial"/>
                <w:color w:val="000000"/>
                <w:sz w:val="20"/>
                <w:szCs w:val="20"/>
              </w:rPr>
              <w:t>349</w:t>
            </w:r>
          </w:p>
        </w:tc>
        <w:tc>
          <w:tcPr>
            <w:tcW w:w="984" w:type="dxa"/>
            <w:tcBorders>
              <w:bottom w:val="single" w:sz="4" w:space="0" w:color="000000"/>
              <w:right w:val="single" w:sz="4" w:space="0" w:color="000000"/>
            </w:tcBorders>
            <w:vAlign w:val="center"/>
          </w:tcPr>
          <w:p w14:paraId="3AA76C9B" w14:textId="66D672E5" w:rsidR="00105402" w:rsidRPr="00536D65" w:rsidRDefault="00105402" w:rsidP="0086664B">
            <w:pPr>
              <w:jc w:val="center"/>
              <w:rPr>
                <w:rFonts w:ascii="Arial" w:hAnsi="Arial" w:cs="Arial"/>
                <w:sz w:val="20"/>
                <w:szCs w:val="20"/>
              </w:rPr>
            </w:pPr>
            <w:r w:rsidRPr="00536D65">
              <w:rPr>
                <w:rFonts w:ascii="Arial" w:hAnsi="Arial" w:cs="Arial"/>
                <w:sz w:val="20"/>
                <w:szCs w:val="20"/>
              </w:rPr>
              <w:t>349</w:t>
            </w:r>
          </w:p>
        </w:tc>
        <w:tc>
          <w:tcPr>
            <w:tcW w:w="984" w:type="dxa"/>
            <w:tcBorders>
              <w:bottom w:val="single" w:sz="4" w:space="0" w:color="000000"/>
              <w:right w:val="single" w:sz="4" w:space="0" w:color="000000"/>
            </w:tcBorders>
            <w:vAlign w:val="center"/>
          </w:tcPr>
          <w:p w14:paraId="0EA6C565" w14:textId="79ABB227" w:rsidR="00105402" w:rsidRPr="00536D65" w:rsidRDefault="00105402" w:rsidP="00E244AB">
            <w:pPr>
              <w:jc w:val="center"/>
              <w:rPr>
                <w:rFonts w:ascii="Arial" w:hAnsi="Arial" w:cs="Arial"/>
                <w:bCs/>
                <w:sz w:val="20"/>
                <w:szCs w:val="20"/>
              </w:rPr>
            </w:pPr>
            <w:r w:rsidRPr="00536D65">
              <w:rPr>
                <w:rFonts w:ascii="Arial" w:hAnsi="Arial" w:cs="Arial"/>
                <w:bCs/>
                <w:sz w:val="20"/>
                <w:szCs w:val="20"/>
              </w:rPr>
              <w:t>334</w:t>
            </w:r>
          </w:p>
        </w:tc>
        <w:tc>
          <w:tcPr>
            <w:tcW w:w="985" w:type="dxa"/>
            <w:tcBorders>
              <w:bottom w:val="single" w:sz="4" w:space="0" w:color="000000"/>
              <w:right w:val="single" w:sz="4" w:space="0" w:color="000000"/>
            </w:tcBorders>
            <w:vAlign w:val="center"/>
          </w:tcPr>
          <w:p w14:paraId="7FA61478" w14:textId="28AF713B" w:rsidR="00105402" w:rsidRPr="00536D65" w:rsidRDefault="00C520F7" w:rsidP="008B3738">
            <w:pPr>
              <w:jc w:val="center"/>
              <w:rPr>
                <w:rFonts w:ascii="Arial" w:hAnsi="Arial" w:cs="Arial"/>
                <w:bCs/>
                <w:sz w:val="20"/>
                <w:szCs w:val="20"/>
              </w:rPr>
            </w:pPr>
            <w:r>
              <w:rPr>
                <w:rFonts w:ascii="Arial" w:hAnsi="Arial" w:cs="Arial"/>
                <w:bCs/>
                <w:sz w:val="20"/>
                <w:szCs w:val="20"/>
              </w:rPr>
              <w:t>324</w:t>
            </w:r>
          </w:p>
        </w:tc>
      </w:tr>
      <w:tr w:rsidR="00105402" w:rsidRPr="00925BCD" w14:paraId="495B8BEC" w14:textId="1812E506" w:rsidTr="008B3738">
        <w:trPr>
          <w:trHeight w:val="300"/>
        </w:trPr>
        <w:tc>
          <w:tcPr>
            <w:tcW w:w="4141" w:type="dxa"/>
            <w:tcBorders>
              <w:left w:val="single" w:sz="4" w:space="0" w:color="000000"/>
              <w:bottom w:val="single" w:sz="4" w:space="0" w:color="000000"/>
              <w:right w:val="single" w:sz="4" w:space="0" w:color="000000"/>
            </w:tcBorders>
            <w:shd w:val="clear" w:color="auto" w:fill="auto"/>
            <w:vAlign w:val="center"/>
          </w:tcPr>
          <w:p w14:paraId="14B65F1E"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opryskiwacze ciągnikowe i samobieżne sadownicze</w:t>
            </w:r>
          </w:p>
        </w:tc>
        <w:tc>
          <w:tcPr>
            <w:tcW w:w="984" w:type="dxa"/>
            <w:tcBorders>
              <w:bottom w:val="single" w:sz="4" w:space="0" w:color="000000"/>
              <w:right w:val="single" w:sz="4" w:space="0" w:color="000000"/>
            </w:tcBorders>
            <w:vAlign w:val="center"/>
          </w:tcPr>
          <w:p w14:paraId="336BBA65"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187</w:t>
            </w:r>
          </w:p>
        </w:tc>
        <w:tc>
          <w:tcPr>
            <w:tcW w:w="984" w:type="dxa"/>
            <w:tcBorders>
              <w:bottom w:val="single" w:sz="4" w:space="0" w:color="000000"/>
              <w:right w:val="single" w:sz="4" w:space="0" w:color="000000"/>
            </w:tcBorders>
            <w:vAlign w:val="center"/>
          </w:tcPr>
          <w:p w14:paraId="46DA8CE2" w14:textId="77777777" w:rsidR="00105402" w:rsidRPr="00536D65" w:rsidRDefault="00105402" w:rsidP="008510AB">
            <w:pPr>
              <w:jc w:val="center"/>
              <w:rPr>
                <w:rFonts w:ascii="Arial" w:hAnsi="Arial" w:cs="Arial"/>
                <w:color w:val="000000"/>
                <w:sz w:val="20"/>
                <w:szCs w:val="20"/>
              </w:rPr>
            </w:pPr>
            <w:r w:rsidRPr="00536D65">
              <w:rPr>
                <w:rFonts w:ascii="Arial" w:hAnsi="Arial" w:cs="Arial"/>
                <w:color w:val="000000"/>
                <w:sz w:val="20"/>
                <w:szCs w:val="20"/>
              </w:rPr>
              <w:t>181</w:t>
            </w:r>
          </w:p>
        </w:tc>
        <w:tc>
          <w:tcPr>
            <w:tcW w:w="984" w:type="dxa"/>
            <w:tcBorders>
              <w:bottom w:val="single" w:sz="4" w:space="0" w:color="000000"/>
              <w:right w:val="single" w:sz="4" w:space="0" w:color="000000"/>
            </w:tcBorders>
            <w:vAlign w:val="center"/>
          </w:tcPr>
          <w:p w14:paraId="0C16AD58" w14:textId="77276D90" w:rsidR="00105402" w:rsidRPr="00536D65" w:rsidRDefault="00105402" w:rsidP="0086664B">
            <w:pPr>
              <w:jc w:val="center"/>
              <w:rPr>
                <w:rFonts w:ascii="Arial" w:hAnsi="Arial" w:cs="Arial"/>
                <w:sz w:val="20"/>
                <w:szCs w:val="20"/>
              </w:rPr>
            </w:pPr>
            <w:r w:rsidRPr="00536D65">
              <w:rPr>
                <w:rFonts w:ascii="Arial" w:hAnsi="Arial" w:cs="Arial"/>
                <w:sz w:val="20"/>
                <w:szCs w:val="20"/>
              </w:rPr>
              <w:t>181</w:t>
            </w:r>
          </w:p>
        </w:tc>
        <w:tc>
          <w:tcPr>
            <w:tcW w:w="984" w:type="dxa"/>
            <w:tcBorders>
              <w:bottom w:val="single" w:sz="4" w:space="0" w:color="000000"/>
              <w:right w:val="single" w:sz="4" w:space="0" w:color="000000"/>
            </w:tcBorders>
            <w:vAlign w:val="center"/>
          </w:tcPr>
          <w:p w14:paraId="3501A401" w14:textId="47CD3F0C" w:rsidR="00105402" w:rsidRPr="00536D65" w:rsidRDefault="00105402" w:rsidP="00E244AB">
            <w:pPr>
              <w:jc w:val="center"/>
              <w:rPr>
                <w:rFonts w:ascii="Arial" w:hAnsi="Arial" w:cs="Arial"/>
                <w:bCs/>
                <w:sz w:val="20"/>
                <w:szCs w:val="20"/>
              </w:rPr>
            </w:pPr>
            <w:r w:rsidRPr="00536D65">
              <w:rPr>
                <w:rFonts w:ascii="Arial" w:hAnsi="Arial" w:cs="Arial"/>
                <w:bCs/>
                <w:sz w:val="20"/>
                <w:szCs w:val="20"/>
              </w:rPr>
              <w:t>173</w:t>
            </w:r>
          </w:p>
        </w:tc>
        <w:tc>
          <w:tcPr>
            <w:tcW w:w="985" w:type="dxa"/>
            <w:tcBorders>
              <w:bottom w:val="single" w:sz="4" w:space="0" w:color="000000"/>
              <w:right w:val="single" w:sz="4" w:space="0" w:color="000000"/>
            </w:tcBorders>
            <w:vAlign w:val="center"/>
          </w:tcPr>
          <w:p w14:paraId="27E8DFC9" w14:textId="1C7DAF14" w:rsidR="00105402" w:rsidRPr="00536D65" w:rsidRDefault="00C520F7" w:rsidP="008B3738">
            <w:pPr>
              <w:jc w:val="center"/>
              <w:rPr>
                <w:rFonts w:ascii="Arial" w:hAnsi="Arial" w:cs="Arial"/>
                <w:bCs/>
                <w:sz w:val="20"/>
                <w:szCs w:val="20"/>
              </w:rPr>
            </w:pPr>
            <w:r>
              <w:rPr>
                <w:rFonts w:ascii="Arial" w:hAnsi="Arial" w:cs="Arial"/>
                <w:bCs/>
                <w:sz w:val="20"/>
                <w:szCs w:val="20"/>
              </w:rPr>
              <w:t>179</w:t>
            </w:r>
          </w:p>
        </w:tc>
      </w:tr>
      <w:tr w:rsidR="00105402" w:rsidRPr="00925BCD" w14:paraId="260408F9" w14:textId="0694CA11" w:rsidTr="008B3738">
        <w:trPr>
          <w:trHeight w:val="510"/>
        </w:trPr>
        <w:tc>
          <w:tcPr>
            <w:tcW w:w="4141" w:type="dxa"/>
            <w:tcBorders>
              <w:left w:val="single" w:sz="4" w:space="0" w:color="000000"/>
              <w:bottom w:val="single" w:sz="4" w:space="0" w:color="000000"/>
              <w:right w:val="single" w:sz="4" w:space="0" w:color="000000"/>
            </w:tcBorders>
            <w:shd w:val="clear" w:color="auto" w:fill="auto"/>
            <w:vAlign w:val="center"/>
          </w:tcPr>
          <w:p w14:paraId="5813C40F"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opryskiwacze wyposażone w belkę opryskową, montowane na pojazdach kolejowych</w:t>
            </w:r>
          </w:p>
        </w:tc>
        <w:tc>
          <w:tcPr>
            <w:tcW w:w="984" w:type="dxa"/>
            <w:tcBorders>
              <w:bottom w:val="single" w:sz="4" w:space="0" w:color="000000"/>
              <w:right w:val="single" w:sz="4" w:space="0" w:color="000000"/>
            </w:tcBorders>
            <w:vAlign w:val="center"/>
          </w:tcPr>
          <w:p w14:paraId="09555FCD"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66</w:t>
            </w:r>
          </w:p>
        </w:tc>
        <w:tc>
          <w:tcPr>
            <w:tcW w:w="984" w:type="dxa"/>
            <w:tcBorders>
              <w:bottom w:val="single" w:sz="4" w:space="0" w:color="000000"/>
              <w:right w:val="single" w:sz="4" w:space="0" w:color="000000"/>
            </w:tcBorders>
            <w:vAlign w:val="center"/>
          </w:tcPr>
          <w:p w14:paraId="2B48E19D"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67</w:t>
            </w:r>
          </w:p>
        </w:tc>
        <w:tc>
          <w:tcPr>
            <w:tcW w:w="984" w:type="dxa"/>
            <w:tcBorders>
              <w:bottom w:val="single" w:sz="4" w:space="0" w:color="000000"/>
              <w:right w:val="single" w:sz="4" w:space="0" w:color="000000"/>
            </w:tcBorders>
            <w:vAlign w:val="center"/>
          </w:tcPr>
          <w:p w14:paraId="1C75D3CB" w14:textId="119ADACB" w:rsidR="00105402" w:rsidRPr="00536D65" w:rsidRDefault="00105402" w:rsidP="0086664B">
            <w:pPr>
              <w:jc w:val="center"/>
              <w:rPr>
                <w:rFonts w:ascii="Arial" w:hAnsi="Arial" w:cs="Arial"/>
                <w:sz w:val="20"/>
                <w:szCs w:val="20"/>
              </w:rPr>
            </w:pPr>
            <w:r w:rsidRPr="00536D65">
              <w:rPr>
                <w:rFonts w:ascii="Arial" w:hAnsi="Arial" w:cs="Arial"/>
                <w:sz w:val="20"/>
                <w:szCs w:val="20"/>
              </w:rPr>
              <w:t>72</w:t>
            </w:r>
          </w:p>
        </w:tc>
        <w:tc>
          <w:tcPr>
            <w:tcW w:w="984" w:type="dxa"/>
            <w:tcBorders>
              <w:bottom w:val="single" w:sz="4" w:space="0" w:color="000000"/>
              <w:right w:val="single" w:sz="4" w:space="0" w:color="000000"/>
            </w:tcBorders>
            <w:vAlign w:val="center"/>
          </w:tcPr>
          <w:p w14:paraId="0C5F49C0" w14:textId="25DB5D22" w:rsidR="00105402" w:rsidRPr="00536D65" w:rsidRDefault="00105402" w:rsidP="00E244AB">
            <w:pPr>
              <w:jc w:val="center"/>
              <w:rPr>
                <w:rFonts w:ascii="Arial" w:hAnsi="Arial" w:cs="Arial"/>
                <w:bCs/>
                <w:sz w:val="20"/>
                <w:szCs w:val="20"/>
              </w:rPr>
            </w:pPr>
            <w:r w:rsidRPr="00536D65">
              <w:rPr>
                <w:rFonts w:ascii="Arial" w:hAnsi="Arial" w:cs="Arial"/>
                <w:bCs/>
                <w:sz w:val="20"/>
                <w:szCs w:val="20"/>
              </w:rPr>
              <w:t>69</w:t>
            </w:r>
          </w:p>
        </w:tc>
        <w:tc>
          <w:tcPr>
            <w:tcW w:w="985" w:type="dxa"/>
            <w:tcBorders>
              <w:bottom w:val="single" w:sz="4" w:space="0" w:color="000000"/>
              <w:right w:val="single" w:sz="4" w:space="0" w:color="000000"/>
            </w:tcBorders>
            <w:vAlign w:val="center"/>
          </w:tcPr>
          <w:p w14:paraId="15189810" w14:textId="002A04AE" w:rsidR="00105402" w:rsidRPr="00536D65" w:rsidRDefault="00C520F7" w:rsidP="008B3738">
            <w:pPr>
              <w:jc w:val="center"/>
              <w:rPr>
                <w:rFonts w:ascii="Arial" w:hAnsi="Arial" w:cs="Arial"/>
                <w:bCs/>
                <w:sz w:val="20"/>
                <w:szCs w:val="20"/>
              </w:rPr>
            </w:pPr>
            <w:r>
              <w:rPr>
                <w:rFonts w:ascii="Arial" w:hAnsi="Arial" w:cs="Arial"/>
                <w:bCs/>
                <w:sz w:val="20"/>
                <w:szCs w:val="20"/>
              </w:rPr>
              <w:t>76</w:t>
            </w:r>
          </w:p>
        </w:tc>
      </w:tr>
      <w:tr w:rsidR="00105402" w:rsidRPr="00925BCD" w14:paraId="446B1AA0" w14:textId="686FC1FB" w:rsidTr="008B3738">
        <w:trPr>
          <w:trHeight w:val="510"/>
        </w:trPr>
        <w:tc>
          <w:tcPr>
            <w:tcW w:w="4141" w:type="dxa"/>
            <w:tcBorders>
              <w:left w:val="single" w:sz="4" w:space="0" w:color="000000"/>
              <w:bottom w:val="single" w:sz="4" w:space="0" w:color="000000"/>
              <w:right w:val="single" w:sz="4" w:space="0" w:color="000000"/>
            </w:tcBorders>
            <w:shd w:val="clear" w:color="auto" w:fill="auto"/>
            <w:vAlign w:val="center"/>
          </w:tcPr>
          <w:p w14:paraId="03D8F022"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inny sprzęt przeznaczony do stosowania śor montowany na pojazdach kolejowych</w:t>
            </w:r>
          </w:p>
        </w:tc>
        <w:tc>
          <w:tcPr>
            <w:tcW w:w="984" w:type="dxa"/>
            <w:tcBorders>
              <w:bottom w:val="single" w:sz="4" w:space="0" w:color="000000"/>
              <w:right w:val="single" w:sz="4" w:space="0" w:color="000000"/>
            </w:tcBorders>
            <w:vAlign w:val="center"/>
          </w:tcPr>
          <w:p w14:paraId="3480FA41"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55</w:t>
            </w:r>
          </w:p>
        </w:tc>
        <w:tc>
          <w:tcPr>
            <w:tcW w:w="984" w:type="dxa"/>
            <w:tcBorders>
              <w:bottom w:val="single" w:sz="4" w:space="0" w:color="000000"/>
              <w:right w:val="single" w:sz="4" w:space="0" w:color="000000"/>
            </w:tcBorders>
            <w:vAlign w:val="center"/>
          </w:tcPr>
          <w:p w14:paraId="530D6867"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53</w:t>
            </w:r>
          </w:p>
        </w:tc>
        <w:tc>
          <w:tcPr>
            <w:tcW w:w="984" w:type="dxa"/>
            <w:tcBorders>
              <w:bottom w:val="single" w:sz="4" w:space="0" w:color="000000"/>
              <w:right w:val="single" w:sz="4" w:space="0" w:color="000000"/>
            </w:tcBorders>
            <w:vAlign w:val="center"/>
          </w:tcPr>
          <w:p w14:paraId="2297CAE6" w14:textId="2E958A36" w:rsidR="00105402" w:rsidRPr="00536D65" w:rsidRDefault="00105402" w:rsidP="0086664B">
            <w:pPr>
              <w:jc w:val="center"/>
              <w:rPr>
                <w:rFonts w:ascii="Arial" w:hAnsi="Arial" w:cs="Arial"/>
                <w:sz w:val="20"/>
                <w:szCs w:val="20"/>
              </w:rPr>
            </w:pPr>
            <w:r w:rsidRPr="00536D65">
              <w:rPr>
                <w:rFonts w:ascii="Arial" w:hAnsi="Arial" w:cs="Arial"/>
                <w:sz w:val="20"/>
                <w:szCs w:val="20"/>
              </w:rPr>
              <w:t>50</w:t>
            </w:r>
          </w:p>
        </w:tc>
        <w:tc>
          <w:tcPr>
            <w:tcW w:w="984" w:type="dxa"/>
            <w:tcBorders>
              <w:bottom w:val="single" w:sz="4" w:space="0" w:color="000000"/>
              <w:right w:val="single" w:sz="4" w:space="0" w:color="000000"/>
            </w:tcBorders>
            <w:vAlign w:val="center"/>
          </w:tcPr>
          <w:p w14:paraId="259B8239" w14:textId="2E48B37D" w:rsidR="00105402" w:rsidRPr="00536D65" w:rsidRDefault="00105402" w:rsidP="00E244AB">
            <w:pPr>
              <w:jc w:val="center"/>
              <w:rPr>
                <w:rFonts w:ascii="Arial" w:hAnsi="Arial" w:cs="Arial"/>
                <w:bCs/>
                <w:sz w:val="20"/>
                <w:szCs w:val="20"/>
              </w:rPr>
            </w:pPr>
            <w:r w:rsidRPr="00536D65">
              <w:rPr>
                <w:rFonts w:ascii="Arial" w:hAnsi="Arial" w:cs="Arial"/>
                <w:bCs/>
                <w:sz w:val="20"/>
                <w:szCs w:val="20"/>
              </w:rPr>
              <w:t>53</w:t>
            </w:r>
          </w:p>
        </w:tc>
        <w:tc>
          <w:tcPr>
            <w:tcW w:w="985" w:type="dxa"/>
            <w:tcBorders>
              <w:bottom w:val="single" w:sz="4" w:space="0" w:color="000000"/>
              <w:right w:val="single" w:sz="4" w:space="0" w:color="000000"/>
            </w:tcBorders>
            <w:vAlign w:val="center"/>
          </w:tcPr>
          <w:p w14:paraId="2271A9AE" w14:textId="56D8924B" w:rsidR="00105402" w:rsidRPr="00536D65" w:rsidRDefault="00776433" w:rsidP="008B3738">
            <w:pPr>
              <w:jc w:val="center"/>
              <w:rPr>
                <w:rFonts w:ascii="Arial" w:hAnsi="Arial" w:cs="Arial"/>
                <w:bCs/>
                <w:sz w:val="20"/>
                <w:szCs w:val="20"/>
              </w:rPr>
            </w:pPr>
            <w:r>
              <w:rPr>
                <w:rFonts w:ascii="Arial" w:hAnsi="Arial" w:cs="Arial"/>
                <w:bCs/>
                <w:sz w:val="20"/>
                <w:szCs w:val="20"/>
              </w:rPr>
              <w:t>62</w:t>
            </w:r>
          </w:p>
        </w:tc>
      </w:tr>
      <w:tr w:rsidR="00105402" w:rsidRPr="00925BCD" w14:paraId="45781CB5" w14:textId="40225A78" w:rsidTr="008B3738">
        <w:trPr>
          <w:trHeight w:val="300"/>
        </w:trPr>
        <w:tc>
          <w:tcPr>
            <w:tcW w:w="4141" w:type="dxa"/>
            <w:tcBorders>
              <w:left w:val="single" w:sz="4" w:space="0" w:color="000000"/>
              <w:bottom w:val="single" w:sz="4" w:space="0" w:color="000000"/>
              <w:right w:val="single" w:sz="4" w:space="0" w:color="000000"/>
            </w:tcBorders>
            <w:shd w:val="clear" w:color="auto" w:fill="auto"/>
            <w:vAlign w:val="center"/>
          </w:tcPr>
          <w:p w14:paraId="5BE9327B"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sprzęt agrolotniczy</w:t>
            </w:r>
          </w:p>
        </w:tc>
        <w:tc>
          <w:tcPr>
            <w:tcW w:w="984" w:type="dxa"/>
            <w:tcBorders>
              <w:bottom w:val="single" w:sz="4" w:space="0" w:color="000000"/>
              <w:right w:val="single" w:sz="4" w:space="0" w:color="000000"/>
            </w:tcBorders>
            <w:vAlign w:val="center"/>
          </w:tcPr>
          <w:p w14:paraId="1C428808"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14</w:t>
            </w:r>
          </w:p>
        </w:tc>
        <w:tc>
          <w:tcPr>
            <w:tcW w:w="984" w:type="dxa"/>
            <w:tcBorders>
              <w:bottom w:val="single" w:sz="4" w:space="0" w:color="000000"/>
              <w:right w:val="single" w:sz="4" w:space="0" w:color="000000"/>
            </w:tcBorders>
            <w:vAlign w:val="center"/>
          </w:tcPr>
          <w:p w14:paraId="3F694B3C"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15</w:t>
            </w:r>
          </w:p>
        </w:tc>
        <w:tc>
          <w:tcPr>
            <w:tcW w:w="984" w:type="dxa"/>
            <w:tcBorders>
              <w:bottom w:val="single" w:sz="4" w:space="0" w:color="000000"/>
              <w:right w:val="single" w:sz="4" w:space="0" w:color="000000"/>
            </w:tcBorders>
            <w:vAlign w:val="center"/>
          </w:tcPr>
          <w:p w14:paraId="6D4F21A4" w14:textId="79E37FF4" w:rsidR="00105402" w:rsidRPr="00536D65" w:rsidRDefault="00105402" w:rsidP="0086664B">
            <w:pPr>
              <w:jc w:val="center"/>
              <w:rPr>
                <w:rFonts w:ascii="Arial" w:hAnsi="Arial" w:cs="Arial"/>
                <w:sz w:val="20"/>
                <w:szCs w:val="20"/>
              </w:rPr>
            </w:pPr>
            <w:r w:rsidRPr="00536D65">
              <w:rPr>
                <w:rFonts w:ascii="Arial" w:hAnsi="Arial" w:cs="Arial"/>
                <w:sz w:val="20"/>
                <w:szCs w:val="20"/>
              </w:rPr>
              <w:t>15</w:t>
            </w:r>
          </w:p>
        </w:tc>
        <w:tc>
          <w:tcPr>
            <w:tcW w:w="984" w:type="dxa"/>
            <w:tcBorders>
              <w:bottom w:val="single" w:sz="4" w:space="0" w:color="000000"/>
              <w:right w:val="single" w:sz="4" w:space="0" w:color="000000"/>
            </w:tcBorders>
            <w:vAlign w:val="center"/>
          </w:tcPr>
          <w:p w14:paraId="6DEFCAC9" w14:textId="7EDE816D" w:rsidR="00105402" w:rsidRPr="00536D65" w:rsidRDefault="00105402" w:rsidP="00E244AB">
            <w:pPr>
              <w:jc w:val="center"/>
              <w:rPr>
                <w:rFonts w:ascii="Arial" w:hAnsi="Arial" w:cs="Arial"/>
                <w:bCs/>
                <w:sz w:val="20"/>
                <w:szCs w:val="20"/>
              </w:rPr>
            </w:pPr>
            <w:r w:rsidRPr="00536D65">
              <w:rPr>
                <w:rFonts w:ascii="Arial" w:hAnsi="Arial" w:cs="Arial"/>
                <w:bCs/>
                <w:sz w:val="20"/>
                <w:szCs w:val="20"/>
              </w:rPr>
              <w:t>16</w:t>
            </w:r>
          </w:p>
        </w:tc>
        <w:tc>
          <w:tcPr>
            <w:tcW w:w="985" w:type="dxa"/>
            <w:tcBorders>
              <w:bottom w:val="single" w:sz="4" w:space="0" w:color="000000"/>
              <w:right w:val="single" w:sz="4" w:space="0" w:color="000000"/>
            </w:tcBorders>
            <w:vAlign w:val="center"/>
          </w:tcPr>
          <w:p w14:paraId="00F572FB" w14:textId="071505EB" w:rsidR="00105402" w:rsidRPr="00536D65" w:rsidRDefault="00776433" w:rsidP="008B3738">
            <w:pPr>
              <w:jc w:val="center"/>
              <w:rPr>
                <w:rFonts w:ascii="Arial" w:hAnsi="Arial" w:cs="Arial"/>
                <w:bCs/>
                <w:sz w:val="20"/>
                <w:szCs w:val="20"/>
              </w:rPr>
            </w:pPr>
            <w:r>
              <w:rPr>
                <w:rFonts w:ascii="Arial" w:hAnsi="Arial" w:cs="Arial"/>
                <w:bCs/>
                <w:sz w:val="20"/>
                <w:szCs w:val="20"/>
              </w:rPr>
              <w:t>18</w:t>
            </w:r>
          </w:p>
        </w:tc>
      </w:tr>
      <w:tr w:rsidR="00105402" w:rsidRPr="00925BCD" w14:paraId="2F3E83AA" w14:textId="7CE31CE0" w:rsidTr="008B3738">
        <w:trPr>
          <w:trHeight w:val="510"/>
        </w:trPr>
        <w:tc>
          <w:tcPr>
            <w:tcW w:w="4141" w:type="dxa"/>
            <w:tcBorders>
              <w:left w:val="single" w:sz="4" w:space="0" w:color="000000"/>
              <w:bottom w:val="single" w:sz="4" w:space="0" w:color="000000"/>
              <w:right w:val="single" w:sz="4" w:space="0" w:color="000000"/>
            </w:tcBorders>
            <w:shd w:val="clear" w:color="auto" w:fill="auto"/>
            <w:vAlign w:val="center"/>
          </w:tcPr>
          <w:p w14:paraId="2BF2126A"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urządzenia przeznaczone do zaprawiania nasion, inne niż przemysłowe</w:t>
            </w:r>
          </w:p>
        </w:tc>
        <w:tc>
          <w:tcPr>
            <w:tcW w:w="984" w:type="dxa"/>
            <w:tcBorders>
              <w:bottom w:val="single" w:sz="4" w:space="0" w:color="000000"/>
              <w:right w:val="single" w:sz="4" w:space="0" w:color="000000"/>
            </w:tcBorders>
            <w:vAlign w:val="center"/>
          </w:tcPr>
          <w:p w14:paraId="00B92B01"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142</w:t>
            </w:r>
          </w:p>
        </w:tc>
        <w:tc>
          <w:tcPr>
            <w:tcW w:w="984" w:type="dxa"/>
            <w:tcBorders>
              <w:bottom w:val="single" w:sz="4" w:space="0" w:color="000000"/>
              <w:right w:val="single" w:sz="4" w:space="0" w:color="000000"/>
            </w:tcBorders>
            <w:vAlign w:val="center"/>
          </w:tcPr>
          <w:p w14:paraId="5AB36535"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141</w:t>
            </w:r>
          </w:p>
        </w:tc>
        <w:tc>
          <w:tcPr>
            <w:tcW w:w="984" w:type="dxa"/>
            <w:tcBorders>
              <w:bottom w:val="single" w:sz="4" w:space="0" w:color="000000"/>
              <w:right w:val="single" w:sz="4" w:space="0" w:color="000000"/>
            </w:tcBorders>
            <w:vAlign w:val="center"/>
          </w:tcPr>
          <w:p w14:paraId="67E4E8A0" w14:textId="5FDDB70D" w:rsidR="00105402" w:rsidRPr="00536D65" w:rsidRDefault="00105402" w:rsidP="0086664B">
            <w:pPr>
              <w:jc w:val="center"/>
              <w:rPr>
                <w:rFonts w:ascii="Arial" w:hAnsi="Arial" w:cs="Arial"/>
                <w:sz w:val="20"/>
                <w:szCs w:val="20"/>
              </w:rPr>
            </w:pPr>
            <w:r w:rsidRPr="00536D65">
              <w:rPr>
                <w:rFonts w:ascii="Arial" w:hAnsi="Arial" w:cs="Arial"/>
                <w:sz w:val="20"/>
                <w:szCs w:val="20"/>
              </w:rPr>
              <w:t>146</w:t>
            </w:r>
          </w:p>
        </w:tc>
        <w:tc>
          <w:tcPr>
            <w:tcW w:w="984" w:type="dxa"/>
            <w:tcBorders>
              <w:bottom w:val="single" w:sz="4" w:space="0" w:color="000000"/>
              <w:right w:val="single" w:sz="4" w:space="0" w:color="000000"/>
            </w:tcBorders>
            <w:vAlign w:val="center"/>
          </w:tcPr>
          <w:p w14:paraId="6E206C47" w14:textId="13C3C5B4" w:rsidR="00105402" w:rsidRPr="00536D65" w:rsidRDefault="00105402" w:rsidP="00E244AB">
            <w:pPr>
              <w:jc w:val="center"/>
              <w:rPr>
                <w:rFonts w:ascii="Arial" w:hAnsi="Arial" w:cs="Arial"/>
                <w:bCs/>
                <w:sz w:val="20"/>
                <w:szCs w:val="20"/>
              </w:rPr>
            </w:pPr>
            <w:r w:rsidRPr="00536D65">
              <w:rPr>
                <w:rFonts w:ascii="Arial" w:hAnsi="Arial" w:cs="Arial"/>
                <w:bCs/>
                <w:sz w:val="20"/>
                <w:szCs w:val="20"/>
              </w:rPr>
              <w:t>144</w:t>
            </w:r>
          </w:p>
        </w:tc>
        <w:tc>
          <w:tcPr>
            <w:tcW w:w="985" w:type="dxa"/>
            <w:tcBorders>
              <w:bottom w:val="single" w:sz="4" w:space="0" w:color="000000"/>
              <w:right w:val="single" w:sz="4" w:space="0" w:color="000000"/>
            </w:tcBorders>
            <w:vAlign w:val="center"/>
          </w:tcPr>
          <w:p w14:paraId="2FD7A9CC" w14:textId="5B16FA8E" w:rsidR="00105402" w:rsidRPr="00536D65" w:rsidRDefault="00776433" w:rsidP="008B3738">
            <w:pPr>
              <w:jc w:val="center"/>
              <w:rPr>
                <w:rFonts w:ascii="Arial" w:hAnsi="Arial" w:cs="Arial"/>
                <w:bCs/>
                <w:sz w:val="20"/>
                <w:szCs w:val="20"/>
              </w:rPr>
            </w:pPr>
            <w:r>
              <w:rPr>
                <w:rFonts w:ascii="Arial" w:hAnsi="Arial" w:cs="Arial"/>
                <w:bCs/>
                <w:sz w:val="20"/>
                <w:szCs w:val="20"/>
              </w:rPr>
              <w:t>156</w:t>
            </w:r>
          </w:p>
        </w:tc>
      </w:tr>
      <w:tr w:rsidR="00105402" w:rsidRPr="00925BCD" w14:paraId="3B562D96" w14:textId="0A0F4401" w:rsidTr="008B3738">
        <w:trPr>
          <w:trHeight w:val="765"/>
        </w:trPr>
        <w:tc>
          <w:tcPr>
            <w:tcW w:w="4141" w:type="dxa"/>
            <w:tcBorders>
              <w:left w:val="single" w:sz="4" w:space="0" w:color="000000"/>
              <w:bottom w:val="single" w:sz="4" w:space="0" w:color="000000"/>
              <w:right w:val="single" w:sz="4" w:space="0" w:color="000000"/>
            </w:tcBorders>
            <w:shd w:val="clear" w:color="auto" w:fill="auto"/>
            <w:vAlign w:val="center"/>
          </w:tcPr>
          <w:p w14:paraId="0C4DD4CC"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instalacje przeznaczone do stosowania śor w formie oprysku lub zamgławiania w szklarniach lub tunelach foliowych</w:t>
            </w:r>
          </w:p>
        </w:tc>
        <w:tc>
          <w:tcPr>
            <w:tcW w:w="984" w:type="dxa"/>
            <w:tcBorders>
              <w:bottom w:val="single" w:sz="4" w:space="0" w:color="000000"/>
              <w:right w:val="single" w:sz="4" w:space="0" w:color="000000"/>
            </w:tcBorders>
            <w:vAlign w:val="center"/>
          </w:tcPr>
          <w:p w14:paraId="20E946E4"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123</w:t>
            </w:r>
          </w:p>
        </w:tc>
        <w:tc>
          <w:tcPr>
            <w:tcW w:w="984" w:type="dxa"/>
            <w:tcBorders>
              <w:bottom w:val="single" w:sz="4" w:space="0" w:color="000000"/>
              <w:right w:val="single" w:sz="4" w:space="0" w:color="000000"/>
            </w:tcBorders>
            <w:vAlign w:val="center"/>
          </w:tcPr>
          <w:p w14:paraId="305155D2" w14:textId="77777777" w:rsidR="00105402" w:rsidRPr="00536D65" w:rsidRDefault="00105402" w:rsidP="00B075F3">
            <w:pPr>
              <w:jc w:val="center"/>
              <w:rPr>
                <w:rFonts w:ascii="Arial" w:hAnsi="Arial" w:cs="Arial"/>
                <w:color w:val="000000"/>
                <w:sz w:val="20"/>
                <w:szCs w:val="20"/>
              </w:rPr>
            </w:pPr>
            <w:r w:rsidRPr="00536D65">
              <w:rPr>
                <w:rFonts w:ascii="Arial" w:hAnsi="Arial" w:cs="Arial"/>
                <w:color w:val="000000"/>
                <w:sz w:val="20"/>
                <w:szCs w:val="20"/>
              </w:rPr>
              <w:t>119</w:t>
            </w:r>
          </w:p>
        </w:tc>
        <w:tc>
          <w:tcPr>
            <w:tcW w:w="984" w:type="dxa"/>
            <w:tcBorders>
              <w:bottom w:val="single" w:sz="4" w:space="0" w:color="000000"/>
              <w:right w:val="single" w:sz="4" w:space="0" w:color="000000"/>
            </w:tcBorders>
            <w:vAlign w:val="center"/>
          </w:tcPr>
          <w:p w14:paraId="1E924318" w14:textId="055DE55A" w:rsidR="00105402" w:rsidRPr="00536D65" w:rsidRDefault="00105402" w:rsidP="0086664B">
            <w:pPr>
              <w:jc w:val="center"/>
              <w:rPr>
                <w:rFonts w:ascii="Arial" w:hAnsi="Arial" w:cs="Arial"/>
                <w:sz w:val="20"/>
                <w:szCs w:val="20"/>
              </w:rPr>
            </w:pPr>
            <w:r w:rsidRPr="00536D65">
              <w:rPr>
                <w:rFonts w:ascii="Arial" w:hAnsi="Arial" w:cs="Arial"/>
                <w:sz w:val="20"/>
                <w:szCs w:val="20"/>
              </w:rPr>
              <w:t>121</w:t>
            </w:r>
          </w:p>
        </w:tc>
        <w:tc>
          <w:tcPr>
            <w:tcW w:w="984" w:type="dxa"/>
            <w:tcBorders>
              <w:bottom w:val="single" w:sz="4" w:space="0" w:color="000000"/>
              <w:right w:val="single" w:sz="4" w:space="0" w:color="000000"/>
            </w:tcBorders>
            <w:vAlign w:val="center"/>
          </w:tcPr>
          <w:p w14:paraId="6FC1B03E" w14:textId="07A7E62A" w:rsidR="00105402" w:rsidRPr="00536D65" w:rsidRDefault="00105402" w:rsidP="00E244AB">
            <w:pPr>
              <w:jc w:val="center"/>
              <w:rPr>
                <w:rFonts w:ascii="Arial" w:hAnsi="Arial" w:cs="Arial"/>
                <w:bCs/>
                <w:sz w:val="20"/>
                <w:szCs w:val="20"/>
              </w:rPr>
            </w:pPr>
            <w:r w:rsidRPr="00536D65">
              <w:rPr>
                <w:rFonts w:ascii="Arial" w:hAnsi="Arial" w:cs="Arial"/>
                <w:bCs/>
                <w:sz w:val="20"/>
                <w:szCs w:val="20"/>
              </w:rPr>
              <w:t>117</w:t>
            </w:r>
          </w:p>
        </w:tc>
        <w:tc>
          <w:tcPr>
            <w:tcW w:w="985" w:type="dxa"/>
            <w:tcBorders>
              <w:bottom w:val="single" w:sz="4" w:space="0" w:color="000000"/>
              <w:right w:val="single" w:sz="4" w:space="0" w:color="000000"/>
            </w:tcBorders>
            <w:vAlign w:val="center"/>
          </w:tcPr>
          <w:p w14:paraId="06B0970F" w14:textId="27307FA0" w:rsidR="00105402" w:rsidRPr="00536D65" w:rsidRDefault="00664B25" w:rsidP="008B3738">
            <w:pPr>
              <w:jc w:val="center"/>
              <w:rPr>
                <w:rFonts w:ascii="Arial" w:hAnsi="Arial" w:cs="Arial"/>
                <w:bCs/>
                <w:sz w:val="20"/>
                <w:szCs w:val="20"/>
              </w:rPr>
            </w:pPr>
            <w:r>
              <w:rPr>
                <w:rFonts w:ascii="Arial" w:hAnsi="Arial" w:cs="Arial"/>
                <w:bCs/>
                <w:sz w:val="20"/>
                <w:szCs w:val="20"/>
              </w:rPr>
              <w:t>129</w:t>
            </w:r>
          </w:p>
        </w:tc>
      </w:tr>
      <w:tr w:rsidR="00105402" w:rsidRPr="00925BCD" w14:paraId="626AF247" w14:textId="784F81BD" w:rsidTr="008B3738">
        <w:trPr>
          <w:trHeight w:val="510"/>
        </w:trPr>
        <w:tc>
          <w:tcPr>
            <w:tcW w:w="4141" w:type="dxa"/>
            <w:tcBorders>
              <w:left w:val="single" w:sz="4" w:space="0" w:color="000000"/>
              <w:bottom w:val="single" w:sz="4" w:space="0" w:color="000000"/>
              <w:right w:val="single" w:sz="4" w:space="0" w:color="000000"/>
            </w:tcBorders>
            <w:shd w:val="clear" w:color="auto" w:fill="auto"/>
            <w:vAlign w:val="center"/>
          </w:tcPr>
          <w:p w14:paraId="741F943A"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t>sprzęt samobieżny lub ciągnikowy przeznaczony do stosowania śor w formie granulatu</w:t>
            </w:r>
          </w:p>
        </w:tc>
        <w:tc>
          <w:tcPr>
            <w:tcW w:w="984" w:type="dxa"/>
            <w:tcBorders>
              <w:bottom w:val="single" w:sz="4" w:space="0" w:color="000000"/>
              <w:right w:val="single" w:sz="4" w:space="0" w:color="000000"/>
            </w:tcBorders>
            <w:vAlign w:val="center"/>
          </w:tcPr>
          <w:p w14:paraId="7A8672DF"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105</w:t>
            </w:r>
          </w:p>
        </w:tc>
        <w:tc>
          <w:tcPr>
            <w:tcW w:w="984" w:type="dxa"/>
            <w:tcBorders>
              <w:bottom w:val="single" w:sz="4" w:space="0" w:color="000000"/>
              <w:right w:val="single" w:sz="4" w:space="0" w:color="000000"/>
            </w:tcBorders>
            <w:vAlign w:val="center"/>
          </w:tcPr>
          <w:p w14:paraId="12F1D451"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103</w:t>
            </w:r>
          </w:p>
        </w:tc>
        <w:tc>
          <w:tcPr>
            <w:tcW w:w="984" w:type="dxa"/>
            <w:tcBorders>
              <w:bottom w:val="single" w:sz="4" w:space="0" w:color="000000"/>
              <w:right w:val="single" w:sz="4" w:space="0" w:color="000000"/>
            </w:tcBorders>
            <w:vAlign w:val="center"/>
          </w:tcPr>
          <w:p w14:paraId="58D6F5D2" w14:textId="70D7A979" w:rsidR="00105402" w:rsidRPr="00536D65" w:rsidRDefault="00105402" w:rsidP="0086664B">
            <w:pPr>
              <w:jc w:val="center"/>
              <w:rPr>
                <w:rFonts w:ascii="Arial" w:hAnsi="Arial" w:cs="Arial"/>
                <w:sz w:val="20"/>
                <w:szCs w:val="20"/>
              </w:rPr>
            </w:pPr>
            <w:r w:rsidRPr="00536D65">
              <w:rPr>
                <w:rFonts w:ascii="Arial" w:hAnsi="Arial" w:cs="Arial"/>
                <w:sz w:val="20"/>
                <w:szCs w:val="20"/>
              </w:rPr>
              <w:t>102</w:t>
            </w:r>
          </w:p>
        </w:tc>
        <w:tc>
          <w:tcPr>
            <w:tcW w:w="984" w:type="dxa"/>
            <w:tcBorders>
              <w:bottom w:val="single" w:sz="4" w:space="0" w:color="000000"/>
              <w:right w:val="single" w:sz="4" w:space="0" w:color="000000"/>
            </w:tcBorders>
            <w:vAlign w:val="center"/>
          </w:tcPr>
          <w:p w14:paraId="4B63EFCE" w14:textId="671CDA79" w:rsidR="00105402" w:rsidRPr="00536D65" w:rsidRDefault="00105402" w:rsidP="00D74BFE">
            <w:pPr>
              <w:jc w:val="center"/>
              <w:rPr>
                <w:rFonts w:ascii="Arial" w:hAnsi="Arial" w:cs="Arial"/>
                <w:bCs/>
                <w:sz w:val="20"/>
                <w:szCs w:val="20"/>
              </w:rPr>
            </w:pPr>
            <w:r w:rsidRPr="00536D65">
              <w:rPr>
                <w:rFonts w:ascii="Arial" w:hAnsi="Arial" w:cs="Arial"/>
                <w:bCs/>
                <w:sz w:val="20"/>
                <w:szCs w:val="20"/>
              </w:rPr>
              <w:t>98</w:t>
            </w:r>
          </w:p>
        </w:tc>
        <w:tc>
          <w:tcPr>
            <w:tcW w:w="985" w:type="dxa"/>
            <w:tcBorders>
              <w:bottom w:val="single" w:sz="4" w:space="0" w:color="000000"/>
              <w:right w:val="single" w:sz="4" w:space="0" w:color="000000"/>
            </w:tcBorders>
            <w:vAlign w:val="center"/>
          </w:tcPr>
          <w:p w14:paraId="1D3116B0" w14:textId="15407642" w:rsidR="00105402" w:rsidRPr="00536D65" w:rsidRDefault="00664B25" w:rsidP="008B3738">
            <w:pPr>
              <w:jc w:val="center"/>
              <w:rPr>
                <w:rFonts w:ascii="Arial" w:hAnsi="Arial" w:cs="Arial"/>
                <w:bCs/>
                <w:sz w:val="20"/>
                <w:szCs w:val="20"/>
              </w:rPr>
            </w:pPr>
            <w:r>
              <w:rPr>
                <w:rFonts w:ascii="Arial" w:hAnsi="Arial" w:cs="Arial"/>
                <w:bCs/>
                <w:sz w:val="20"/>
                <w:szCs w:val="20"/>
              </w:rPr>
              <w:t>106</w:t>
            </w:r>
          </w:p>
        </w:tc>
      </w:tr>
      <w:tr w:rsidR="00105402" w:rsidRPr="00925BCD" w14:paraId="040A716B" w14:textId="3ECBF8D4" w:rsidTr="008B3738">
        <w:trPr>
          <w:trHeight w:val="1020"/>
        </w:trPr>
        <w:tc>
          <w:tcPr>
            <w:tcW w:w="4141" w:type="dxa"/>
            <w:tcBorders>
              <w:left w:val="single" w:sz="4" w:space="0" w:color="000000"/>
              <w:bottom w:val="single" w:sz="4" w:space="0" w:color="000000"/>
              <w:right w:val="single" w:sz="4" w:space="0" w:color="000000"/>
            </w:tcBorders>
            <w:shd w:val="clear" w:color="auto" w:fill="auto"/>
            <w:vAlign w:val="center"/>
          </w:tcPr>
          <w:p w14:paraId="3BDD793E" w14:textId="77777777" w:rsidR="00105402" w:rsidRPr="00536D65" w:rsidRDefault="00105402">
            <w:pPr>
              <w:numPr>
                <w:ilvl w:val="0"/>
                <w:numId w:val="13"/>
              </w:numPr>
              <w:spacing w:after="160" w:line="259" w:lineRule="auto"/>
              <w:ind w:left="634" w:hanging="425"/>
              <w:contextualSpacing/>
              <w:rPr>
                <w:rFonts w:ascii="Arial" w:eastAsia="Calibri" w:hAnsi="Arial" w:cs="Arial"/>
                <w:color w:val="000000"/>
                <w:sz w:val="20"/>
                <w:szCs w:val="20"/>
              </w:rPr>
            </w:pPr>
            <w:r w:rsidRPr="00536D65">
              <w:rPr>
                <w:rFonts w:ascii="Arial" w:eastAsia="Calibri" w:hAnsi="Arial" w:cs="Arial"/>
                <w:color w:val="000000"/>
                <w:sz w:val="20"/>
                <w:szCs w:val="20"/>
              </w:rPr>
              <w:lastRenderedPageBreak/>
              <w:t>sprzęt przeznaczony do stosowania śor w formie oprysku, inny niż wymieniony nie będący opryskiwaczem ręcznym lub plecakowym, którego pojemność zbiornika przekracza 30 litrów</w:t>
            </w:r>
          </w:p>
        </w:tc>
        <w:tc>
          <w:tcPr>
            <w:tcW w:w="984" w:type="dxa"/>
            <w:tcBorders>
              <w:bottom w:val="single" w:sz="4" w:space="0" w:color="000000"/>
              <w:right w:val="single" w:sz="4" w:space="0" w:color="000000"/>
            </w:tcBorders>
            <w:vAlign w:val="center"/>
          </w:tcPr>
          <w:p w14:paraId="3A810522" w14:textId="77777777" w:rsidR="00105402" w:rsidRPr="00536D65" w:rsidRDefault="00105402">
            <w:pPr>
              <w:jc w:val="center"/>
              <w:rPr>
                <w:rFonts w:ascii="Arial" w:hAnsi="Arial" w:cs="Arial"/>
                <w:color w:val="000000"/>
                <w:sz w:val="20"/>
                <w:szCs w:val="20"/>
              </w:rPr>
            </w:pPr>
            <w:r w:rsidRPr="00536D65">
              <w:rPr>
                <w:rFonts w:ascii="Arial" w:hAnsi="Arial" w:cs="Arial"/>
                <w:color w:val="000000"/>
                <w:sz w:val="20"/>
                <w:szCs w:val="20"/>
              </w:rPr>
              <w:t>121</w:t>
            </w:r>
          </w:p>
        </w:tc>
        <w:tc>
          <w:tcPr>
            <w:tcW w:w="984" w:type="dxa"/>
            <w:tcBorders>
              <w:bottom w:val="single" w:sz="4" w:space="0" w:color="000000"/>
              <w:right w:val="single" w:sz="4" w:space="0" w:color="000000"/>
            </w:tcBorders>
            <w:vAlign w:val="center"/>
          </w:tcPr>
          <w:p w14:paraId="02AEB961" w14:textId="77777777" w:rsidR="00105402" w:rsidRPr="00536D65" w:rsidRDefault="00105402" w:rsidP="00C03D4A">
            <w:pPr>
              <w:jc w:val="center"/>
              <w:rPr>
                <w:rFonts w:ascii="Arial" w:hAnsi="Arial" w:cs="Arial"/>
                <w:color w:val="000000"/>
                <w:sz w:val="20"/>
                <w:szCs w:val="20"/>
              </w:rPr>
            </w:pPr>
            <w:r w:rsidRPr="00536D65">
              <w:rPr>
                <w:rFonts w:ascii="Arial" w:hAnsi="Arial" w:cs="Arial"/>
                <w:color w:val="000000"/>
                <w:sz w:val="20"/>
                <w:szCs w:val="20"/>
              </w:rPr>
              <w:t>120</w:t>
            </w:r>
          </w:p>
        </w:tc>
        <w:tc>
          <w:tcPr>
            <w:tcW w:w="984" w:type="dxa"/>
            <w:tcBorders>
              <w:bottom w:val="single" w:sz="4" w:space="0" w:color="000000"/>
              <w:right w:val="single" w:sz="4" w:space="0" w:color="000000"/>
            </w:tcBorders>
            <w:vAlign w:val="center"/>
          </w:tcPr>
          <w:p w14:paraId="4E97184C" w14:textId="1D413233" w:rsidR="00105402" w:rsidRPr="00536D65" w:rsidRDefault="00105402" w:rsidP="0086664B">
            <w:pPr>
              <w:jc w:val="center"/>
              <w:rPr>
                <w:rFonts w:ascii="Arial" w:hAnsi="Arial" w:cs="Arial"/>
                <w:sz w:val="20"/>
                <w:szCs w:val="20"/>
              </w:rPr>
            </w:pPr>
            <w:r w:rsidRPr="00536D65">
              <w:rPr>
                <w:rFonts w:ascii="Arial" w:hAnsi="Arial" w:cs="Arial"/>
                <w:sz w:val="20"/>
                <w:szCs w:val="20"/>
              </w:rPr>
              <w:t>119</w:t>
            </w:r>
          </w:p>
        </w:tc>
        <w:tc>
          <w:tcPr>
            <w:tcW w:w="984" w:type="dxa"/>
            <w:tcBorders>
              <w:bottom w:val="single" w:sz="4" w:space="0" w:color="000000"/>
              <w:right w:val="single" w:sz="4" w:space="0" w:color="000000"/>
            </w:tcBorders>
            <w:vAlign w:val="center"/>
          </w:tcPr>
          <w:p w14:paraId="41FA353E" w14:textId="2408ABA7" w:rsidR="00105402" w:rsidRPr="00536D65" w:rsidRDefault="00105402" w:rsidP="00D74BFE">
            <w:pPr>
              <w:jc w:val="center"/>
              <w:rPr>
                <w:rFonts w:ascii="Arial" w:hAnsi="Arial" w:cs="Arial"/>
                <w:bCs/>
                <w:sz w:val="20"/>
                <w:szCs w:val="20"/>
              </w:rPr>
            </w:pPr>
            <w:r w:rsidRPr="00536D65">
              <w:rPr>
                <w:rFonts w:ascii="Arial" w:hAnsi="Arial" w:cs="Arial"/>
                <w:bCs/>
                <w:sz w:val="20"/>
                <w:szCs w:val="20"/>
              </w:rPr>
              <w:t>114</w:t>
            </w:r>
          </w:p>
        </w:tc>
        <w:tc>
          <w:tcPr>
            <w:tcW w:w="985" w:type="dxa"/>
            <w:tcBorders>
              <w:bottom w:val="single" w:sz="4" w:space="0" w:color="000000"/>
              <w:right w:val="single" w:sz="4" w:space="0" w:color="000000"/>
            </w:tcBorders>
            <w:vAlign w:val="center"/>
          </w:tcPr>
          <w:p w14:paraId="3215B116" w14:textId="50B6F0C4" w:rsidR="00105402" w:rsidRPr="00536D65" w:rsidRDefault="0075704A" w:rsidP="008B3738">
            <w:pPr>
              <w:jc w:val="center"/>
              <w:rPr>
                <w:rFonts w:ascii="Arial" w:hAnsi="Arial" w:cs="Arial"/>
                <w:bCs/>
                <w:sz w:val="20"/>
                <w:szCs w:val="20"/>
              </w:rPr>
            </w:pPr>
            <w:r>
              <w:rPr>
                <w:rFonts w:ascii="Arial" w:hAnsi="Arial" w:cs="Arial"/>
                <w:bCs/>
                <w:sz w:val="20"/>
                <w:szCs w:val="20"/>
              </w:rPr>
              <w:t>123</w:t>
            </w:r>
          </w:p>
        </w:tc>
      </w:tr>
    </w:tbl>
    <w:p w14:paraId="1FADCBAD" w14:textId="784F50F5" w:rsidR="00B075F3" w:rsidRDefault="00B075F3" w:rsidP="00580E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Należy zaznaczyć, jak wskazywano także powyżej, że jeden przedsiębiorca/podmiot mógł być uprawniony do wykonywania badań sprzętu należącego do różnych kategorii.</w:t>
      </w:r>
    </w:p>
    <w:p w14:paraId="78814770" w14:textId="1A0D2D80" w:rsidR="009621AF" w:rsidRDefault="003A22B3" w:rsidP="002B251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Ogólna l</w:t>
      </w:r>
      <w:r w:rsidR="00B075F3" w:rsidRPr="00925BCD">
        <w:rPr>
          <w:rFonts w:ascii="Arial" w:hAnsi="Arial" w:cs="Arial"/>
        </w:rPr>
        <w:t>iczba jednostek posiadających uprawnienia do badania stanu technicznego sprzętu do stosowania środków ochrony roślin</w:t>
      </w:r>
      <w:r w:rsidR="00804D7A" w:rsidRPr="00925BCD">
        <w:rPr>
          <w:rFonts w:ascii="Arial" w:hAnsi="Arial" w:cs="Arial"/>
        </w:rPr>
        <w:t>,</w:t>
      </w:r>
      <w:r w:rsidR="00B075F3" w:rsidRPr="00925BCD">
        <w:rPr>
          <w:rFonts w:ascii="Arial" w:hAnsi="Arial" w:cs="Arial"/>
        </w:rPr>
        <w:t xml:space="preserve"> mimo </w:t>
      </w:r>
      <w:r w:rsidR="00807085">
        <w:rPr>
          <w:rFonts w:ascii="Arial" w:hAnsi="Arial" w:cs="Arial"/>
        </w:rPr>
        <w:t xml:space="preserve">kolejnego </w:t>
      </w:r>
      <w:r w:rsidR="00B075F3" w:rsidRPr="00925BCD">
        <w:rPr>
          <w:rFonts w:ascii="Arial" w:hAnsi="Arial" w:cs="Arial"/>
        </w:rPr>
        <w:t>spadku w 20</w:t>
      </w:r>
      <w:r w:rsidR="00807085">
        <w:rPr>
          <w:rFonts w:ascii="Arial" w:hAnsi="Arial" w:cs="Arial"/>
        </w:rPr>
        <w:t>2</w:t>
      </w:r>
      <w:r w:rsidR="00C00F06">
        <w:rPr>
          <w:rFonts w:ascii="Arial" w:hAnsi="Arial" w:cs="Arial"/>
        </w:rPr>
        <w:t>2</w:t>
      </w:r>
      <w:r w:rsidR="00B075F3" w:rsidRPr="00925BCD">
        <w:rPr>
          <w:rFonts w:ascii="Arial" w:hAnsi="Arial" w:cs="Arial"/>
        </w:rPr>
        <w:t xml:space="preserve"> r.</w:t>
      </w:r>
      <w:r w:rsidR="005877FF" w:rsidRPr="00925BCD">
        <w:rPr>
          <w:rFonts w:ascii="Arial" w:hAnsi="Arial" w:cs="Arial"/>
        </w:rPr>
        <w:t>,</w:t>
      </w:r>
      <w:r w:rsidR="00B075F3" w:rsidRPr="00925BCD">
        <w:rPr>
          <w:rFonts w:ascii="Arial" w:hAnsi="Arial" w:cs="Arial"/>
        </w:rPr>
        <w:t xml:space="preserve"> zapewnia możliwość dostępu do takich badań zainteresowanym podmiotom.</w:t>
      </w:r>
      <w:r w:rsidR="001B4131">
        <w:rPr>
          <w:rFonts w:ascii="Arial" w:hAnsi="Arial" w:cs="Arial"/>
        </w:rPr>
        <w:t xml:space="preserve"> Spadek ten może być zwiany z faktem, iż od dnia </w:t>
      </w:r>
      <w:r w:rsidR="001B4131" w:rsidRPr="001B4131">
        <w:rPr>
          <w:rFonts w:ascii="Arial" w:hAnsi="Arial" w:cs="Arial"/>
        </w:rPr>
        <w:t>1</w:t>
      </w:r>
      <w:r>
        <w:rPr>
          <w:rFonts w:ascii="Arial" w:hAnsi="Arial" w:cs="Arial"/>
        </w:rPr>
        <w:t> </w:t>
      </w:r>
      <w:r w:rsidR="001B4131">
        <w:rPr>
          <w:rFonts w:ascii="Arial" w:hAnsi="Arial" w:cs="Arial"/>
        </w:rPr>
        <w:t>stycznia 2021 r. jedyną dopuszczalną metodą badania sprawności technicznej opryskiwaczy polowych jest p</w:t>
      </w:r>
      <w:r w:rsidR="001B4131" w:rsidRPr="001B4131">
        <w:rPr>
          <w:rFonts w:ascii="Arial" w:hAnsi="Arial" w:cs="Arial"/>
        </w:rPr>
        <w:t>omiar nierównomierności rozkładu poprzecznego cieczy</w:t>
      </w:r>
      <w:r w:rsidR="001B4131">
        <w:rPr>
          <w:rFonts w:ascii="Arial" w:hAnsi="Arial" w:cs="Arial"/>
        </w:rPr>
        <w:t xml:space="preserve"> roboczej – wykluczona została alternatywna metoda badania natężenia wypływu cieczy z poszczególnych rozpylaczy</w:t>
      </w:r>
      <w:r w:rsidR="001B4131" w:rsidRPr="001B4131">
        <w:rPr>
          <w:rFonts w:ascii="Arial" w:hAnsi="Arial" w:cs="Arial"/>
        </w:rPr>
        <w:t>.</w:t>
      </w:r>
      <w:r w:rsidR="001B4131">
        <w:rPr>
          <w:rFonts w:ascii="Arial" w:hAnsi="Arial" w:cs="Arial"/>
        </w:rPr>
        <w:t xml:space="preserve"> Wykluczono także możliwość stosowania niestandardowych stołów rowkowych. Rozwiązania te ujednoliciło i</w:t>
      </w:r>
      <w:r w:rsidR="00DB62B4">
        <w:rPr>
          <w:rFonts w:ascii="Arial" w:hAnsi="Arial" w:cs="Arial"/>
        </w:rPr>
        <w:t> </w:t>
      </w:r>
      <w:r w:rsidR="001B4131">
        <w:rPr>
          <w:rFonts w:ascii="Arial" w:hAnsi="Arial" w:cs="Arial"/>
        </w:rPr>
        <w:t>podniosło jakość badań prowadzonych przez poszczególne jednostki.</w:t>
      </w:r>
    </w:p>
    <w:p w14:paraId="574E47AF" w14:textId="1FB6F7CC"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przeprowadzono ogółem 64 955 badań sprzętu przeznaczonego do stosowania środków ochrony roślin, z czego pozytywnym wynikiem zakończono 64 951 badań. </w:t>
      </w:r>
      <w:r w:rsidR="005877FF" w:rsidRPr="00925BCD">
        <w:rPr>
          <w:rFonts w:ascii="Arial" w:hAnsi="Arial" w:cs="Arial"/>
        </w:rPr>
        <w:t xml:space="preserve">Natomiast w </w:t>
      </w:r>
      <w:r w:rsidRPr="00925BCD">
        <w:rPr>
          <w:rFonts w:ascii="Arial" w:hAnsi="Arial" w:cs="Arial"/>
        </w:rPr>
        <w:t>2019 r.</w:t>
      </w:r>
      <w:r w:rsidR="00D74BFE">
        <w:rPr>
          <w:rFonts w:ascii="Arial" w:hAnsi="Arial" w:cs="Arial"/>
        </w:rPr>
        <w:t>,</w:t>
      </w:r>
      <w:r w:rsidR="00807085">
        <w:rPr>
          <w:rFonts w:ascii="Arial" w:hAnsi="Arial" w:cs="Arial"/>
        </w:rPr>
        <w:t xml:space="preserve"> 2020</w:t>
      </w:r>
      <w:r w:rsidR="00BE36A1">
        <w:rPr>
          <w:rFonts w:ascii="Arial" w:hAnsi="Arial" w:cs="Arial"/>
        </w:rPr>
        <w:t> </w:t>
      </w:r>
      <w:r w:rsidR="00807085">
        <w:rPr>
          <w:rFonts w:ascii="Arial" w:hAnsi="Arial" w:cs="Arial"/>
        </w:rPr>
        <w:t>r.</w:t>
      </w:r>
      <w:r w:rsidR="00BE36A1">
        <w:rPr>
          <w:rFonts w:ascii="Arial" w:hAnsi="Arial" w:cs="Arial"/>
        </w:rPr>
        <w:t>,</w:t>
      </w:r>
      <w:r w:rsidR="00D74BFE">
        <w:rPr>
          <w:rFonts w:ascii="Arial" w:hAnsi="Arial" w:cs="Arial"/>
        </w:rPr>
        <w:t xml:space="preserve"> 2021</w:t>
      </w:r>
      <w:r w:rsidR="00050D25">
        <w:rPr>
          <w:rFonts w:ascii="Arial" w:hAnsi="Arial" w:cs="Arial"/>
        </w:rPr>
        <w:t> </w:t>
      </w:r>
      <w:r w:rsidR="00D74BFE">
        <w:rPr>
          <w:rFonts w:ascii="Arial" w:hAnsi="Arial" w:cs="Arial"/>
        </w:rPr>
        <w:t>r.</w:t>
      </w:r>
      <w:r w:rsidR="00050D25">
        <w:rPr>
          <w:rFonts w:ascii="Arial" w:hAnsi="Arial" w:cs="Arial"/>
        </w:rPr>
        <w:t xml:space="preserve"> </w:t>
      </w:r>
      <w:r w:rsidR="00BE36A1">
        <w:rPr>
          <w:rFonts w:ascii="Arial" w:hAnsi="Arial" w:cs="Arial"/>
        </w:rPr>
        <w:t>i 2022</w:t>
      </w:r>
      <w:r w:rsidR="00050D25">
        <w:rPr>
          <w:rFonts w:ascii="Arial" w:hAnsi="Arial" w:cs="Arial"/>
        </w:rPr>
        <w:t> </w:t>
      </w:r>
      <w:r w:rsidR="00BE36A1">
        <w:rPr>
          <w:rFonts w:ascii="Arial" w:hAnsi="Arial" w:cs="Arial"/>
        </w:rPr>
        <w:t>r.</w:t>
      </w:r>
      <w:r w:rsidR="00D74BFE">
        <w:rPr>
          <w:rFonts w:ascii="Arial" w:hAnsi="Arial" w:cs="Arial"/>
        </w:rPr>
        <w:t xml:space="preserve"> </w:t>
      </w:r>
      <w:r w:rsidRPr="00925BCD">
        <w:rPr>
          <w:rFonts w:ascii="Arial" w:hAnsi="Arial" w:cs="Arial"/>
        </w:rPr>
        <w:t>przeprowadzono ogółem 73</w:t>
      </w:r>
      <w:r w:rsidR="00D74BFE">
        <w:rPr>
          <w:rFonts w:ascii="Arial" w:hAnsi="Arial" w:cs="Arial"/>
        </w:rPr>
        <w:t> </w:t>
      </w:r>
      <w:r w:rsidRPr="00925BCD">
        <w:rPr>
          <w:rFonts w:ascii="Arial" w:hAnsi="Arial" w:cs="Arial"/>
        </w:rPr>
        <w:t>489</w:t>
      </w:r>
      <w:r w:rsidR="00D74BFE">
        <w:rPr>
          <w:rFonts w:ascii="Arial" w:hAnsi="Arial" w:cs="Arial"/>
        </w:rPr>
        <w:t>,</w:t>
      </w:r>
      <w:r w:rsidR="00807085">
        <w:rPr>
          <w:rFonts w:ascii="Arial" w:hAnsi="Arial" w:cs="Arial"/>
        </w:rPr>
        <w:t xml:space="preserve"> 6</w:t>
      </w:r>
      <w:r w:rsidR="00A96F41">
        <w:rPr>
          <w:rFonts w:ascii="Arial" w:hAnsi="Arial" w:cs="Arial"/>
        </w:rPr>
        <w:t>8</w:t>
      </w:r>
      <w:r w:rsidR="00BE36A1">
        <w:rPr>
          <w:rFonts w:ascii="Arial" w:hAnsi="Arial" w:cs="Arial"/>
        </w:rPr>
        <w:t> </w:t>
      </w:r>
      <w:r w:rsidR="00DC74DD">
        <w:rPr>
          <w:rFonts w:ascii="Arial" w:hAnsi="Arial" w:cs="Arial"/>
        </w:rPr>
        <w:t>743</w:t>
      </w:r>
      <w:r w:rsidR="00BE36A1">
        <w:rPr>
          <w:rFonts w:ascii="Arial" w:hAnsi="Arial" w:cs="Arial"/>
        </w:rPr>
        <w:t>,</w:t>
      </w:r>
      <w:r w:rsidR="00D74BFE">
        <w:rPr>
          <w:rFonts w:ascii="Arial" w:hAnsi="Arial" w:cs="Arial"/>
        </w:rPr>
        <w:t xml:space="preserve"> </w:t>
      </w:r>
      <w:r w:rsidR="00D74BFE" w:rsidRPr="00834B8F">
        <w:rPr>
          <w:rFonts w:ascii="Arial" w:hAnsi="Arial" w:cs="Arial"/>
        </w:rPr>
        <w:t>58 748</w:t>
      </w:r>
      <w:r w:rsidR="00807085" w:rsidRPr="00834B8F">
        <w:rPr>
          <w:rFonts w:ascii="Arial" w:hAnsi="Arial" w:cs="Arial"/>
        </w:rPr>
        <w:t xml:space="preserve"> </w:t>
      </w:r>
      <w:r w:rsidR="00BE36A1">
        <w:rPr>
          <w:rFonts w:ascii="Arial" w:hAnsi="Arial" w:cs="Arial"/>
        </w:rPr>
        <w:t xml:space="preserve">i </w:t>
      </w:r>
      <w:r w:rsidR="00A205FD">
        <w:rPr>
          <w:rFonts w:ascii="Arial" w:hAnsi="Arial" w:cs="Arial"/>
        </w:rPr>
        <w:t>64</w:t>
      </w:r>
      <w:r w:rsidR="00737DBD">
        <w:rPr>
          <w:rFonts w:ascii="Arial" w:hAnsi="Arial" w:cs="Arial"/>
        </w:rPr>
        <w:t xml:space="preserve"> 328 </w:t>
      </w:r>
      <w:r w:rsidRPr="00834B8F">
        <w:rPr>
          <w:rFonts w:ascii="Arial" w:hAnsi="Arial" w:cs="Arial"/>
        </w:rPr>
        <w:t>badań sprzętu</w:t>
      </w:r>
      <w:r w:rsidRPr="00925BCD">
        <w:rPr>
          <w:rFonts w:ascii="Arial" w:hAnsi="Arial" w:cs="Arial"/>
        </w:rPr>
        <w:t xml:space="preserve"> przeznaczonego do stosowania środków ochrony roślin, wszystkie zakończono pozytywnym wynikiem.</w:t>
      </w:r>
      <w:r w:rsidR="00807085">
        <w:rPr>
          <w:rFonts w:ascii="Arial" w:hAnsi="Arial" w:cs="Arial"/>
        </w:rPr>
        <w:t xml:space="preserve"> </w:t>
      </w:r>
    </w:p>
    <w:p w14:paraId="136B4F0D" w14:textId="70611A97" w:rsidR="00807085"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E62D85">
        <w:rPr>
          <w:rFonts w:ascii="Arial" w:hAnsi="Arial" w:cs="Arial"/>
        </w:rPr>
        <w:t xml:space="preserve">latach </w:t>
      </w:r>
      <w:r w:rsidRPr="00925BCD">
        <w:rPr>
          <w:rFonts w:ascii="Arial" w:hAnsi="Arial" w:cs="Arial"/>
        </w:rPr>
        <w:t xml:space="preserve">2018 </w:t>
      </w:r>
      <w:r w:rsidR="00E62D85" w:rsidRPr="00E62D85">
        <w:rPr>
          <w:rFonts w:ascii="Arial" w:hAnsi="Arial" w:cs="Arial"/>
        </w:rPr>
        <w:t>–</w:t>
      </w:r>
      <w:r w:rsidR="00E62D85">
        <w:rPr>
          <w:rFonts w:ascii="Arial" w:hAnsi="Arial" w:cs="Arial"/>
        </w:rPr>
        <w:t xml:space="preserve"> 202</w:t>
      </w:r>
      <w:r w:rsidR="00737DBD">
        <w:rPr>
          <w:rFonts w:ascii="Arial" w:hAnsi="Arial" w:cs="Arial"/>
        </w:rPr>
        <w:t>2</w:t>
      </w:r>
      <w:r w:rsidRPr="00925BCD">
        <w:rPr>
          <w:rFonts w:ascii="Arial" w:hAnsi="Arial" w:cs="Arial"/>
        </w:rPr>
        <w:t xml:space="preserve"> aktualne zaświadczenie potwierdzające sprawność techniczną posiadał</w:t>
      </w:r>
      <w:r w:rsidR="00E62D85">
        <w:rPr>
          <w:rFonts w:ascii="Arial" w:hAnsi="Arial" w:cs="Arial"/>
        </w:rPr>
        <w:t>o</w:t>
      </w:r>
      <w:r w:rsidRPr="00925BCD">
        <w:rPr>
          <w:rFonts w:ascii="Arial" w:hAnsi="Arial" w:cs="Arial"/>
        </w:rPr>
        <w:t xml:space="preserve"> </w:t>
      </w:r>
      <w:r w:rsidR="00E62D85">
        <w:rPr>
          <w:rFonts w:ascii="Arial" w:hAnsi="Arial" w:cs="Arial"/>
        </w:rPr>
        <w:t xml:space="preserve">odpowiednio </w:t>
      </w:r>
      <w:r w:rsidRPr="00925BCD">
        <w:rPr>
          <w:rFonts w:ascii="Arial" w:hAnsi="Arial" w:cs="Arial"/>
        </w:rPr>
        <w:t>228</w:t>
      </w:r>
      <w:r w:rsidR="00E62D85">
        <w:rPr>
          <w:rFonts w:ascii="Arial" w:hAnsi="Arial" w:cs="Arial"/>
        </w:rPr>
        <w:t> </w:t>
      </w:r>
      <w:r w:rsidRPr="00925BCD">
        <w:rPr>
          <w:rFonts w:ascii="Arial" w:hAnsi="Arial" w:cs="Arial"/>
        </w:rPr>
        <w:t>822</w:t>
      </w:r>
      <w:r w:rsidR="00E62D85">
        <w:rPr>
          <w:rFonts w:ascii="Arial" w:hAnsi="Arial" w:cs="Arial"/>
        </w:rPr>
        <w:t>,</w:t>
      </w:r>
      <w:r w:rsidRPr="00925BCD">
        <w:rPr>
          <w:rFonts w:ascii="Arial" w:hAnsi="Arial" w:cs="Arial"/>
        </w:rPr>
        <w:t xml:space="preserve"> </w:t>
      </w:r>
      <w:r w:rsidR="00E62D85" w:rsidRPr="00925BCD">
        <w:rPr>
          <w:rFonts w:ascii="Arial" w:hAnsi="Arial" w:cs="Arial"/>
        </w:rPr>
        <w:t>234</w:t>
      </w:r>
      <w:r w:rsidR="00E62D85">
        <w:rPr>
          <w:rFonts w:ascii="Arial" w:hAnsi="Arial" w:cs="Arial"/>
        </w:rPr>
        <w:t> </w:t>
      </w:r>
      <w:r w:rsidR="00E62D85" w:rsidRPr="00925BCD">
        <w:rPr>
          <w:rFonts w:ascii="Arial" w:hAnsi="Arial" w:cs="Arial"/>
        </w:rPr>
        <w:t>745</w:t>
      </w:r>
      <w:r w:rsidR="00E62D85">
        <w:rPr>
          <w:rFonts w:ascii="Arial" w:hAnsi="Arial" w:cs="Arial"/>
        </w:rPr>
        <w:t>,</w:t>
      </w:r>
      <w:r w:rsidR="00E62D85" w:rsidRPr="00925BCD">
        <w:rPr>
          <w:rFonts w:ascii="Arial" w:hAnsi="Arial" w:cs="Arial"/>
        </w:rPr>
        <w:t xml:space="preserve"> </w:t>
      </w:r>
      <w:r w:rsidR="00E62D85" w:rsidRPr="00C743DD">
        <w:rPr>
          <w:rFonts w:ascii="Arial" w:hAnsi="Arial" w:cs="Arial"/>
        </w:rPr>
        <w:t>215</w:t>
      </w:r>
      <w:r w:rsidR="00737DBD">
        <w:rPr>
          <w:rFonts w:ascii="Arial" w:hAnsi="Arial" w:cs="Arial"/>
        </w:rPr>
        <w:t> </w:t>
      </w:r>
      <w:r w:rsidR="00E62D85" w:rsidRPr="00C743DD">
        <w:rPr>
          <w:rFonts w:ascii="Arial" w:hAnsi="Arial" w:cs="Arial"/>
        </w:rPr>
        <w:t>899</w:t>
      </w:r>
      <w:r w:rsidR="00737DBD">
        <w:rPr>
          <w:rFonts w:ascii="Arial" w:hAnsi="Arial" w:cs="Arial"/>
        </w:rPr>
        <w:t>,</w:t>
      </w:r>
      <w:r w:rsidR="00E62D85">
        <w:rPr>
          <w:rFonts w:ascii="Arial" w:hAnsi="Arial" w:cs="Arial"/>
        </w:rPr>
        <w:t xml:space="preserve"> 209</w:t>
      </w:r>
      <w:r w:rsidR="00A2042D">
        <w:rPr>
          <w:rFonts w:ascii="Arial" w:hAnsi="Arial" w:cs="Arial"/>
        </w:rPr>
        <w:t> </w:t>
      </w:r>
      <w:r w:rsidR="00E62D85">
        <w:rPr>
          <w:rFonts w:ascii="Arial" w:hAnsi="Arial" w:cs="Arial"/>
        </w:rPr>
        <w:t>901</w:t>
      </w:r>
      <w:r w:rsidR="00A2042D">
        <w:rPr>
          <w:rFonts w:ascii="Arial" w:hAnsi="Arial" w:cs="Arial"/>
        </w:rPr>
        <w:t xml:space="preserve"> i 204</w:t>
      </w:r>
      <w:r w:rsidR="00F610B5">
        <w:rPr>
          <w:rFonts w:ascii="Arial" w:hAnsi="Arial" w:cs="Arial"/>
        </w:rPr>
        <w:t xml:space="preserve"> 312 </w:t>
      </w:r>
      <w:r w:rsidRPr="00925BCD">
        <w:rPr>
          <w:rFonts w:ascii="Arial" w:hAnsi="Arial" w:cs="Arial"/>
        </w:rPr>
        <w:t>opryskiwacz</w:t>
      </w:r>
      <w:r w:rsidR="00E62D85">
        <w:rPr>
          <w:rFonts w:ascii="Arial" w:hAnsi="Arial" w:cs="Arial"/>
        </w:rPr>
        <w:t>y</w:t>
      </w:r>
      <w:r w:rsidRPr="00925BCD">
        <w:rPr>
          <w:rFonts w:ascii="Arial" w:hAnsi="Arial" w:cs="Arial"/>
        </w:rPr>
        <w:t>, w tym opryskiwacz</w:t>
      </w:r>
      <w:r w:rsidR="00E62D85">
        <w:rPr>
          <w:rFonts w:ascii="Arial" w:hAnsi="Arial" w:cs="Arial"/>
        </w:rPr>
        <w:t xml:space="preserve">e </w:t>
      </w:r>
      <w:r w:rsidRPr="00925BCD">
        <w:rPr>
          <w:rFonts w:ascii="Arial" w:hAnsi="Arial" w:cs="Arial"/>
        </w:rPr>
        <w:t>wyposażon</w:t>
      </w:r>
      <w:r w:rsidR="00E62D85">
        <w:rPr>
          <w:rFonts w:ascii="Arial" w:hAnsi="Arial" w:cs="Arial"/>
        </w:rPr>
        <w:t>e</w:t>
      </w:r>
      <w:r w:rsidRPr="00925BCD">
        <w:rPr>
          <w:rFonts w:ascii="Arial" w:hAnsi="Arial" w:cs="Arial"/>
        </w:rPr>
        <w:t xml:space="preserve"> w</w:t>
      </w:r>
      <w:r w:rsidR="00834B8F">
        <w:rPr>
          <w:rFonts w:ascii="Arial" w:hAnsi="Arial" w:cs="Arial"/>
        </w:rPr>
        <w:t> </w:t>
      </w:r>
      <w:r w:rsidRPr="00925BCD">
        <w:rPr>
          <w:rFonts w:ascii="Arial" w:hAnsi="Arial" w:cs="Arial"/>
        </w:rPr>
        <w:t xml:space="preserve">belkę opryskową montowaną na pojazdach kolejowych </w:t>
      </w:r>
      <w:r w:rsidR="00E62D85">
        <w:rPr>
          <w:rFonts w:ascii="Arial" w:hAnsi="Arial" w:cs="Arial"/>
        </w:rPr>
        <w:t>i</w:t>
      </w:r>
      <w:r w:rsidRPr="00925BCD">
        <w:rPr>
          <w:rFonts w:ascii="Arial" w:hAnsi="Arial" w:cs="Arial"/>
        </w:rPr>
        <w:t xml:space="preserve"> opryskiwacz</w:t>
      </w:r>
      <w:r w:rsidR="00E62D85">
        <w:rPr>
          <w:rFonts w:ascii="Arial" w:hAnsi="Arial" w:cs="Arial"/>
        </w:rPr>
        <w:t>e agrolotnicze</w:t>
      </w:r>
      <w:r w:rsidRPr="00925BCD">
        <w:rPr>
          <w:rFonts w:ascii="Arial" w:hAnsi="Arial" w:cs="Arial"/>
        </w:rPr>
        <w:t xml:space="preserve">. </w:t>
      </w:r>
      <w:r w:rsidR="00E62D85">
        <w:rPr>
          <w:rFonts w:ascii="Arial" w:hAnsi="Arial" w:cs="Arial"/>
        </w:rPr>
        <w:t>Szczegółowe dane przedstawia tabela poniżej.</w:t>
      </w:r>
    </w:p>
    <w:tbl>
      <w:tblPr>
        <w:tblStyle w:val="Tabela-Siatka"/>
        <w:tblW w:w="0" w:type="auto"/>
        <w:tblLook w:val="04A0" w:firstRow="1" w:lastRow="0" w:firstColumn="1" w:lastColumn="0" w:noHBand="0" w:noVBand="1"/>
      </w:tblPr>
      <w:tblGrid>
        <w:gridCol w:w="3820"/>
        <w:gridCol w:w="1048"/>
        <w:gridCol w:w="1048"/>
        <w:gridCol w:w="1049"/>
        <w:gridCol w:w="1048"/>
        <w:gridCol w:w="1049"/>
      </w:tblGrid>
      <w:tr w:rsidR="00C910F0" w14:paraId="28BA529C" w14:textId="4B6426FE" w:rsidTr="00323104">
        <w:tc>
          <w:tcPr>
            <w:tcW w:w="3820" w:type="dxa"/>
            <w:vAlign w:val="center"/>
          </w:tcPr>
          <w:p w14:paraId="1447CB89" w14:textId="42C82ADA"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Rok</w:t>
            </w:r>
          </w:p>
        </w:tc>
        <w:tc>
          <w:tcPr>
            <w:tcW w:w="1048" w:type="dxa"/>
            <w:vAlign w:val="center"/>
          </w:tcPr>
          <w:p w14:paraId="2157FA8C" w14:textId="2F924485"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2018</w:t>
            </w:r>
          </w:p>
        </w:tc>
        <w:tc>
          <w:tcPr>
            <w:tcW w:w="1048" w:type="dxa"/>
            <w:vAlign w:val="center"/>
          </w:tcPr>
          <w:p w14:paraId="4733940B" w14:textId="3E0EDECE"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2019</w:t>
            </w:r>
          </w:p>
        </w:tc>
        <w:tc>
          <w:tcPr>
            <w:tcW w:w="1049" w:type="dxa"/>
            <w:vAlign w:val="center"/>
          </w:tcPr>
          <w:p w14:paraId="20C332E7" w14:textId="6304FEFA"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2020</w:t>
            </w:r>
          </w:p>
        </w:tc>
        <w:tc>
          <w:tcPr>
            <w:tcW w:w="1048" w:type="dxa"/>
            <w:vAlign w:val="center"/>
          </w:tcPr>
          <w:p w14:paraId="7B8497A3" w14:textId="78C0BA1C"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sidRPr="00E62D85">
              <w:rPr>
                <w:rFonts w:ascii="Arial" w:hAnsi="Arial" w:cs="Arial"/>
                <w:b/>
              </w:rPr>
              <w:t>2021</w:t>
            </w:r>
          </w:p>
        </w:tc>
        <w:tc>
          <w:tcPr>
            <w:tcW w:w="1049" w:type="dxa"/>
            <w:vAlign w:val="center"/>
          </w:tcPr>
          <w:p w14:paraId="5C38AA40" w14:textId="3B5EB260" w:rsidR="00C910F0" w:rsidRPr="00E62D85" w:rsidRDefault="00C910F0" w:rsidP="00323104">
            <w:pPr>
              <w:pStyle w:val="NormalnyWeb"/>
              <w:tabs>
                <w:tab w:val="left" w:pos="284"/>
              </w:tabs>
              <w:spacing w:beforeAutospacing="0" w:after="120" w:afterAutospacing="0" w:line="360" w:lineRule="auto"/>
              <w:jc w:val="center"/>
              <w:rPr>
                <w:rFonts w:ascii="Arial" w:hAnsi="Arial" w:cs="Arial"/>
                <w:b/>
              </w:rPr>
            </w:pPr>
            <w:r>
              <w:rPr>
                <w:rFonts w:ascii="Arial" w:hAnsi="Arial" w:cs="Arial"/>
                <w:b/>
              </w:rPr>
              <w:t>2022</w:t>
            </w:r>
          </w:p>
        </w:tc>
      </w:tr>
      <w:tr w:rsidR="00C910F0" w14:paraId="0FDE629C" w14:textId="2CE086A8" w:rsidTr="00FA3D58">
        <w:trPr>
          <w:trHeight w:val="834"/>
        </w:trPr>
        <w:tc>
          <w:tcPr>
            <w:tcW w:w="3820" w:type="dxa"/>
          </w:tcPr>
          <w:p w14:paraId="0EFFF108" w14:textId="30F31416" w:rsidR="00C910F0" w:rsidRPr="00FA3D58" w:rsidRDefault="00C910F0" w:rsidP="00FA3D58">
            <w:pPr>
              <w:jc w:val="both"/>
              <w:rPr>
                <w:rFonts w:ascii="Arial" w:hAnsi="Arial" w:cs="Arial"/>
              </w:rPr>
            </w:pPr>
            <w:r w:rsidRPr="00FA3D58">
              <w:rPr>
                <w:rFonts w:ascii="Arial" w:hAnsi="Arial" w:cs="Arial"/>
                <w:color w:val="000000"/>
                <w:sz w:val="20"/>
                <w:szCs w:val="20"/>
              </w:rPr>
              <w:t>Liczba opryskiwaczy posiadających aktualne zaświadczenie potwierdzające sprawność techniczną</w:t>
            </w:r>
            <w:r w:rsidRPr="00FA3D58">
              <w:rPr>
                <w:rFonts w:ascii="Arial" w:hAnsi="Arial" w:cs="Arial"/>
              </w:rPr>
              <w:t xml:space="preserve"> </w:t>
            </w:r>
          </w:p>
        </w:tc>
        <w:tc>
          <w:tcPr>
            <w:tcW w:w="1048" w:type="dxa"/>
            <w:vAlign w:val="center"/>
          </w:tcPr>
          <w:p w14:paraId="0BCE88E4" w14:textId="5975B754" w:rsidR="00C910F0" w:rsidRDefault="00C910F0" w:rsidP="00980271">
            <w:pPr>
              <w:pStyle w:val="NormalnyWeb"/>
              <w:tabs>
                <w:tab w:val="left" w:pos="284"/>
              </w:tabs>
              <w:spacing w:beforeAutospacing="0" w:after="120" w:afterAutospacing="0" w:line="360" w:lineRule="auto"/>
              <w:jc w:val="right"/>
              <w:rPr>
                <w:rFonts w:ascii="Arial" w:hAnsi="Arial" w:cs="Arial"/>
              </w:rPr>
            </w:pPr>
            <w:r w:rsidRPr="00A645EC">
              <w:rPr>
                <w:rFonts w:ascii="Arial" w:hAnsi="Arial" w:cs="Arial"/>
              </w:rPr>
              <w:t>228 822</w:t>
            </w:r>
          </w:p>
        </w:tc>
        <w:tc>
          <w:tcPr>
            <w:tcW w:w="1048" w:type="dxa"/>
            <w:vAlign w:val="center"/>
          </w:tcPr>
          <w:p w14:paraId="0D664329" w14:textId="3D3B77D8" w:rsidR="00C910F0" w:rsidRDefault="00C910F0"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234 745</w:t>
            </w:r>
          </w:p>
        </w:tc>
        <w:tc>
          <w:tcPr>
            <w:tcW w:w="1049" w:type="dxa"/>
            <w:vAlign w:val="center"/>
          </w:tcPr>
          <w:p w14:paraId="272B3571" w14:textId="7C54CCCD" w:rsidR="00C910F0" w:rsidRDefault="00C910F0"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215 899</w:t>
            </w:r>
          </w:p>
        </w:tc>
        <w:tc>
          <w:tcPr>
            <w:tcW w:w="1048" w:type="dxa"/>
            <w:vAlign w:val="center"/>
          </w:tcPr>
          <w:p w14:paraId="3FADF6B5" w14:textId="7F23B3B2" w:rsidR="00C910F0" w:rsidRDefault="00C910F0" w:rsidP="00980271">
            <w:pPr>
              <w:pStyle w:val="NormalnyWeb"/>
              <w:tabs>
                <w:tab w:val="left" w:pos="284"/>
              </w:tabs>
              <w:spacing w:beforeAutospacing="0" w:after="120" w:afterAutospacing="0" w:line="360" w:lineRule="auto"/>
              <w:jc w:val="right"/>
              <w:rPr>
                <w:rFonts w:ascii="Arial" w:hAnsi="Arial" w:cs="Arial"/>
              </w:rPr>
            </w:pPr>
            <w:r w:rsidRPr="00980271">
              <w:rPr>
                <w:rFonts w:ascii="Arial" w:hAnsi="Arial" w:cs="Arial"/>
              </w:rPr>
              <w:t>209 902</w:t>
            </w:r>
          </w:p>
        </w:tc>
        <w:tc>
          <w:tcPr>
            <w:tcW w:w="1049" w:type="dxa"/>
            <w:vAlign w:val="center"/>
          </w:tcPr>
          <w:p w14:paraId="3C9AA61C" w14:textId="42C5D56F" w:rsidR="00C910F0" w:rsidRPr="00980271" w:rsidRDefault="00C910F0" w:rsidP="00E0436D">
            <w:pPr>
              <w:pStyle w:val="NormalnyWeb"/>
              <w:tabs>
                <w:tab w:val="left" w:pos="284"/>
              </w:tabs>
              <w:spacing w:beforeAutospacing="0" w:after="120" w:afterAutospacing="0" w:line="360" w:lineRule="auto"/>
              <w:jc w:val="center"/>
              <w:rPr>
                <w:rFonts w:ascii="Arial" w:hAnsi="Arial" w:cs="Arial"/>
              </w:rPr>
            </w:pPr>
            <w:r>
              <w:rPr>
                <w:rFonts w:ascii="Arial" w:hAnsi="Arial" w:cs="Arial"/>
              </w:rPr>
              <w:t>204 312</w:t>
            </w:r>
          </w:p>
        </w:tc>
      </w:tr>
      <w:tr w:rsidR="00C910F0" w14:paraId="2E976CCC" w14:textId="60944402" w:rsidTr="00E0436D">
        <w:tc>
          <w:tcPr>
            <w:tcW w:w="3820" w:type="dxa"/>
          </w:tcPr>
          <w:p w14:paraId="6179C0E1" w14:textId="0A077E66" w:rsidR="00C910F0" w:rsidRDefault="00C910F0" w:rsidP="005F5707">
            <w:pPr>
              <w:numPr>
                <w:ilvl w:val="0"/>
                <w:numId w:val="13"/>
              </w:numPr>
              <w:spacing w:after="160" w:line="259" w:lineRule="auto"/>
              <w:ind w:left="634" w:hanging="425"/>
              <w:contextualSpacing/>
              <w:rPr>
                <w:rFonts w:ascii="Arial" w:hAnsi="Arial" w:cs="Arial"/>
              </w:rPr>
            </w:pPr>
            <w:r w:rsidRPr="005F5707">
              <w:rPr>
                <w:rFonts w:ascii="Arial" w:eastAsia="Calibri" w:hAnsi="Arial" w:cs="Arial"/>
                <w:color w:val="000000"/>
                <w:sz w:val="20"/>
                <w:szCs w:val="20"/>
              </w:rPr>
              <w:t>w tym opryskiwaczy wyposażonych w belkę opryskową montowaną na pojazdach kolejowych</w:t>
            </w:r>
            <w:r>
              <w:rPr>
                <w:rFonts w:ascii="Arial" w:hAnsi="Arial" w:cs="Arial"/>
              </w:rPr>
              <w:t xml:space="preserve"> </w:t>
            </w:r>
          </w:p>
        </w:tc>
        <w:tc>
          <w:tcPr>
            <w:tcW w:w="1048" w:type="dxa"/>
            <w:vAlign w:val="center"/>
          </w:tcPr>
          <w:p w14:paraId="16E95926" w14:textId="4216A0BD"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18</w:t>
            </w:r>
          </w:p>
        </w:tc>
        <w:tc>
          <w:tcPr>
            <w:tcW w:w="1048" w:type="dxa"/>
            <w:vAlign w:val="center"/>
          </w:tcPr>
          <w:p w14:paraId="110DBF61" w14:textId="48B34BEC"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16</w:t>
            </w:r>
          </w:p>
        </w:tc>
        <w:tc>
          <w:tcPr>
            <w:tcW w:w="1049" w:type="dxa"/>
            <w:vAlign w:val="center"/>
          </w:tcPr>
          <w:p w14:paraId="5773A508" w14:textId="5AC49797"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13</w:t>
            </w:r>
          </w:p>
        </w:tc>
        <w:tc>
          <w:tcPr>
            <w:tcW w:w="1048" w:type="dxa"/>
            <w:vAlign w:val="center"/>
          </w:tcPr>
          <w:p w14:paraId="0A8F17F9" w14:textId="0B557FA9"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16</w:t>
            </w:r>
          </w:p>
        </w:tc>
        <w:tc>
          <w:tcPr>
            <w:tcW w:w="1049" w:type="dxa"/>
            <w:vAlign w:val="center"/>
          </w:tcPr>
          <w:p w14:paraId="3301F611" w14:textId="78D0C78B" w:rsidR="00C910F0" w:rsidRDefault="00AC7A7C" w:rsidP="00E0436D">
            <w:pPr>
              <w:pStyle w:val="NormalnyWeb"/>
              <w:tabs>
                <w:tab w:val="left" w:pos="284"/>
              </w:tabs>
              <w:spacing w:beforeAutospacing="0" w:after="120" w:afterAutospacing="0" w:line="360" w:lineRule="auto"/>
              <w:jc w:val="center"/>
              <w:rPr>
                <w:rFonts w:ascii="Arial" w:hAnsi="Arial" w:cs="Arial"/>
              </w:rPr>
            </w:pPr>
            <w:r>
              <w:rPr>
                <w:rFonts w:ascii="Arial" w:hAnsi="Arial" w:cs="Arial"/>
              </w:rPr>
              <w:t>21</w:t>
            </w:r>
          </w:p>
        </w:tc>
      </w:tr>
      <w:tr w:rsidR="00C910F0" w14:paraId="2C585698" w14:textId="73E1C2D8" w:rsidTr="00E0436D">
        <w:tc>
          <w:tcPr>
            <w:tcW w:w="3820" w:type="dxa"/>
          </w:tcPr>
          <w:p w14:paraId="02359093" w14:textId="3A17ABE9" w:rsidR="00C910F0" w:rsidRDefault="00C910F0" w:rsidP="005F5707">
            <w:pPr>
              <w:numPr>
                <w:ilvl w:val="0"/>
                <w:numId w:val="13"/>
              </w:numPr>
              <w:spacing w:after="160" w:line="259" w:lineRule="auto"/>
              <w:ind w:left="634" w:hanging="425"/>
              <w:contextualSpacing/>
              <w:rPr>
                <w:rFonts w:ascii="Arial" w:hAnsi="Arial" w:cs="Arial"/>
              </w:rPr>
            </w:pPr>
            <w:r w:rsidRPr="005F5707">
              <w:rPr>
                <w:rFonts w:ascii="Arial" w:eastAsia="Calibri" w:hAnsi="Arial" w:cs="Arial"/>
                <w:color w:val="000000"/>
                <w:sz w:val="20"/>
                <w:szCs w:val="20"/>
              </w:rPr>
              <w:t>w tym opryskiwaczy agrolotniczych</w:t>
            </w:r>
          </w:p>
        </w:tc>
        <w:tc>
          <w:tcPr>
            <w:tcW w:w="1048" w:type="dxa"/>
            <w:vAlign w:val="center"/>
          </w:tcPr>
          <w:p w14:paraId="5BF80F4C" w14:textId="4899B930"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20</w:t>
            </w:r>
          </w:p>
        </w:tc>
        <w:tc>
          <w:tcPr>
            <w:tcW w:w="1048" w:type="dxa"/>
            <w:vAlign w:val="center"/>
          </w:tcPr>
          <w:p w14:paraId="566FC3C8" w14:textId="1DBEB418"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24</w:t>
            </w:r>
          </w:p>
        </w:tc>
        <w:tc>
          <w:tcPr>
            <w:tcW w:w="1049" w:type="dxa"/>
            <w:vAlign w:val="center"/>
          </w:tcPr>
          <w:p w14:paraId="18B6B317" w14:textId="099A9A7F"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31</w:t>
            </w:r>
          </w:p>
        </w:tc>
        <w:tc>
          <w:tcPr>
            <w:tcW w:w="1048" w:type="dxa"/>
            <w:vAlign w:val="center"/>
          </w:tcPr>
          <w:p w14:paraId="34012E42" w14:textId="2DF91487" w:rsidR="00C910F0" w:rsidRDefault="00C910F0" w:rsidP="00E62D85">
            <w:pPr>
              <w:pStyle w:val="NormalnyWeb"/>
              <w:tabs>
                <w:tab w:val="left" w:pos="284"/>
              </w:tabs>
              <w:spacing w:beforeAutospacing="0" w:after="120" w:afterAutospacing="0" w:line="360" w:lineRule="auto"/>
              <w:jc w:val="right"/>
              <w:rPr>
                <w:rFonts w:ascii="Arial" w:hAnsi="Arial" w:cs="Arial"/>
              </w:rPr>
            </w:pPr>
            <w:r>
              <w:rPr>
                <w:rFonts w:ascii="Arial" w:hAnsi="Arial" w:cs="Arial"/>
              </w:rPr>
              <w:t>31</w:t>
            </w:r>
          </w:p>
        </w:tc>
        <w:tc>
          <w:tcPr>
            <w:tcW w:w="1049" w:type="dxa"/>
            <w:vAlign w:val="center"/>
          </w:tcPr>
          <w:p w14:paraId="36FCD680" w14:textId="71E69D2F" w:rsidR="00C910F0" w:rsidRDefault="00AC7A7C" w:rsidP="00E0436D">
            <w:pPr>
              <w:pStyle w:val="NormalnyWeb"/>
              <w:tabs>
                <w:tab w:val="left" w:pos="284"/>
              </w:tabs>
              <w:spacing w:beforeAutospacing="0" w:after="120" w:afterAutospacing="0" w:line="360" w:lineRule="auto"/>
              <w:jc w:val="center"/>
              <w:rPr>
                <w:rFonts w:ascii="Arial" w:hAnsi="Arial" w:cs="Arial"/>
              </w:rPr>
            </w:pPr>
            <w:r>
              <w:rPr>
                <w:rFonts w:ascii="Arial" w:hAnsi="Arial" w:cs="Arial"/>
              </w:rPr>
              <w:t>31</w:t>
            </w:r>
          </w:p>
        </w:tc>
      </w:tr>
    </w:tbl>
    <w:p w14:paraId="35456D36" w14:textId="61B7AB5F" w:rsidR="00A645EC" w:rsidRDefault="00A645EC" w:rsidP="002B2514">
      <w:pPr>
        <w:pStyle w:val="NormalnyWeb"/>
        <w:tabs>
          <w:tab w:val="left" w:pos="284"/>
        </w:tabs>
        <w:spacing w:beforeAutospacing="0" w:after="120" w:afterAutospacing="0" w:line="360" w:lineRule="auto"/>
        <w:ind w:firstLine="284"/>
        <w:jc w:val="both"/>
        <w:rPr>
          <w:rFonts w:ascii="Arial" w:hAnsi="Arial" w:cs="Arial"/>
        </w:rPr>
      </w:pPr>
    </w:p>
    <w:p w14:paraId="5E364A7B" w14:textId="076BE9EF" w:rsidR="00A645EC" w:rsidRDefault="00E62D85" w:rsidP="002B2514">
      <w:pPr>
        <w:pStyle w:val="NormalnyWeb"/>
        <w:tabs>
          <w:tab w:val="left" w:pos="284"/>
        </w:tabs>
        <w:spacing w:beforeAutospacing="0" w:after="120" w:afterAutospacing="0" w:line="360" w:lineRule="auto"/>
        <w:ind w:firstLine="284"/>
        <w:jc w:val="both"/>
        <w:rPr>
          <w:rFonts w:ascii="Arial" w:hAnsi="Arial" w:cs="Arial"/>
        </w:rPr>
      </w:pPr>
      <w:r w:rsidRPr="00E62D85">
        <w:rPr>
          <w:rFonts w:ascii="Arial" w:hAnsi="Arial" w:cs="Arial"/>
        </w:rPr>
        <w:t>Zewidencjonowano również w 2018 r. – 13 591 sztuk, w 2019 r. – 858 sztuk, w 2020 r. 1 229 sztuk</w:t>
      </w:r>
      <w:r w:rsidR="00A67536">
        <w:rPr>
          <w:rFonts w:ascii="Arial" w:hAnsi="Arial" w:cs="Arial"/>
        </w:rPr>
        <w:t>,</w:t>
      </w:r>
      <w:r>
        <w:rPr>
          <w:rFonts w:ascii="Arial" w:hAnsi="Arial" w:cs="Arial"/>
        </w:rPr>
        <w:t xml:space="preserve"> w 2021 r. </w:t>
      </w:r>
      <w:r w:rsidRPr="00E62D85">
        <w:rPr>
          <w:rFonts w:ascii="Arial" w:hAnsi="Arial" w:cs="Arial"/>
        </w:rPr>
        <w:t>–</w:t>
      </w:r>
      <w:r>
        <w:rPr>
          <w:rFonts w:ascii="Arial" w:hAnsi="Arial" w:cs="Arial"/>
        </w:rPr>
        <w:t xml:space="preserve"> 1 415 sztuk </w:t>
      </w:r>
      <w:r w:rsidR="002A54D6">
        <w:rPr>
          <w:rFonts w:ascii="Arial" w:hAnsi="Arial" w:cs="Arial"/>
        </w:rPr>
        <w:t xml:space="preserve">i w 2022 r. 1 787 sztuk </w:t>
      </w:r>
      <w:r w:rsidRPr="00E62D85">
        <w:rPr>
          <w:rFonts w:ascii="Arial" w:hAnsi="Arial" w:cs="Arial"/>
        </w:rPr>
        <w:t>sprzętu do stosowania środków ochrony roślin, będącego w użytkowaniu, zwolnionego z konieczności badań na podstawie dowodów zakupu.</w:t>
      </w:r>
    </w:p>
    <w:p w14:paraId="4DA2A20E" w14:textId="4087CB7F" w:rsidR="007D7FE1" w:rsidRPr="00925BCD" w:rsidRDefault="007D7FE1" w:rsidP="007D7FE1">
      <w:pPr>
        <w:pStyle w:val="NormalnyWeb"/>
        <w:tabs>
          <w:tab w:val="left" w:pos="284"/>
        </w:tabs>
        <w:spacing w:beforeAutospacing="0" w:after="120" w:afterAutospacing="0" w:line="360" w:lineRule="auto"/>
        <w:ind w:firstLine="284"/>
        <w:jc w:val="both"/>
        <w:rPr>
          <w:rFonts w:ascii="Arial" w:hAnsi="Arial" w:cs="Arial"/>
        </w:rPr>
      </w:pPr>
      <w:r w:rsidRPr="007D7FE1">
        <w:rPr>
          <w:rFonts w:ascii="Arial" w:hAnsi="Arial" w:cs="Arial"/>
        </w:rPr>
        <w:t>202</w:t>
      </w:r>
      <w:r w:rsidR="00157D71">
        <w:rPr>
          <w:rFonts w:ascii="Arial" w:hAnsi="Arial" w:cs="Arial"/>
        </w:rPr>
        <w:t>2</w:t>
      </w:r>
      <w:r>
        <w:rPr>
          <w:rFonts w:ascii="Arial" w:hAnsi="Arial" w:cs="Arial"/>
        </w:rPr>
        <w:t xml:space="preserve"> r. </w:t>
      </w:r>
      <w:r w:rsidRPr="007D7FE1">
        <w:rPr>
          <w:rFonts w:ascii="Arial" w:hAnsi="Arial" w:cs="Arial"/>
        </w:rPr>
        <w:t xml:space="preserve">był </w:t>
      </w:r>
      <w:r>
        <w:rPr>
          <w:rFonts w:ascii="Arial" w:hAnsi="Arial" w:cs="Arial"/>
        </w:rPr>
        <w:t xml:space="preserve">kolejnym </w:t>
      </w:r>
      <w:r w:rsidRPr="007D7FE1">
        <w:rPr>
          <w:rFonts w:ascii="Arial" w:hAnsi="Arial" w:cs="Arial"/>
        </w:rPr>
        <w:t>rokiem szczególnym z powodu sytuacji epidemicznej związanej z</w:t>
      </w:r>
      <w:r>
        <w:rPr>
          <w:rFonts w:ascii="Arial" w:hAnsi="Arial" w:cs="Arial"/>
        </w:rPr>
        <w:t> </w:t>
      </w:r>
      <w:r w:rsidRPr="007D7FE1">
        <w:rPr>
          <w:rFonts w:ascii="Arial" w:hAnsi="Arial" w:cs="Arial"/>
        </w:rPr>
        <w:t>korona</w:t>
      </w:r>
      <w:r>
        <w:rPr>
          <w:rFonts w:ascii="Arial" w:hAnsi="Arial" w:cs="Arial"/>
        </w:rPr>
        <w:t>-</w:t>
      </w:r>
      <w:r w:rsidRPr="007D7FE1">
        <w:rPr>
          <w:rFonts w:ascii="Arial" w:hAnsi="Arial" w:cs="Arial"/>
        </w:rPr>
        <w:t>wirusem SARS-CoV-2. Wprowadzone rozwiązania prawne</w:t>
      </w:r>
      <w:r>
        <w:rPr>
          <w:rFonts w:ascii="Arial" w:hAnsi="Arial" w:cs="Arial"/>
        </w:rPr>
        <w:t xml:space="preserve">, które okresowo zawiesiły </w:t>
      </w:r>
      <w:r w:rsidRPr="007D7FE1">
        <w:rPr>
          <w:rFonts w:ascii="Arial" w:hAnsi="Arial" w:cs="Arial"/>
        </w:rPr>
        <w:t xml:space="preserve">obowiązek </w:t>
      </w:r>
      <w:r w:rsidRPr="007D7FE1">
        <w:rPr>
          <w:rFonts w:ascii="Arial" w:hAnsi="Arial" w:cs="Arial"/>
        </w:rPr>
        <w:lastRenderedPageBreak/>
        <w:t xml:space="preserve">potwierdzania sprawności technicznej sprzętu do stosowania środków ochrony roślin </w:t>
      </w:r>
      <w:r w:rsidR="002E3B7F">
        <w:rPr>
          <w:rFonts w:ascii="Arial" w:hAnsi="Arial" w:cs="Arial"/>
        </w:rPr>
        <w:t xml:space="preserve">nie </w:t>
      </w:r>
      <w:r w:rsidRPr="007D7FE1">
        <w:rPr>
          <w:rFonts w:ascii="Arial" w:hAnsi="Arial" w:cs="Arial"/>
        </w:rPr>
        <w:t xml:space="preserve">spowodowały </w:t>
      </w:r>
      <w:r w:rsidR="002E3B7F">
        <w:rPr>
          <w:rFonts w:ascii="Arial" w:hAnsi="Arial" w:cs="Arial"/>
        </w:rPr>
        <w:t xml:space="preserve">jednak </w:t>
      </w:r>
      <w:r w:rsidR="00311983">
        <w:rPr>
          <w:rFonts w:ascii="Arial" w:hAnsi="Arial" w:cs="Arial"/>
        </w:rPr>
        <w:t>w 202</w:t>
      </w:r>
      <w:r w:rsidR="0039478A">
        <w:rPr>
          <w:rFonts w:ascii="Arial" w:hAnsi="Arial" w:cs="Arial"/>
        </w:rPr>
        <w:t xml:space="preserve">2 r. </w:t>
      </w:r>
      <w:r w:rsidRPr="007D7FE1">
        <w:rPr>
          <w:rFonts w:ascii="Arial" w:hAnsi="Arial" w:cs="Arial"/>
        </w:rPr>
        <w:t>zmniejszeni</w:t>
      </w:r>
      <w:r w:rsidR="0039478A">
        <w:rPr>
          <w:rFonts w:ascii="Arial" w:hAnsi="Arial" w:cs="Arial"/>
        </w:rPr>
        <w:t>a</w:t>
      </w:r>
      <w:r w:rsidRPr="007D7FE1">
        <w:rPr>
          <w:rFonts w:ascii="Arial" w:hAnsi="Arial" w:cs="Arial"/>
        </w:rPr>
        <w:t xml:space="preserve"> liczby przeprowadzonych badań</w:t>
      </w:r>
      <w:r w:rsidR="002C451D">
        <w:rPr>
          <w:rFonts w:ascii="Arial" w:hAnsi="Arial" w:cs="Arial"/>
        </w:rPr>
        <w:t>, jednak sumarycznie</w:t>
      </w:r>
      <w:r w:rsidRPr="007D7FE1">
        <w:rPr>
          <w:rFonts w:ascii="Arial" w:hAnsi="Arial" w:cs="Arial"/>
        </w:rPr>
        <w:t xml:space="preserve"> zmniejszyła się liczba sprzętu posiadającego aktualne badania</w:t>
      </w:r>
      <w:r>
        <w:rPr>
          <w:rFonts w:ascii="Arial" w:hAnsi="Arial" w:cs="Arial"/>
        </w:rPr>
        <w:t>.</w:t>
      </w:r>
    </w:p>
    <w:p w14:paraId="34515304" w14:textId="380BE196"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wykonywania obowiązków organu prowadzącego rejestr w zakresie potwierdzania sprawności sprzętu przeznaczonego do stosowania środków ochrony roślin inspektorzy PIORiN prowadzili kontrole przedsiębiorców i podmiotów prowadzących działalność w tym zakresie. W 2018 r. przeprowadzono 628 takich kontroli, w 2019 r. – 5</w:t>
      </w:r>
      <w:r w:rsidR="00D40062">
        <w:rPr>
          <w:rFonts w:ascii="Arial" w:hAnsi="Arial" w:cs="Arial"/>
        </w:rPr>
        <w:t xml:space="preserve">39, </w:t>
      </w:r>
      <w:r w:rsidR="006B19AA">
        <w:rPr>
          <w:rFonts w:ascii="Arial" w:hAnsi="Arial" w:cs="Arial"/>
        </w:rPr>
        <w:t> </w:t>
      </w:r>
      <w:r w:rsidR="00D40062">
        <w:rPr>
          <w:rFonts w:ascii="Arial" w:hAnsi="Arial" w:cs="Arial"/>
        </w:rPr>
        <w:t xml:space="preserve">w 2020 r. </w:t>
      </w:r>
      <w:r w:rsidR="00D40062" w:rsidRPr="00925BCD">
        <w:rPr>
          <w:rFonts w:ascii="Arial" w:hAnsi="Arial" w:cs="Arial"/>
        </w:rPr>
        <w:t xml:space="preserve">– </w:t>
      </w:r>
      <w:r w:rsidR="00D40062">
        <w:rPr>
          <w:rFonts w:ascii="Arial" w:hAnsi="Arial" w:cs="Arial"/>
        </w:rPr>
        <w:t>55</w:t>
      </w:r>
      <w:r w:rsidR="007C53DB">
        <w:rPr>
          <w:rFonts w:ascii="Arial" w:hAnsi="Arial" w:cs="Arial"/>
        </w:rPr>
        <w:t>1</w:t>
      </w:r>
      <w:r w:rsidR="007D7FE1">
        <w:rPr>
          <w:rFonts w:ascii="Arial" w:hAnsi="Arial" w:cs="Arial"/>
        </w:rPr>
        <w:t>, w 2021 r</w:t>
      </w:r>
      <w:r w:rsidR="007D7FE1" w:rsidRPr="00DE1591">
        <w:rPr>
          <w:rFonts w:ascii="Arial" w:hAnsi="Arial" w:cs="Arial"/>
        </w:rPr>
        <w:t>. – 384</w:t>
      </w:r>
      <w:r w:rsidR="00156DCC">
        <w:rPr>
          <w:rFonts w:ascii="Arial" w:hAnsi="Arial" w:cs="Arial"/>
        </w:rPr>
        <w:t xml:space="preserve">, a w 2022 r. </w:t>
      </w:r>
      <w:r w:rsidR="00B00035" w:rsidRPr="00DE1591">
        <w:rPr>
          <w:rFonts w:ascii="Arial" w:hAnsi="Arial" w:cs="Arial"/>
        </w:rPr>
        <w:t>–</w:t>
      </w:r>
      <w:r w:rsidR="00B00035">
        <w:rPr>
          <w:rFonts w:ascii="Arial" w:hAnsi="Arial" w:cs="Arial"/>
        </w:rPr>
        <w:t>321</w:t>
      </w:r>
      <w:r w:rsidRPr="00DE1591">
        <w:rPr>
          <w:rFonts w:ascii="Arial" w:hAnsi="Arial" w:cs="Arial"/>
        </w:rPr>
        <w:t>.</w:t>
      </w:r>
    </w:p>
    <w:p w14:paraId="2EEA8D55" w14:textId="5C226487" w:rsidR="005909A6" w:rsidRDefault="005909A6"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Liczba badań sprzętu do aplikacji środków ochrony roślin w Polsce utrzymuje się na stabilnym poziomie</w:t>
      </w:r>
      <w:r w:rsidR="00F27DD8">
        <w:rPr>
          <w:rFonts w:ascii="Arial" w:hAnsi="Arial" w:cs="Arial"/>
        </w:rPr>
        <w:t>, co przedstawia wykres poniżej</w:t>
      </w:r>
      <w:r w:rsidR="00162AA0">
        <w:rPr>
          <w:rFonts w:ascii="Arial" w:hAnsi="Arial" w:cs="Arial"/>
        </w:rPr>
        <w:t>.</w:t>
      </w:r>
      <w:r w:rsidRPr="00925BCD">
        <w:rPr>
          <w:rFonts w:ascii="Arial" w:hAnsi="Arial" w:cs="Arial"/>
        </w:rPr>
        <w:t xml:space="preserve"> </w:t>
      </w:r>
    </w:p>
    <w:p w14:paraId="11297D4B" w14:textId="1546CDC9" w:rsidR="00CD011C" w:rsidRDefault="00CD011C">
      <w:pPr>
        <w:spacing w:after="0" w:line="240" w:lineRule="auto"/>
        <w:rPr>
          <w:rFonts w:ascii="Arial" w:eastAsia="Times New Roman" w:hAnsi="Arial" w:cs="Arial"/>
          <w:sz w:val="20"/>
          <w:szCs w:val="20"/>
          <w:lang w:eastAsia="pl-PL"/>
        </w:rPr>
      </w:pPr>
    </w:p>
    <w:p w14:paraId="773CB74A" w14:textId="2E9DF1D3" w:rsidR="005909A6" w:rsidRPr="00925BCD" w:rsidRDefault="005909A6" w:rsidP="002C4D7D">
      <w:pPr>
        <w:jc w:val="center"/>
        <w:rPr>
          <w:rFonts w:ascii="Arial" w:hAnsi="Arial" w:cs="Arial"/>
          <w:b/>
          <w:bCs/>
          <w:szCs w:val="18"/>
        </w:rPr>
      </w:pPr>
      <w:r w:rsidRPr="00AE1379">
        <w:rPr>
          <w:rFonts w:ascii="Arial" w:hAnsi="Arial" w:cs="Arial"/>
          <w:b/>
          <w:bCs/>
          <w:szCs w:val="18"/>
        </w:rPr>
        <w:t>Wykres 3. Badania sprzętu do aplikacji środków ochrony roślin</w:t>
      </w:r>
    </w:p>
    <w:p w14:paraId="6F5081AC" w14:textId="77777777" w:rsidR="005877FF" w:rsidRPr="00925BCD" w:rsidRDefault="002E626F" w:rsidP="002C4D7D">
      <w:pPr>
        <w:tabs>
          <w:tab w:val="center" w:pos="4536"/>
          <w:tab w:val="right" w:pos="9072"/>
        </w:tabs>
        <w:suppressAutoHyphens/>
        <w:autoSpaceDN w:val="0"/>
        <w:spacing w:before="120" w:after="120" w:line="360" w:lineRule="auto"/>
        <w:ind w:firstLine="357"/>
        <w:jc w:val="center"/>
        <w:textAlignment w:val="baseline"/>
        <w:rPr>
          <w:rFonts w:ascii="Arial" w:hAnsi="Arial" w:cs="Arial"/>
        </w:rPr>
      </w:pPr>
      <w:r w:rsidRPr="006D456B">
        <w:rPr>
          <w:rFonts w:ascii="Arial" w:hAnsi="Arial" w:cs="Arial"/>
          <w:noProof/>
          <w:lang w:eastAsia="pl-PL"/>
        </w:rPr>
        <w:drawing>
          <wp:inline distT="0" distB="0" distL="0" distR="0" wp14:anchorId="329ED5D8" wp14:editId="63E3FFDE">
            <wp:extent cx="5518150" cy="2755900"/>
            <wp:effectExtent l="0" t="0" r="6350" b="635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8BA3FC" w14:textId="77777777" w:rsidR="00056846" w:rsidRPr="00925BCD" w:rsidRDefault="00E54725">
      <w:pPr>
        <w:pStyle w:val="Nagwek1"/>
        <w:numPr>
          <w:ilvl w:val="1"/>
          <w:numId w:val="9"/>
        </w:numPr>
        <w:tabs>
          <w:tab w:val="left" w:pos="426"/>
        </w:tabs>
        <w:ind w:left="709" w:hanging="709"/>
        <w:jc w:val="both"/>
        <w:rPr>
          <w:i w:val="0"/>
          <w:sz w:val="22"/>
          <w:szCs w:val="22"/>
        </w:rPr>
      </w:pPr>
      <w:bookmarkStart w:id="23" w:name="_Toc161744868"/>
      <w:r w:rsidRPr="00925BCD">
        <w:rPr>
          <w:i w:val="0"/>
          <w:sz w:val="22"/>
          <w:szCs w:val="22"/>
        </w:rPr>
        <w:t>Mierniki służące monitorowaniu</w:t>
      </w:r>
      <w:bookmarkEnd w:id="23"/>
    </w:p>
    <w:p w14:paraId="4E1EE82B" w14:textId="269ADAA4" w:rsidR="00056846" w:rsidRPr="00925BCD" w:rsidRDefault="00E54725" w:rsidP="00114D52">
      <w:pPr>
        <w:pStyle w:val="napakapit"/>
        <w:spacing w:before="0"/>
        <w:ind w:firstLine="357"/>
        <w:rPr>
          <w:rFonts w:cs="Arial"/>
        </w:rPr>
      </w:pPr>
      <w:r w:rsidRPr="00925BCD">
        <w:rPr>
          <w:rFonts w:cs="Arial"/>
        </w:rPr>
        <w:t xml:space="preserve">Efektywność działania </w:t>
      </w:r>
      <w:r w:rsidR="00364634">
        <w:rPr>
          <w:rFonts w:cs="Arial"/>
        </w:rPr>
        <w:t>jest</w:t>
      </w:r>
      <w:r w:rsidR="00364634" w:rsidRPr="00925BCD">
        <w:rPr>
          <w:rFonts w:cs="Arial"/>
        </w:rPr>
        <w:t xml:space="preserve"> </w:t>
      </w:r>
      <w:r w:rsidRPr="00925BCD">
        <w:rPr>
          <w:rFonts w:cs="Arial"/>
        </w:rPr>
        <w:t>oceniana na podstawie odsetka znajdującego się w użyciu sprzętu do stosowania środków ochrony roślin, który jest regularnie poddawany obowiązkowym badaniom sprawności technicznej. W 2022 r. poziom  nieprawidłowości w tym zakresie, stwierdzanych w ramach kontroli prowadzonej przez Państwową Inspekcję Ochrony Roślin i Nasiennictwa, powinien wynosić poniżej 1%.</w:t>
      </w:r>
    </w:p>
    <w:p w14:paraId="12BD8993" w14:textId="2D8FDEA0" w:rsidR="00056846" w:rsidRDefault="00E54725" w:rsidP="00114D52">
      <w:pPr>
        <w:pStyle w:val="napakapit"/>
        <w:spacing w:before="0"/>
        <w:ind w:firstLine="357"/>
        <w:rPr>
          <w:rFonts w:cs="Arial"/>
        </w:rPr>
      </w:pPr>
      <w:r w:rsidRPr="00925BCD">
        <w:rPr>
          <w:rFonts w:cs="Arial"/>
        </w:rPr>
        <w:t>W 2018 r. poziom nieprawidłowości wyniósł 1,41%</w:t>
      </w:r>
      <w:r w:rsidR="00B075F3" w:rsidRPr="00925BCD">
        <w:rPr>
          <w:rFonts w:cs="Arial"/>
        </w:rPr>
        <w:t>,</w:t>
      </w:r>
      <w:r w:rsidR="00DC6EA1">
        <w:rPr>
          <w:rFonts w:cs="Arial"/>
        </w:rPr>
        <w:t xml:space="preserve"> a</w:t>
      </w:r>
      <w:r w:rsidR="008510AB" w:rsidRPr="00925BCD">
        <w:rPr>
          <w:rFonts w:cs="Arial"/>
        </w:rPr>
        <w:t xml:space="preserve"> w 2019 r. wyniósł 1,34</w:t>
      </w:r>
      <w:r w:rsidR="008510AB" w:rsidRPr="001A314E">
        <w:rPr>
          <w:rFonts w:cs="Arial"/>
        </w:rPr>
        <w:t>%</w:t>
      </w:r>
      <w:r w:rsidR="00B3153A">
        <w:rPr>
          <w:rFonts w:cs="Arial"/>
        </w:rPr>
        <w:t>. W</w:t>
      </w:r>
      <w:r w:rsidR="00D91036" w:rsidRPr="001A314E">
        <w:rPr>
          <w:rFonts w:cs="Arial"/>
        </w:rPr>
        <w:t xml:space="preserve"> 2020</w:t>
      </w:r>
      <w:r w:rsidR="00797A5D">
        <w:rPr>
          <w:rFonts w:cs="Arial"/>
        </w:rPr>
        <w:t> </w:t>
      </w:r>
      <w:r w:rsidR="00D91036" w:rsidRPr="001A314E">
        <w:rPr>
          <w:rFonts w:cs="Arial"/>
        </w:rPr>
        <w:t>r.</w:t>
      </w:r>
      <w:r w:rsidR="001A314E" w:rsidRPr="001A314E">
        <w:rPr>
          <w:rFonts w:cs="Arial"/>
        </w:rPr>
        <w:t xml:space="preserve"> </w:t>
      </w:r>
      <w:r w:rsidR="00507F25">
        <w:rPr>
          <w:rFonts w:cs="Arial"/>
        </w:rPr>
        <w:t>i 2021</w:t>
      </w:r>
      <w:r w:rsidR="00797A5D">
        <w:rPr>
          <w:rFonts w:cs="Arial"/>
        </w:rPr>
        <w:t> </w:t>
      </w:r>
      <w:r w:rsidR="00507F25">
        <w:rPr>
          <w:rFonts w:cs="Arial"/>
        </w:rPr>
        <w:t xml:space="preserve">r. </w:t>
      </w:r>
      <w:r w:rsidR="00B3153A">
        <w:rPr>
          <w:rFonts w:cs="Arial"/>
        </w:rPr>
        <w:t xml:space="preserve">odsetek sprzętu przeznaczonego do stosowania środków ochrony roślin nieposiadającego aktualnych dowodów badania sprawności technicznej </w:t>
      </w:r>
      <w:r w:rsidR="001A314E" w:rsidRPr="001B4C76">
        <w:rPr>
          <w:rFonts w:cs="Arial"/>
        </w:rPr>
        <w:t>wyniósł 0,86%</w:t>
      </w:r>
      <w:r w:rsidR="00507F25" w:rsidRPr="001B4C76">
        <w:rPr>
          <w:rFonts w:cs="Arial"/>
        </w:rPr>
        <w:t xml:space="preserve"> i </w:t>
      </w:r>
      <w:r w:rsidR="00D3442C" w:rsidRPr="001B4C76">
        <w:rPr>
          <w:rFonts w:cs="Arial"/>
        </w:rPr>
        <w:t>0,81%</w:t>
      </w:r>
      <w:r w:rsidR="00B3153A" w:rsidRPr="001B4C76">
        <w:rPr>
          <w:rFonts w:cs="Arial"/>
        </w:rPr>
        <w:t>, przy czym z racji sytuacji pandemicznej nie traktowano tego jako nieprawidłowości</w:t>
      </w:r>
      <w:r w:rsidR="001B4C76" w:rsidRPr="002670C8">
        <w:rPr>
          <w:rFonts w:cs="Arial"/>
        </w:rPr>
        <w:t>.</w:t>
      </w:r>
      <w:r w:rsidR="00FA202B" w:rsidRPr="002670C8">
        <w:rPr>
          <w:rFonts w:cs="Arial"/>
        </w:rPr>
        <w:t xml:space="preserve"> W 2022 r.</w:t>
      </w:r>
      <w:r w:rsidR="00BC4C97" w:rsidRPr="002670C8">
        <w:rPr>
          <w:rFonts w:cs="Arial"/>
        </w:rPr>
        <w:t xml:space="preserve"> mier</w:t>
      </w:r>
      <w:r w:rsidR="00BC4C97">
        <w:rPr>
          <w:rFonts w:cs="Arial"/>
        </w:rPr>
        <w:t>nik wyniósł 0,56%</w:t>
      </w:r>
      <w:r w:rsidR="002670C8">
        <w:rPr>
          <w:rFonts w:cs="Arial"/>
        </w:rPr>
        <w:t xml:space="preserve">, </w:t>
      </w:r>
      <w:r w:rsidR="002670C8" w:rsidRPr="002670C8">
        <w:rPr>
          <w:rFonts w:cs="Arial"/>
        </w:rPr>
        <w:t xml:space="preserve">tym samym miernik </w:t>
      </w:r>
      <w:r w:rsidR="002670C8">
        <w:rPr>
          <w:rFonts w:cs="Arial"/>
        </w:rPr>
        <w:t>4</w:t>
      </w:r>
      <w:r w:rsidR="002670C8" w:rsidRPr="002670C8">
        <w:rPr>
          <w:rFonts w:cs="Arial"/>
        </w:rPr>
        <w:t>.1. został zrealizowany.</w:t>
      </w:r>
    </w:p>
    <w:p w14:paraId="6D37CDA6" w14:textId="5DD331D0" w:rsidR="002670C8" w:rsidRPr="00925BCD" w:rsidRDefault="00791117" w:rsidP="00657084">
      <w:pPr>
        <w:pStyle w:val="napakapit"/>
        <w:spacing w:before="0"/>
        <w:ind w:firstLine="357"/>
        <w:rPr>
          <w:rFonts w:cs="Arial"/>
        </w:rPr>
      </w:pPr>
      <w:r>
        <w:rPr>
          <w:rFonts w:cs="Arial"/>
        </w:rPr>
        <w:t>Podkreślenia wymaga fakt, że</w:t>
      </w:r>
      <w:r w:rsidR="003920A7">
        <w:rPr>
          <w:rFonts w:cs="Arial"/>
        </w:rPr>
        <w:t xml:space="preserve"> </w:t>
      </w:r>
      <w:r w:rsidR="00657084" w:rsidRPr="00657084">
        <w:rPr>
          <w:rFonts w:cs="Arial"/>
        </w:rPr>
        <w:t>2022</w:t>
      </w:r>
      <w:r w:rsidR="003920A7">
        <w:rPr>
          <w:rFonts w:cs="Arial"/>
        </w:rPr>
        <w:t xml:space="preserve"> r.</w:t>
      </w:r>
      <w:r w:rsidR="00657084" w:rsidRPr="00657084">
        <w:rPr>
          <w:rFonts w:cs="Arial"/>
        </w:rPr>
        <w:t xml:space="preserve"> był szczególny</w:t>
      </w:r>
      <w:r w:rsidR="00E1703D">
        <w:rPr>
          <w:rFonts w:cs="Arial"/>
        </w:rPr>
        <w:t xml:space="preserve">, z </w:t>
      </w:r>
      <w:r w:rsidR="00657084" w:rsidRPr="00657084">
        <w:rPr>
          <w:rFonts w:cs="Arial"/>
        </w:rPr>
        <w:t xml:space="preserve">powodu </w:t>
      </w:r>
      <w:r w:rsidR="00E1703D">
        <w:rPr>
          <w:rFonts w:cs="Arial"/>
        </w:rPr>
        <w:t xml:space="preserve">trwającej </w:t>
      </w:r>
      <w:r w:rsidR="00657084" w:rsidRPr="00657084">
        <w:rPr>
          <w:rFonts w:cs="Arial"/>
        </w:rPr>
        <w:t xml:space="preserve">sytuacji epidemicznej </w:t>
      </w:r>
      <w:r w:rsidR="00657084" w:rsidRPr="00657084">
        <w:rPr>
          <w:rFonts w:cs="Arial"/>
        </w:rPr>
        <w:lastRenderedPageBreak/>
        <w:t>związanej</w:t>
      </w:r>
      <w:r w:rsidR="00E1703D">
        <w:rPr>
          <w:rFonts w:cs="Arial"/>
        </w:rPr>
        <w:t xml:space="preserve"> </w:t>
      </w:r>
      <w:r w:rsidR="00657084" w:rsidRPr="00657084">
        <w:rPr>
          <w:rFonts w:cs="Arial"/>
        </w:rPr>
        <w:t>z pandemią koronawirusa SARS-CoV-2. Wprowadzone rozwiązania prawne, które okresowo zawiesiły</w:t>
      </w:r>
      <w:r w:rsidR="00E1703D">
        <w:rPr>
          <w:rFonts w:cs="Arial"/>
        </w:rPr>
        <w:t xml:space="preserve"> </w:t>
      </w:r>
      <w:r w:rsidR="00657084" w:rsidRPr="00657084">
        <w:rPr>
          <w:rFonts w:cs="Arial"/>
        </w:rPr>
        <w:t>obowiązek potwierdzania sprawności technicznej sprzętu do stosowania środków ochrony roślin nie</w:t>
      </w:r>
      <w:r w:rsidR="00E1703D">
        <w:rPr>
          <w:rFonts w:cs="Arial"/>
        </w:rPr>
        <w:t xml:space="preserve"> </w:t>
      </w:r>
      <w:r w:rsidR="00657084" w:rsidRPr="00657084">
        <w:rPr>
          <w:rFonts w:cs="Arial"/>
        </w:rPr>
        <w:t>wpłynęły na zmniejszenia liczby przeprowadzonych badań sprzętu w porównaniu do 2021</w:t>
      </w:r>
      <w:r w:rsidR="007440EF">
        <w:rPr>
          <w:rFonts w:cs="Arial"/>
        </w:rPr>
        <w:t xml:space="preserve"> r</w:t>
      </w:r>
      <w:r w:rsidR="00657084" w:rsidRPr="00657084">
        <w:rPr>
          <w:rFonts w:cs="Arial"/>
        </w:rPr>
        <w:t>.</w:t>
      </w:r>
    </w:p>
    <w:p w14:paraId="0C53789D" w14:textId="77777777" w:rsidR="00056846" w:rsidRPr="00925BCD" w:rsidRDefault="00E54725">
      <w:pPr>
        <w:pStyle w:val="Nagwek1"/>
        <w:numPr>
          <w:ilvl w:val="0"/>
          <w:numId w:val="9"/>
        </w:numPr>
        <w:jc w:val="both"/>
        <w:rPr>
          <w:sz w:val="22"/>
          <w:szCs w:val="22"/>
        </w:rPr>
      </w:pPr>
      <w:bookmarkStart w:id="24" w:name="_Toc161744869"/>
      <w:r w:rsidRPr="00925BCD">
        <w:rPr>
          <w:i w:val="0"/>
          <w:sz w:val="22"/>
          <w:szCs w:val="22"/>
        </w:rPr>
        <w:t>Działanie 5. Zabiegi agrolotnicze</w:t>
      </w:r>
      <w:bookmarkEnd w:id="24"/>
    </w:p>
    <w:p w14:paraId="7946D8F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Wymagania i obowiązki związane z wykonywaniem zabiegów z zastosowaniem środków ochrony roślin przy użyciu sprzętu agrolotniczego w Polsce, zarówno dla stosujących te środki, jak i dla służb kontrolnych, określają przepisy ustawy z dnia 8 marca 2013 r. o środkach ochrony roślin oraz przepisy rozporządzenia Ministra Rolnictwa i Rozwoju Wsi z dnia 18 kwietnia 2013 r. w sprawie rozwiązań technicznych, jakie powinny być zastosowane podczas wykonywania zabiegów z zastosowaniem środków ochrony roślin przy użyciu sprzętu agrolotniczego (Dz. U. poz. 504), rozporządzenia Ministra Rolnictwa i Rozwoju Wsi z dnia 22 maja 2013 r. w sprawie sposobu postępowania przy stosowaniu i przechowywaniu środków ochrony roślin (Dz. U. poz. 625) oraz rozporządzenia Ministra Rolnictwa i Rozwoju Wsi z dnia z dnia 31 marca 2014 r. w sprawie warunków stosowania środków ochrony roślin (Dz. U. poz. 516). </w:t>
      </w:r>
    </w:p>
    <w:p w14:paraId="2DFDF224" w14:textId="415D99EA" w:rsidR="00056846" w:rsidRPr="00D91036" w:rsidRDefault="00E54725" w:rsidP="00114D52">
      <w:pPr>
        <w:tabs>
          <w:tab w:val="center" w:pos="4536"/>
          <w:tab w:val="right" w:pos="9072"/>
        </w:tabs>
        <w:spacing w:after="120" w:line="360" w:lineRule="auto"/>
        <w:ind w:firstLine="357"/>
        <w:jc w:val="both"/>
        <w:rPr>
          <w:rFonts w:ascii="Arial" w:hAnsi="Arial" w:cs="Arial"/>
          <w:iCs/>
          <w:sz w:val="20"/>
          <w:szCs w:val="20"/>
        </w:rPr>
      </w:pPr>
      <w:r w:rsidRPr="00D91036">
        <w:rPr>
          <w:rFonts w:ascii="Arial" w:hAnsi="Arial" w:cs="Arial"/>
          <w:iCs/>
          <w:sz w:val="20"/>
          <w:szCs w:val="20"/>
        </w:rPr>
        <w:t>Powyższe przepisy określają zasady wykonywania zabiegów ochrony roślin z wykorzystaniem sprzętu agrolotniczego, w tym:</w:t>
      </w:r>
    </w:p>
    <w:p w14:paraId="023F1F55"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środki ochrony roślin, które nie mogą być stosowane przy użyciu sprzętu agrolotniczego;</w:t>
      </w:r>
    </w:p>
    <w:p w14:paraId="4AA1A199"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zasady zatwierdzania planów takich zabiegów przez Państwową Inspekcję Ochrony Roślin i Nasiennictwa;</w:t>
      </w:r>
    </w:p>
    <w:p w14:paraId="35C13A62"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sposoby ostrzegania o wykonywaniu takich zabiegów osób, które mogłyby być narażone na przypadkowy kontakt ze środkiem ochrony roślin;</w:t>
      </w:r>
    </w:p>
    <w:p w14:paraId="50E99D3D"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warunki, w jakich zabiegi takie mogą się odbywać, w tym w odniesieniu do warunków atmosferycznych,</w:t>
      </w:r>
    </w:p>
    <w:p w14:paraId="2D420C9F"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 xml:space="preserve">wymagania dotyczące wyposażenia statku powietrznego (w urządzenia wykorzystujące sygnał GPS do naprowadzania statku powietrznego na ścieżkę zabiegu oraz rozpoczęcia i zakończenia oprysku). </w:t>
      </w:r>
    </w:p>
    <w:p w14:paraId="59EAF2F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Zabiegi agrolotnicze w Polsce są wykonywane tylko i wyłącznie w lasach, które zajmują 29,4% terytorium kraju i rosną na obszarze 9,1 mln ha. Zabiegi te są wykonywane głównie przeciwko brudnicy mniszce (Lymantria monacha), barczatce sosnówce (Dendrolimus pini), strzygoni choinówce (Panolis flammea), osnui gwiaździstej (Acantholyda posticalis), borecznikom sosnowym (Diptrion sp.), chrabąszczowatym (Melolontha sp.), zwójkowatym (Tortricidae) i miernikowcowatym (Geometridae). </w:t>
      </w:r>
    </w:p>
    <w:p w14:paraId="7821AE3C" w14:textId="50DE6666" w:rsidR="00E76B18" w:rsidRPr="004821BC" w:rsidRDefault="00E54725" w:rsidP="00114D52">
      <w:pPr>
        <w:pStyle w:val="NormalnyWeb"/>
        <w:tabs>
          <w:tab w:val="left" w:pos="284"/>
        </w:tabs>
        <w:spacing w:beforeAutospacing="0" w:after="120" w:afterAutospacing="0" w:line="360" w:lineRule="auto"/>
        <w:ind w:firstLine="284"/>
        <w:jc w:val="both"/>
        <w:rPr>
          <w:rFonts w:ascii="Arial" w:hAnsi="Arial" w:cs="Arial"/>
          <w:bCs/>
        </w:rPr>
      </w:pPr>
      <w:bookmarkStart w:id="25" w:name="_Hlk148011877"/>
      <w:r w:rsidRPr="00925BCD">
        <w:rPr>
          <w:rFonts w:ascii="Arial" w:hAnsi="Arial" w:cs="Arial"/>
        </w:rPr>
        <w:t xml:space="preserve">W </w:t>
      </w:r>
      <w:r w:rsidR="008D7A04">
        <w:rPr>
          <w:rFonts w:ascii="Arial" w:hAnsi="Arial" w:cs="Arial"/>
        </w:rPr>
        <w:t xml:space="preserve">latach </w:t>
      </w:r>
      <w:r w:rsidRPr="00925BCD">
        <w:rPr>
          <w:rFonts w:ascii="Arial" w:hAnsi="Arial" w:cs="Arial"/>
        </w:rPr>
        <w:t xml:space="preserve">2018 </w:t>
      </w:r>
      <w:r w:rsidR="008D7A04" w:rsidRPr="008D7A04">
        <w:rPr>
          <w:rFonts w:ascii="Arial" w:hAnsi="Arial" w:cs="Arial"/>
        </w:rPr>
        <w:t>–</w:t>
      </w:r>
      <w:r w:rsidR="008D7A04">
        <w:rPr>
          <w:rFonts w:ascii="Arial" w:hAnsi="Arial" w:cs="Arial"/>
        </w:rPr>
        <w:t xml:space="preserve"> 202</w:t>
      </w:r>
      <w:r w:rsidR="000E3F45">
        <w:rPr>
          <w:rFonts w:ascii="Arial" w:hAnsi="Arial" w:cs="Arial"/>
        </w:rPr>
        <w:t>2</w:t>
      </w:r>
      <w:r w:rsidR="008D7A04">
        <w:rPr>
          <w:rFonts w:ascii="Arial" w:hAnsi="Arial" w:cs="Arial"/>
        </w:rPr>
        <w:t xml:space="preserve"> </w:t>
      </w:r>
      <w:r w:rsidRPr="00925BCD">
        <w:rPr>
          <w:rFonts w:ascii="Arial" w:hAnsi="Arial" w:cs="Arial"/>
        </w:rPr>
        <w:t>r</w:t>
      </w:r>
      <w:r w:rsidR="00114D52" w:rsidRPr="00925BCD">
        <w:rPr>
          <w:rFonts w:ascii="Arial" w:hAnsi="Arial" w:cs="Arial"/>
        </w:rPr>
        <w:t>.</w:t>
      </w:r>
      <w:r w:rsidRPr="00925BCD">
        <w:rPr>
          <w:rFonts w:ascii="Arial" w:hAnsi="Arial" w:cs="Arial"/>
        </w:rPr>
        <w:t xml:space="preserve"> </w:t>
      </w:r>
      <w:r w:rsidR="006646DC">
        <w:rPr>
          <w:rFonts w:ascii="Arial" w:hAnsi="Arial" w:cs="Arial"/>
        </w:rPr>
        <w:t>(po weryfikacji danych przez PIORiN</w:t>
      </w:r>
      <w:r w:rsidR="006646DC" w:rsidRPr="004821BC">
        <w:rPr>
          <w:rFonts w:ascii="Arial" w:hAnsi="Arial" w:cs="Arial"/>
        </w:rPr>
        <w:t xml:space="preserve">) </w:t>
      </w:r>
      <w:r w:rsidRPr="004821BC">
        <w:rPr>
          <w:rFonts w:ascii="Arial" w:hAnsi="Arial" w:cs="Arial"/>
        </w:rPr>
        <w:t xml:space="preserve">zabiegi agrolotnicze zostały wykonane na obszarze </w:t>
      </w:r>
      <w:r w:rsidR="005733C2" w:rsidRPr="004821BC">
        <w:rPr>
          <w:rFonts w:ascii="Arial" w:hAnsi="Arial" w:cs="Arial"/>
        </w:rPr>
        <w:t>od 11 do 16</w:t>
      </w:r>
      <w:r w:rsidR="003C2D51" w:rsidRPr="004821BC">
        <w:rPr>
          <w:rFonts w:ascii="Arial" w:hAnsi="Arial" w:cs="Arial"/>
        </w:rPr>
        <w:t> </w:t>
      </w:r>
      <w:r w:rsidRPr="004821BC">
        <w:rPr>
          <w:rFonts w:ascii="Arial" w:hAnsi="Arial" w:cs="Arial"/>
        </w:rPr>
        <w:t xml:space="preserve">województw, obejmując łącznie powierzchnię </w:t>
      </w:r>
      <w:r w:rsidR="00A62F5E" w:rsidRPr="004821BC">
        <w:rPr>
          <w:rFonts w:ascii="Arial" w:hAnsi="Arial" w:cs="Arial"/>
        </w:rPr>
        <w:t xml:space="preserve">od </w:t>
      </w:r>
      <w:r w:rsidR="0007171E" w:rsidRPr="004821BC">
        <w:rPr>
          <w:rFonts w:ascii="Arial" w:hAnsi="Arial" w:cs="Arial"/>
        </w:rPr>
        <w:t>48 869</w:t>
      </w:r>
      <w:r w:rsidR="008608BC" w:rsidRPr="004821BC">
        <w:rPr>
          <w:rFonts w:ascii="Arial" w:hAnsi="Arial" w:cs="Arial"/>
        </w:rPr>
        <w:t xml:space="preserve"> ha w 2020 do </w:t>
      </w:r>
      <w:r w:rsidRPr="004821BC">
        <w:rPr>
          <w:rFonts w:ascii="Arial" w:hAnsi="Arial" w:cs="Arial"/>
        </w:rPr>
        <w:t>2</w:t>
      </w:r>
      <w:r w:rsidR="006549D5" w:rsidRPr="004821BC">
        <w:rPr>
          <w:rFonts w:ascii="Arial" w:hAnsi="Arial" w:cs="Arial"/>
        </w:rPr>
        <w:t>3</w:t>
      </w:r>
      <w:r w:rsidR="004F31FA" w:rsidRPr="004821BC">
        <w:rPr>
          <w:rFonts w:ascii="Arial" w:hAnsi="Arial" w:cs="Arial"/>
        </w:rPr>
        <w:t xml:space="preserve">3 945 </w:t>
      </w:r>
      <w:r w:rsidRPr="004821BC">
        <w:rPr>
          <w:rFonts w:ascii="Arial" w:hAnsi="Arial" w:cs="Arial"/>
        </w:rPr>
        <w:t>ha</w:t>
      </w:r>
      <w:r w:rsidR="008608BC" w:rsidRPr="004821BC">
        <w:rPr>
          <w:rFonts w:ascii="Arial" w:hAnsi="Arial" w:cs="Arial"/>
        </w:rPr>
        <w:t xml:space="preserve"> w 201</w:t>
      </w:r>
      <w:r w:rsidR="00220800" w:rsidRPr="004821BC">
        <w:rPr>
          <w:rFonts w:ascii="Arial" w:hAnsi="Arial" w:cs="Arial"/>
        </w:rPr>
        <w:t>9</w:t>
      </w:r>
      <w:r w:rsidR="008608BC" w:rsidRPr="004821BC">
        <w:rPr>
          <w:rFonts w:ascii="Arial" w:hAnsi="Arial" w:cs="Arial"/>
        </w:rPr>
        <w:t xml:space="preserve"> r</w:t>
      </w:r>
      <w:r w:rsidRPr="004821BC">
        <w:rPr>
          <w:rFonts w:ascii="Arial" w:hAnsi="Arial" w:cs="Arial"/>
          <w:bCs/>
        </w:rPr>
        <w:t xml:space="preserve">. </w:t>
      </w:r>
      <w:bookmarkEnd w:id="25"/>
      <w:r w:rsidR="00076DC9" w:rsidRPr="004821BC">
        <w:rPr>
          <w:rFonts w:ascii="Arial" w:hAnsi="Arial" w:cs="Arial"/>
          <w:bCs/>
        </w:rPr>
        <w:t>We wszystkich latach o</w:t>
      </w:r>
      <w:r w:rsidRPr="004821BC">
        <w:rPr>
          <w:rFonts w:ascii="Arial" w:hAnsi="Arial" w:cs="Arial"/>
          <w:bCs/>
        </w:rPr>
        <w:t xml:space="preserve">rganizmy szkodliwe w drzewostanach iglastych i liściastych zwalczane były przy użyciu </w:t>
      </w:r>
      <w:r w:rsidR="00C44720" w:rsidRPr="004821BC">
        <w:rPr>
          <w:rFonts w:ascii="Arial" w:hAnsi="Arial" w:cs="Arial"/>
          <w:bCs/>
        </w:rPr>
        <w:t xml:space="preserve">tych samych </w:t>
      </w:r>
      <w:r w:rsidR="00364634" w:rsidRPr="004821BC">
        <w:rPr>
          <w:rFonts w:ascii="Arial" w:hAnsi="Arial" w:cs="Arial"/>
          <w:bCs/>
        </w:rPr>
        <w:t xml:space="preserve">środków ochrony roślin </w:t>
      </w:r>
      <w:r w:rsidR="00C44720" w:rsidRPr="004821BC">
        <w:rPr>
          <w:rFonts w:ascii="Arial" w:hAnsi="Arial" w:cs="Arial"/>
          <w:bCs/>
        </w:rPr>
        <w:t>tj.</w:t>
      </w:r>
      <w:r w:rsidRPr="004821BC">
        <w:rPr>
          <w:rFonts w:ascii="Arial" w:hAnsi="Arial" w:cs="Arial"/>
          <w:bCs/>
        </w:rPr>
        <w:t>: Mospilan</w:t>
      </w:r>
      <w:r w:rsidR="006109E9" w:rsidRPr="004821BC">
        <w:rPr>
          <w:rFonts w:ascii="Arial" w:hAnsi="Arial" w:cs="Arial"/>
          <w:bCs/>
        </w:rPr>
        <w:t>u</w:t>
      </w:r>
      <w:r w:rsidRPr="004821BC">
        <w:rPr>
          <w:rFonts w:ascii="Arial" w:hAnsi="Arial" w:cs="Arial"/>
          <w:bCs/>
        </w:rPr>
        <w:t xml:space="preserve"> 20 SP, Dimilin</w:t>
      </w:r>
      <w:r w:rsidR="006109E9" w:rsidRPr="004821BC">
        <w:rPr>
          <w:rFonts w:ascii="Arial" w:hAnsi="Arial" w:cs="Arial"/>
          <w:bCs/>
        </w:rPr>
        <w:t>u</w:t>
      </w:r>
      <w:r w:rsidRPr="004821BC">
        <w:rPr>
          <w:rFonts w:ascii="Arial" w:hAnsi="Arial" w:cs="Arial"/>
          <w:bCs/>
        </w:rPr>
        <w:t> 480 SC oraz</w:t>
      </w:r>
      <w:r w:rsidR="006109E9" w:rsidRPr="004821BC">
        <w:rPr>
          <w:rFonts w:ascii="Arial" w:hAnsi="Arial" w:cs="Arial"/>
          <w:bCs/>
        </w:rPr>
        <w:t xml:space="preserve"> </w:t>
      </w:r>
      <w:r w:rsidRPr="004821BC">
        <w:rPr>
          <w:rFonts w:ascii="Arial" w:hAnsi="Arial" w:cs="Arial"/>
          <w:bCs/>
        </w:rPr>
        <w:t>Foray</w:t>
      </w:r>
      <w:r w:rsidR="006109E9" w:rsidRPr="004821BC">
        <w:rPr>
          <w:rFonts w:ascii="Arial" w:hAnsi="Arial" w:cs="Arial"/>
          <w:bCs/>
        </w:rPr>
        <w:t> </w:t>
      </w:r>
      <w:r w:rsidRPr="004821BC">
        <w:rPr>
          <w:rFonts w:ascii="Arial" w:hAnsi="Arial" w:cs="Arial"/>
          <w:bCs/>
        </w:rPr>
        <w:t xml:space="preserve">76 B. </w:t>
      </w:r>
    </w:p>
    <w:p w14:paraId="257811AD" w14:textId="031BF9A3" w:rsidR="00056846" w:rsidRPr="00721C83" w:rsidRDefault="00E80E30" w:rsidP="00721C83">
      <w:pPr>
        <w:pStyle w:val="napakapit"/>
        <w:spacing w:before="0"/>
        <w:ind w:firstLine="357"/>
        <w:rPr>
          <w:rFonts w:cs="Arial"/>
        </w:rPr>
      </w:pPr>
      <w:r w:rsidRPr="004821BC">
        <w:rPr>
          <w:rFonts w:cs="Arial"/>
          <w:bCs/>
        </w:rPr>
        <w:t>Corocznie i</w:t>
      </w:r>
      <w:r w:rsidR="00E54725" w:rsidRPr="004821BC">
        <w:rPr>
          <w:rFonts w:cs="Arial"/>
          <w:bCs/>
        </w:rPr>
        <w:t>nspektorzy Państwowej Inspekcji Ochrony Roślin i Nasiennictwa przeprowadzili kontrol</w:t>
      </w:r>
      <w:r w:rsidR="0002775D" w:rsidRPr="004821BC">
        <w:rPr>
          <w:rFonts w:cs="Arial"/>
          <w:bCs/>
        </w:rPr>
        <w:t>e</w:t>
      </w:r>
      <w:r w:rsidR="00E54725" w:rsidRPr="004821BC">
        <w:rPr>
          <w:rFonts w:cs="Arial"/>
          <w:bCs/>
        </w:rPr>
        <w:t xml:space="preserve"> planowan</w:t>
      </w:r>
      <w:r w:rsidR="0002775D" w:rsidRPr="004821BC">
        <w:rPr>
          <w:rFonts w:cs="Arial"/>
          <w:bCs/>
        </w:rPr>
        <w:t>e</w:t>
      </w:r>
      <w:r w:rsidR="00E54725" w:rsidRPr="004821BC">
        <w:rPr>
          <w:rFonts w:cs="Arial"/>
          <w:bCs/>
        </w:rPr>
        <w:t xml:space="preserve"> produkcji leśnej i interwencyjne, w tym w odniesieniu do zabiegów wykonywanych przy </w:t>
      </w:r>
      <w:r w:rsidR="00E54725" w:rsidRPr="00721C83">
        <w:rPr>
          <w:rFonts w:cs="Arial"/>
        </w:rPr>
        <w:lastRenderedPageBreak/>
        <w:t>zastosowaniu st</w:t>
      </w:r>
      <w:r w:rsidR="00114D52" w:rsidRPr="00721C83">
        <w:rPr>
          <w:rFonts w:cs="Arial"/>
        </w:rPr>
        <w:t>at</w:t>
      </w:r>
      <w:r w:rsidR="00E54725" w:rsidRPr="00721C83">
        <w:rPr>
          <w:rFonts w:cs="Arial"/>
        </w:rPr>
        <w:t>ków powietrznych.</w:t>
      </w:r>
    </w:p>
    <w:p w14:paraId="4EA91656" w14:textId="78D00720" w:rsidR="0041082F" w:rsidRPr="00F841F4" w:rsidRDefault="007D5421" w:rsidP="00721C83">
      <w:pPr>
        <w:pStyle w:val="napakapit"/>
        <w:spacing w:before="0"/>
        <w:ind w:firstLine="357"/>
        <w:rPr>
          <w:rFonts w:cs="Arial"/>
          <w:bCs/>
        </w:rPr>
      </w:pPr>
      <w:r w:rsidRPr="004821BC">
        <w:rPr>
          <w:rFonts w:cs="Arial"/>
        </w:rPr>
        <w:t>W 202</w:t>
      </w:r>
      <w:r w:rsidR="004F25DC" w:rsidRPr="004821BC">
        <w:rPr>
          <w:rFonts w:cs="Arial"/>
        </w:rPr>
        <w:t>2</w:t>
      </w:r>
      <w:r w:rsidRPr="004821BC">
        <w:rPr>
          <w:rFonts w:cs="Arial"/>
        </w:rPr>
        <w:t xml:space="preserve"> r</w:t>
      </w:r>
      <w:r w:rsidR="007C134D" w:rsidRPr="004821BC">
        <w:rPr>
          <w:rFonts w:cs="Arial"/>
        </w:rPr>
        <w:t>.</w:t>
      </w:r>
      <w:r w:rsidRPr="004821BC">
        <w:rPr>
          <w:rFonts w:cs="Arial"/>
        </w:rPr>
        <w:t xml:space="preserve"> wojewódzcy inspektorzy ochrony roślin i nasiennictwa wydali </w:t>
      </w:r>
      <w:r w:rsidR="008C6322" w:rsidRPr="004821BC">
        <w:rPr>
          <w:rFonts w:cs="Arial"/>
        </w:rPr>
        <w:t>18</w:t>
      </w:r>
      <w:r w:rsidRPr="004821BC">
        <w:rPr>
          <w:rFonts w:cs="Arial"/>
        </w:rPr>
        <w:t xml:space="preserve"> decyzji zatwierdzających plany zabiegów agrolotniczyc</w:t>
      </w:r>
      <w:r w:rsidR="00721C83">
        <w:rPr>
          <w:rFonts w:cs="Arial"/>
        </w:rPr>
        <w:t>h</w:t>
      </w:r>
      <w:r w:rsidR="0041082F" w:rsidRPr="004821BC">
        <w:rPr>
          <w:rFonts w:cs="Arial"/>
        </w:rPr>
        <w:t>.</w:t>
      </w:r>
      <w:r w:rsidR="0041082F" w:rsidRPr="004821BC">
        <w:rPr>
          <w:rFonts w:eastAsiaTheme="minorHAnsi" w:cs="Arial"/>
          <w:sz w:val="30"/>
          <w:szCs w:val="30"/>
          <w:lang w:eastAsia="en-US"/>
        </w:rPr>
        <w:t xml:space="preserve"> </w:t>
      </w:r>
      <w:r w:rsidR="0041082F" w:rsidRPr="004821BC">
        <w:rPr>
          <w:rFonts w:cs="Arial"/>
        </w:rPr>
        <w:t xml:space="preserve">W dwóch województwach (dolnośląskim i podlaskim) wykonano zabiegi agrolotnicze w trybie art. 39 ust. 8 ustawy o środkach ochrony roślin, tj. gdy wystąpiło nieprzewidziane zagrożenie ze </w:t>
      </w:r>
      <w:r w:rsidR="0041082F" w:rsidRPr="00F841F4">
        <w:rPr>
          <w:rFonts w:cs="Arial"/>
          <w:bCs/>
        </w:rPr>
        <w:t>strony organizmów szkodliwych.</w:t>
      </w:r>
    </w:p>
    <w:p w14:paraId="5C03B049" w14:textId="4E40C105" w:rsidR="006A453C" w:rsidRPr="00F841F4" w:rsidRDefault="001F7598" w:rsidP="00721C83">
      <w:pPr>
        <w:pStyle w:val="napakapit"/>
        <w:spacing w:before="0"/>
        <w:ind w:firstLine="357"/>
        <w:rPr>
          <w:rFonts w:cs="Arial"/>
          <w:bCs/>
        </w:rPr>
      </w:pPr>
      <w:r w:rsidRPr="00F841F4">
        <w:rPr>
          <w:rFonts w:cs="Arial"/>
          <w:bCs/>
        </w:rPr>
        <w:t>P</w:t>
      </w:r>
      <w:r w:rsidR="008D7A04" w:rsidRPr="00F841F4">
        <w:rPr>
          <w:rFonts w:cs="Arial"/>
          <w:bCs/>
        </w:rPr>
        <w:t>rzeprowadz</w:t>
      </w:r>
      <w:r w:rsidRPr="00F841F4">
        <w:rPr>
          <w:rFonts w:cs="Arial"/>
          <w:bCs/>
        </w:rPr>
        <w:t>o</w:t>
      </w:r>
      <w:r>
        <w:rPr>
          <w:rFonts w:cs="Arial"/>
        </w:rPr>
        <w:t>no</w:t>
      </w:r>
      <w:r w:rsidR="008D7A04" w:rsidRPr="007C3E75">
        <w:rPr>
          <w:rFonts w:cs="Arial"/>
        </w:rPr>
        <w:t xml:space="preserve"> </w:t>
      </w:r>
      <w:r w:rsidR="0063413C">
        <w:rPr>
          <w:rFonts w:cs="Arial"/>
        </w:rPr>
        <w:t>29</w:t>
      </w:r>
      <w:r w:rsidR="00A300D9">
        <w:rPr>
          <w:rFonts w:cs="Arial"/>
        </w:rPr>
        <w:t xml:space="preserve"> </w:t>
      </w:r>
      <w:r w:rsidR="008D7A04" w:rsidRPr="007C3E75">
        <w:rPr>
          <w:rFonts w:cs="Arial"/>
        </w:rPr>
        <w:t>kontroli planowanych produkcji leśnej objętej zabiegami agrolotniczymi i</w:t>
      </w:r>
      <w:r w:rsidR="00897522">
        <w:rPr>
          <w:rFonts w:cs="Arial"/>
        </w:rPr>
        <w:t> </w:t>
      </w:r>
      <w:r w:rsidR="007C3E75" w:rsidRPr="007C3E75">
        <w:rPr>
          <w:rFonts w:cs="Arial"/>
        </w:rPr>
        <w:t>1</w:t>
      </w:r>
      <w:r>
        <w:rPr>
          <w:rFonts w:cs="Arial"/>
        </w:rPr>
        <w:t> </w:t>
      </w:r>
      <w:r w:rsidR="008D7A04" w:rsidRPr="007C3E75">
        <w:rPr>
          <w:rFonts w:cs="Arial"/>
        </w:rPr>
        <w:t>interwencyjną, w tym w odniesieniu</w:t>
      </w:r>
      <w:r w:rsidR="008D7A04" w:rsidRPr="008D7A04">
        <w:rPr>
          <w:rFonts w:cs="Arial"/>
        </w:rPr>
        <w:t xml:space="preserve"> do zabiegów wykonywanych przy zastosowaniu statków </w:t>
      </w:r>
      <w:r w:rsidR="008D7A04" w:rsidRPr="00F841F4">
        <w:rPr>
          <w:rFonts w:cs="Arial"/>
          <w:bCs/>
        </w:rPr>
        <w:t>powietrznych.</w:t>
      </w:r>
    </w:p>
    <w:p w14:paraId="18E0B839" w14:textId="6D514AAA" w:rsidR="007D5421" w:rsidRDefault="006D1D30" w:rsidP="00F841F4">
      <w:pPr>
        <w:pStyle w:val="napakapit"/>
        <w:spacing w:before="0"/>
        <w:ind w:firstLine="357"/>
        <w:rPr>
          <w:rFonts w:cs="Arial"/>
        </w:rPr>
      </w:pPr>
      <w:r>
        <w:rPr>
          <w:rFonts w:cs="Arial"/>
          <w:bCs/>
        </w:rPr>
        <w:t>Szczegółowe dane</w:t>
      </w:r>
      <w:r w:rsidR="006A453C">
        <w:rPr>
          <w:rFonts w:cs="Arial"/>
          <w:bCs/>
        </w:rPr>
        <w:t xml:space="preserve"> na temat zabiegów </w:t>
      </w:r>
      <w:r w:rsidR="00274EA5">
        <w:rPr>
          <w:rFonts w:cs="Arial"/>
          <w:bCs/>
        </w:rPr>
        <w:t xml:space="preserve">agrolotniczych </w:t>
      </w:r>
      <w:r>
        <w:rPr>
          <w:rFonts w:cs="Arial"/>
          <w:bCs/>
        </w:rPr>
        <w:t>przedstawia tabela poniżej</w:t>
      </w:r>
    </w:p>
    <w:tbl>
      <w:tblPr>
        <w:tblStyle w:val="Tabela-Siatka"/>
        <w:tblW w:w="0" w:type="auto"/>
        <w:tblLook w:val="04A0" w:firstRow="1" w:lastRow="0" w:firstColumn="1" w:lastColumn="0" w:noHBand="0" w:noVBand="1"/>
      </w:tblPr>
      <w:tblGrid>
        <w:gridCol w:w="2689"/>
        <w:gridCol w:w="1247"/>
        <w:gridCol w:w="1247"/>
        <w:gridCol w:w="1247"/>
        <w:gridCol w:w="1247"/>
        <w:gridCol w:w="1248"/>
      </w:tblGrid>
      <w:tr w:rsidR="0047175B" w14:paraId="4E15A366" w14:textId="654C35D6" w:rsidTr="00A05508">
        <w:trPr>
          <w:trHeight w:val="442"/>
        </w:trPr>
        <w:tc>
          <w:tcPr>
            <w:tcW w:w="2689" w:type="dxa"/>
            <w:vAlign w:val="center"/>
          </w:tcPr>
          <w:p w14:paraId="65F3545C" w14:textId="6B6B25AB" w:rsidR="0047175B" w:rsidRPr="00377F95" w:rsidRDefault="0047175B" w:rsidP="004A370C">
            <w:pPr>
              <w:jc w:val="center"/>
              <w:rPr>
                <w:rFonts w:ascii="Arial" w:hAnsi="Arial" w:cs="Arial"/>
                <w:b/>
                <w:color w:val="000000"/>
                <w:sz w:val="20"/>
                <w:szCs w:val="20"/>
              </w:rPr>
            </w:pPr>
            <w:r w:rsidRPr="00377F95">
              <w:rPr>
                <w:rFonts w:ascii="Arial" w:hAnsi="Arial" w:cs="Arial"/>
                <w:b/>
                <w:color w:val="000000"/>
                <w:sz w:val="20"/>
                <w:szCs w:val="20"/>
              </w:rPr>
              <w:t>Rok</w:t>
            </w:r>
          </w:p>
        </w:tc>
        <w:tc>
          <w:tcPr>
            <w:tcW w:w="1247" w:type="dxa"/>
            <w:vAlign w:val="center"/>
          </w:tcPr>
          <w:p w14:paraId="42F83546" w14:textId="7C154307" w:rsidR="0047175B" w:rsidRPr="00377F95" w:rsidRDefault="0047175B" w:rsidP="004A370C">
            <w:pPr>
              <w:jc w:val="center"/>
              <w:rPr>
                <w:rFonts w:ascii="Arial" w:hAnsi="Arial" w:cs="Arial"/>
                <w:b/>
                <w:color w:val="000000"/>
                <w:sz w:val="20"/>
                <w:szCs w:val="20"/>
              </w:rPr>
            </w:pPr>
            <w:r w:rsidRPr="00377F95">
              <w:rPr>
                <w:rFonts w:ascii="Arial" w:hAnsi="Arial" w:cs="Arial"/>
                <w:b/>
                <w:color w:val="000000"/>
                <w:sz w:val="20"/>
                <w:szCs w:val="20"/>
              </w:rPr>
              <w:t>2018</w:t>
            </w:r>
          </w:p>
        </w:tc>
        <w:tc>
          <w:tcPr>
            <w:tcW w:w="1247" w:type="dxa"/>
            <w:vAlign w:val="center"/>
          </w:tcPr>
          <w:p w14:paraId="47208ED4" w14:textId="1EC64CEB" w:rsidR="0047175B" w:rsidRPr="00377F95" w:rsidRDefault="0047175B" w:rsidP="004A370C">
            <w:pPr>
              <w:jc w:val="center"/>
              <w:rPr>
                <w:rFonts w:ascii="Arial" w:hAnsi="Arial" w:cs="Arial"/>
                <w:b/>
                <w:color w:val="000000"/>
                <w:sz w:val="20"/>
                <w:szCs w:val="20"/>
              </w:rPr>
            </w:pPr>
            <w:r w:rsidRPr="00377F95">
              <w:rPr>
                <w:rFonts w:ascii="Arial" w:hAnsi="Arial" w:cs="Arial"/>
                <w:b/>
                <w:color w:val="000000"/>
                <w:sz w:val="20"/>
                <w:szCs w:val="20"/>
              </w:rPr>
              <w:t>2019</w:t>
            </w:r>
          </w:p>
        </w:tc>
        <w:tc>
          <w:tcPr>
            <w:tcW w:w="1247" w:type="dxa"/>
            <w:vAlign w:val="center"/>
          </w:tcPr>
          <w:p w14:paraId="47143108" w14:textId="17815BBF" w:rsidR="0047175B" w:rsidRPr="00377F95" w:rsidRDefault="0047175B" w:rsidP="004A370C">
            <w:pPr>
              <w:jc w:val="center"/>
              <w:rPr>
                <w:rFonts w:ascii="Arial" w:hAnsi="Arial" w:cs="Arial"/>
                <w:b/>
                <w:color w:val="000000"/>
                <w:sz w:val="20"/>
                <w:szCs w:val="20"/>
              </w:rPr>
            </w:pPr>
            <w:r w:rsidRPr="00377F95">
              <w:rPr>
                <w:rFonts w:ascii="Arial" w:hAnsi="Arial" w:cs="Arial"/>
                <w:b/>
                <w:color w:val="000000"/>
                <w:sz w:val="20"/>
                <w:szCs w:val="20"/>
              </w:rPr>
              <w:t>2020</w:t>
            </w:r>
          </w:p>
        </w:tc>
        <w:tc>
          <w:tcPr>
            <w:tcW w:w="1247" w:type="dxa"/>
            <w:vAlign w:val="center"/>
          </w:tcPr>
          <w:p w14:paraId="6CA9EDD3" w14:textId="293055D5" w:rsidR="0047175B" w:rsidRPr="00377F95" w:rsidRDefault="0047175B" w:rsidP="004A370C">
            <w:pPr>
              <w:jc w:val="center"/>
              <w:rPr>
                <w:rFonts w:ascii="Arial" w:hAnsi="Arial" w:cs="Arial"/>
                <w:b/>
                <w:color w:val="000000"/>
                <w:sz w:val="20"/>
                <w:szCs w:val="20"/>
              </w:rPr>
            </w:pPr>
            <w:r w:rsidRPr="00377F95">
              <w:rPr>
                <w:rFonts w:ascii="Arial" w:hAnsi="Arial" w:cs="Arial"/>
                <w:b/>
                <w:color w:val="000000"/>
                <w:sz w:val="20"/>
                <w:szCs w:val="20"/>
              </w:rPr>
              <w:t>2021</w:t>
            </w:r>
          </w:p>
        </w:tc>
        <w:tc>
          <w:tcPr>
            <w:tcW w:w="1248" w:type="dxa"/>
            <w:vAlign w:val="center"/>
          </w:tcPr>
          <w:p w14:paraId="37BA4FA6" w14:textId="0B41B84C" w:rsidR="0047175B" w:rsidRPr="00377F95" w:rsidRDefault="0047175B" w:rsidP="0075010C">
            <w:pPr>
              <w:jc w:val="center"/>
              <w:rPr>
                <w:rFonts w:ascii="Arial" w:hAnsi="Arial" w:cs="Arial"/>
                <w:b/>
                <w:color w:val="000000"/>
                <w:sz w:val="20"/>
                <w:szCs w:val="20"/>
              </w:rPr>
            </w:pPr>
            <w:r w:rsidRPr="00377F95">
              <w:rPr>
                <w:rFonts w:ascii="Arial" w:hAnsi="Arial" w:cs="Arial"/>
                <w:b/>
                <w:color w:val="000000"/>
                <w:sz w:val="20"/>
                <w:szCs w:val="20"/>
              </w:rPr>
              <w:t>20</w:t>
            </w:r>
            <w:r w:rsidR="0075010C" w:rsidRPr="00377F95">
              <w:rPr>
                <w:rFonts w:ascii="Arial" w:hAnsi="Arial" w:cs="Arial"/>
                <w:b/>
                <w:color w:val="000000"/>
                <w:sz w:val="20"/>
                <w:szCs w:val="20"/>
              </w:rPr>
              <w:t>22</w:t>
            </w:r>
          </w:p>
        </w:tc>
      </w:tr>
      <w:tr w:rsidR="0047175B" w14:paraId="49C68848" w14:textId="21F62169" w:rsidTr="00A05508">
        <w:trPr>
          <w:trHeight w:val="817"/>
        </w:trPr>
        <w:tc>
          <w:tcPr>
            <w:tcW w:w="2689" w:type="dxa"/>
          </w:tcPr>
          <w:p w14:paraId="2F2A61B0" w14:textId="4D2C224D" w:rsidR="0047175B" w:rsidRPr="00377F95" w:rsidRDefault="0047175B" w:rsidP="008D7A04">
            <w:pPr>
              <w:pStyle w:val="NormalnyWeb"/>
              <w:tabs>
                <w:tab w:val="left" w:pos="284"/>
              </w:tabs>
              <w:spacing w:after="120" w:line="360" w:lineRule="auto"/>
              <w:jc w:val="both"/>
              <w:rPr>
                <w:rFonts w:ascii="Arial" w:hAnsi="Arial" w:cs="Arial"/>
              </w:rPr>
            </w:pPr>
            <w:r w:rsidRPr="00377F95">
              <w:rPr>
                <w:rFonts w:ascii="Arial" w:hAnsi="Arial" w:cs="Arial"/>
              </w:rPr>
              <w:t>powierzchnia zabiegów agrolotniczych w ha</w:t>
            </w:r>
          </w:p>
        </w:tc>
        <w:tc>
          <w:tcPr>
            <w:tcW w:w="1247" w:type="dxa"/>
            <w:vAlign w:val="center"/>
          </w:tcPr>
          <w:p w14:paraId="07F26A6B" w14:textId="44FE1CA3"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229 354</w:t>
            </w:r>
          </w:p>
        </w:tc>
        <w:tc>
          <w:tcPr>
            <w:tcW w:w="1247" w:type="dxa"/>
            <w:vAlign w:val="center"/>
          </w:tcPr>
          <w:p w14:paraId="79E9374D" w14:textId="75EC73EE"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233 945</w:t>
            </w:r>
          </w:p>
        </w:tc>
        <w:tc>
          <w:tcPr>
            <w:tcW w:w="1247" w:type="dxa"/>
            <w:vAlign w:val="center"/>
          </w:tcPr>
          <w:p w14:paraId="02FB7A2A" w14:textId="0272657A" w:rsidR="0047175B" w:rsidRPr="00377F95" w:rsidRDefault="0047175B" w:rsidP="0075010C">
            <w:pPr>
              <w:pStyle w:val="NormalnyWeb"/>
              <w:tabs>
                <w:tab w:val="left" w:pos="284"/>
              </w:tabs>
              <w:spacing w:after="120" w:line="360" w:lineRule="auto"/>
              <w:jc w:val="right"/>
              <w:rPr>
                <w:rFonts w:ascii="Arial" w:hAnsi="Arial" w:cs="Arial"/>
              </w:rPr>
            </w:pPr>
            <w:bookmarkStart w:id="26" w:name="_Hlk120005595"/>
            <w:r w:rsidRPr="00377F95">
              <w:rPr>
                <w:rFonts w:ascii="Arial" w:hAnsi="Arial" w:cs="Arial"/>
              </w:rPr>
              <w:t>48 869</w:t>
            </w:r>
            <w:bookmarkEnd w:id="26"/>
          </w:p>
        </w:tc>
        <w:tc>
          <w:tcPr>
            <w:tcW w:w="1247" w:type="dxa"/>
            <w:vAlign w:val="center"/>
          </w:tcPr>
          <w:p w14:paraId="048A5409" w14:textId="491EEEE5"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64 834</w:t>
            </w:r>
          </w:p>
        </w:tc>
        <w:tc>
          <w:tcPr>
            <w:tcW w:w="1248" w:type="dxa"/>
            <w:vAlign w:val="center"/>
          </w:tcPr>
          <w:p w14:paraId="7A6C6B7E" w14:textId="1854F8C9" w:rsidR="0047175B" w:rsidRPr="00377F95" w:rsidRDefault="0075010C" w:rsidP="00377F95">
            <w:pPr>
              <w:pStyle w:val="NormalnyWeb"/>
              <w:tabs>
                <w:tab w:val="left" w:pos="284"/>
              </w:tabs>
              <w:spacing w:after="120" w:line="360" w:lineRule="auto"/>
              <w:jc w:val="right"/>
              <w:rPr>
                <w:rFonts w:ascii="Arial" w:hAnsi="Arial" w:cs="Arial"/>
                <w:bCs/>
                <w:color w:val="000000"/>
              </w:rPr>
            </w:pPr>
            <w:r w:rsidRPr="00377F95">
              <w:rPr>
                <w:rFonts w:ascii="Arial" w:hAnsi="Arial" w:cs="Arial"/>
              </w:rPr>
              <w:t>109 874</w:t>
            </w:r>
          </w:p>
        </w:tc>
      </w:tr>
      <w:tr w:rsidR="0047175B" w14:paraId="293D4AA2" w14:textId="38BEBF89" w:rsidTr="00A05508">
        <w:tc>
          <w:tcPr>
            <w:tcW w:w="2689" w:type="dxa"/>
          </w:tcPr>
          <w:p w14:paraId="2B8D16A4" w14:textId="1E24DEC1" w:rsidR="0047175B" w:rsidRPr="00377F95" w:rsidRDefault="0047175B" w:rsidP="00AF5E8D">
            <w:pPr>
              <w:pStyle w:val="NormalnyWeb"/>
              <w:tabs>
                <w:tab w:val="left" w:pos="284"/>
              </w:tabs>
              <w:spacing w:after="120" w:line="360" w:lineRule="auto"/>
              <w:rPr>
                <w:rFonts w:ascii="Arial" w:hAnsi="Arial" w:cs="Arial"/>
              </w:rPr>
            </w:pPr>
            <w:r w:rsidRPr="00377F95">
              <w:rPr>
                <w:rFonts w:ascii="Arial" w:hAnsi="Arial" w:cs="Arial"/>
              </w:rPr>
              <w:t>liczba kontroli planowanych produkcji leśnej</w:t>
            </w:r>
          </w:p>
        </w:tc>
        <w:tc>
          <w:tcPr>
            <w:tcW w:w="1247" w:type="dxa"/>
            <w:vAlign w:val="center"/>
          </w:tcPr>
          <w:p w14:paraId="5EAA6439" w14:textId="205E0C7A"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95</w:t>
            </w:r>
          </w:p>
        </w:tc>
        <w:tc>
          <w:tcPr>
            <w:tcW w:w="1247" w:type="dxa"/>
            <w:vAlign w:val="center"/>
          </w:tcPr>
          <w:p w14:paraId="49D3C5F5" w14:textId="687B868A"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113</w:t>
            </w:r>
          </w:p>
        </w:tc>
        <w:tc>
          <w:tcPr>
            <w:tcW w:w="1247" w:type="dxa"/>
            <w:vAlign w:val="center"/>
          </w:tcPr>
          <w:p w14:paraId="5C5E2D61" w14:textId="6E5402A6"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27</w:t>
            </w:r>
          </w:p>
        </w:tc>
        <w:tc>
          <w:tcPr>
            <w:tcW w:w="1247" w:type="dxa"/>
            <w:vAlign w:val="center"/>
          </w:tcPr>
          <w:p w14:paraId="23FFD93A" w14:textId="6B8A7C5D"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36</w:t>
            </w:r>
          </w:p>
        </w:tc>
        <w:tc>
          <w:tcPr>
            <w:tcW w:w="1248" w:type="dxa"/>
            <w:vAlign w:val="center"/>
          </w:tcPr>
          <w:p w14:paraId="08C6C0DE" w14:textId="04F4EBEF" w:rsidR="0047175B" w:rsidRPr="000326BC" w:rsidRDefault="00056467" w:rsidP="000326BC">
            <w:pPr>
              <w:pStyle w:val="NormalnyWeb"/>
              <w:tabs>
                <w:tab w:val="left" w:pos="284"/>
              </w:tabs>
              <w:spacing w:after="120" w:line="360" w:lineRule="auto"/>
              <w:jc w:val="right"/>
              <w:rPr>
                <w:rFonts w:ascii="Arial" w:hAnsi="Arial" w:cs="Arial"/>
              </w:rPr>
            </w:pPr>
            <w:r w:rsidRPr="000326BC">
              <w:rPr>
                <w:rFonts w:ascii="Arial" w:hAnsi="Arial" w:cs="Arial"/>
              </w:rPr>
              <w:t>29</w:t>
            </w:r>
          </w:p>
        </w:tc>
      </w:tr>
      <w:tr w:rsidR="0047175B" w14:paraId="3E7ABACF" w14:textId="03554883" w:rsidTr="00A05508">
        <w:tc>
          <w:tcPr>
            <w:tcW w:w="2689" w:type="dxa"/>
          </w:tcPr>
          <w:p w14:paraId="05C68A4A" w14:textId="52314C1C" w:rsidR="0047175B" w:rsidRPr="00377F95" w:rsidRDefault="0047175B" w:rsidP="00AF5E8D">
            <w:pPr>
              <w:pStyle w:val="NormalnyWeb"/>
              <w:tabs>
                <w:tab w:val="left" w:pos="284"/>
              </w:tabs>
              <w:spacing w:after="120" w:line="360" w:lineRule="auto"/>
              <w:rPr>
                <w:rFonts w:ascii="Arial" w:hAnsi="Arial" w:cs="Arial"/>
              </w:rPr>
            </w:pPr>
            <w:r w:rsidRPr="00377F95">
              <w:rPr>
                <w:rFonts w:ascii="Arial" w:hAnsi="Arial" w:cs="Arial"/>
              </w:rPr>
              <w:t>liczba kontroli interwencyjnych</w:t>
            </w:r>
          </w:p>
        </w:tc>
        <w:tc>
          <w:tcPr>
            <w:tcW w:w="1247" w:type="dxa"/>
            <w:vAlign w:val="center"/>
          </w:tcPr>
          <w:p w14:paraId="2CB3DC1A" w14:textId="0BD24BDC"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2</w:t>
            </w:r>
          </w:p>
        </w:tc>
        <w:tc>
          <w:tcPr>
            <w:tcW w:w="1247" w:type="dxa"/>
            <w:vAlign w:val="center"/>
          </w:tcPr>
          <w:p w14:paraId="0B0F9329" w14:textId="65E5567D"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3</w:t>
            </w:r>
          </w:p>
        </w:tc>
        <w:tc>
          <w:tcPr>
            <w:tcW w:w="1247" w:type="dxa"/>
            <w:vAlign w:val="center"/>
          </w:tcPr>
          <w:p w14:paraId="6F8D4AD5" w14:textId="27F69EB4"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1</w:t>
            </w:r>
          </w:p>
        </w:tc>
        <w:tc>
          <w:tcPr>
            <w:tcW w:w="1247" w:type="dxa"/>
            <w:vAlign w:val="center"/>
          </w:tcPr>
          <w:p w14:paraId="1A7CBD66" w14:textId="3AD1D985" w:rsidR="0047175B" w:rsidRPr="00377F95" w:rsidRDefault="0047175B" w:rsidP="0075010C">
            <w:pPr>
              <w:pStyle w:val="NormalnyWeb"/>
              <w:tabs>
                <w:tab w:val="left" w:pos="284"/>
              </w:tabs>
              <w:spacing w:after="120" w:line="360" w:lineRule="auto"/>
              <w:jc w:val="right"/>
              <w:rPr>
                <w:rFonts w:ascii="Arial" w:hAnsi="Arial" w:cs="Arial"/>
              </w:rPr>
            </w:pPr>
            <w:r w:rsidRPr="00377F95">
              <w:rPr>
                <w:rFonts w:ascii="Arial" w:hAnsi="Arial" w:cs="Arial"/>
              </w:rPr>
              <w:t>1</w:t>
            </w:r>
          </w:p>
        </w:tc>
        <w:tc>
          <w:tcPr>
            <w:tcW w:w="1248" w:type="dxa"/>
            <w:vAlign w:val="center"/>
          </w:tcPr>
          <w:p w14:paraId="79CB859B" w14:textId="2640A9F0" w:rsidR="0047175B" w:rsidRPr="000326BC" w:rsidRDefault="000326BC" w:rsidP="000326BC">
            <w:pPr>
              <w:pStyle w:val="NormalnyWeb"/>
              <w:tabs>
                <w:tab w:val="left" w:pos="284"/>
              </w:tabs>
              <w:spacing w:after="120" w:line="360" w:lineRule="auto"/>
              <w:jc w:val="right"/>
              <w:rPr>
                <w:rFonts w:ascii="Arial" w:hAnsi="Arial" w:cs="Arial"/>
              </w:rPr>
            </w:pPr>
            <w:r w:rsidRPr="000326BC">
              <w:rPr>
                <w:rFonts w:ascii="Arial" w:hAnsi="Arial" w:cs="Arial"/>
              </w:rPr>
              <w:t>1</w:t>
            </w:r>
          </w:p>
        </w:tc>
      </w:tr>
    </w:tbl>
    <w:p w14:paraId="752C1E5F" w14:textId="77777777" w:rsidR="00056846" w:rsidRPr="00925BCD" w:rsidRDefault="00E54725">
      <w:pPr>
        <w:pStyle w:val="Nagwek1"/>
        <w:numPr>
          <w:ilvl w:val="1"/>
          <w:numId w:val="9"/>
        </w:numPr>
        <w:tabs>
          <w:tab w:val="left" w:pos="284"/>
        </w:tabs>
        <w:ind w:left="426" w:hanging="426"/>
        <w:jc w:val="both"/>
        <w:rPr>
          <w:i w:val="0"/>
          <w:sz w:val="22"/>
          <w:szCs w:val="22"/>
        </w:rPr>
      </w:pPr>
      <w:bookmarkStart w:id="27" w:name="_Toc161744870"/>
      <w:r w:rsidRPr="00925BCD">
        <w:rPr>
          <w:i w:val="0"/>
          <w:sz w:val="22"/>
          <w:szCs w:val="22"/>
        </w:rPr>
        <w:t>Mierniki służące monitorowaniu</w:t>
      </w:r>
      <w:bookmarkEnd w:id="27"/>
    </w:p>
    <w:p w14:paraId="389609FD" w14:textId="1E282AFB" w:rsidR="00056846" w:rsidRPr="00925BCD" w:rsidRDefault="00E54725" w:rsidP="00114D52">
      <w:pPr>
        <w:pStyle w:val="napakapit"/>
        <w:spacing w:before="0"/>
        <w:ind w:firstLine="357"/>
        <w:rPr>
          <w:rFonts w:cs="Arial"/>
        </w:rPr>
      </w:pPr>
      <w:r w:rsidRPr="00925BCD">
        <w:rPr>
          <w:rFonts w:cs="Arial"/>
        </w:rPr>
        <w:t xml:space="preserve">Efektywność działania </w:t>
      </w:r>
      <w:r w:rsidR="00A74302">
        <w:rPr>
          <w:rFonts w:cs="Arial"/>
        </w:rPr>
        <w:t>jest</w:t>
      </w:r>
      <w:r w:rsidR="00A74302" w:rsidRPr="00925BCD">
        <w:rPr>
          <w:rFonts w:cs="Arial"/>
        </w:rPr>
        <w:t xml:space="preserve"> </w:t>
      </w:r>
      <w:r w:rsidRPr="00925BCD">
        <w:rPr>
          <w:rFonts w:cs="Arial"/>
        </w:rPr>
        <w:t>oceniana na podstawie liczby nieprawidłowości w zakresie wykonywania zabiegów ochrony roślin przy użyciu sprzętu agrolotniczego. W 2022 r. poziom nieprawidłowości w tym zakresie, stwierdzanych w ramach kontroli przeprowadzanej  przez Państwową Inspekcję Ochrony Roślin i Nasiennictwa, powinien wynosić poniżej 1%.</w:t>
      </w:r>
    </w:p>
    <w:p w14:paraId="6F0A02E7" w14:textId="2162AAE7" w:rsidR="00056846" w:rsidRDefault="00E54725" w:rsidP="00114D52">
      <w:pPr>
        <w:pStyle w:val="napakapit"/>
        <w:spacing w:before="0"/>
        <w:ind w:firstLine="357"/>
        <w:rPr>
          <w:rFonts w:cs="Arial"/>
        </w:rPr>
      </w:pPr>
      <w:r w:rsidRPr="00481AB1">
        <w:rPr>
          <w:rFonts w:cs="Arial"/>
        </w:rPr>
        <w:t xml:space="preserve">W </w:t>
      </w:r>
      <w:r w:rsidR="001A314E" w:rsidRPr="00481AB1">
        <w:rPr>
          <w:rFonts w:cs="Arial"/>
        </w:rPr>
        <w:t>latach 2018</w:t>
      </w:r>
      <w:bookmarkStart w:id="28" w:name="_Hlk96083327"/>
      <w:r w:rsidR="001A314E" w:rsidRPr="00481AB1">
        <w:rPr>
          <w:rFonts w:cs="Arial"/>
        </w:rPr>
        <w:t>–</w:t>
      </w:r>
      <w:bookmarkEnd w:id="28"/>
      <w:r w:rsidR="001A314E" w:rsidRPr="00481AB1">
        <w:rPr>
          <w:rFonts w:cs="Arial"/>
        </w:rPr>
        <w:t xml:space="preserve">2020 </w:t>
      </w:r>
      <w:r w:rsidRPr="00481AB1">
        <w:rPr>
          <w:rFonts w:cs="Arial"/>
        </w:rPr>
        <w:t>nie było</w:t>
      </w:r>
      <w:r w:rsidRPr="00925BCD">
        <w:rPr>
          <w:rFonts w:cs="Arial"/>
        </w:rPr>
        <w:t xml:space="preserve"> żadnych nieprawidłowości w zakresie wykonywania zabiegów ochrony roślin przy użyciu sprzętu agrolotniczego</w:t>
      </w:r>
      <w:r w:rsidR="00481AB1">
        <w:rPr>
          <w:rFonts w:cs="Arial"/>
        </w:rPr>
        <w:t>, natomiast w 2021</w:t>
      </w:r>
      <w:r w:rsidR="002F5377">
        <w:rPr>
          <w:rFonts w:cs="Arial"/>
        </w:rPr>
        <w:t> </w:t>
      </w:r>
      <w:r w:rsidR="00481AB1">
        <w:rPr>
          <w:rFonts w:cs="Arial"/>
        </w:rPr>
        <w:t xml:space="preserve">r. </w:t>
      </w:r>
      <w:r w:rsidR="002F5377">
        <w:rPr>
          <w:rFonts w:cs="Arial"/>
        </w:rPr>
        <w:t xml:space="preserve">poziom nieprawidłowości wyniósł </w:t>
      </w:r>
      <w:r w:rsidR="008960F8">
        <w:rPr>
          <w:rFonts w:cs="Arial"/>
        </w:rPr>
        <w:t>5,41%.</w:t>
      </w:r>
    </w:p>
    <w:p w14:paraId="587D4D98" w14:textId="15740B10" w:rsidR="00EF0D30" w:rsidRPr="00925BCD" w:rsidRDefault="00EF0D30" w:rsidP="00114D52">
      <w:pPr>
        <w:pStyle w:val="napakapit"/>
        <w:spacing w:before="0"/>
        <w:ind w:firstLine="357"/>
        <w:rPr>
          <w:rFonts w:cs="Arial"/>
        </w:rPr>
      </w:pPr>
      <w:r w:rsidRPr="00CF2198">
        <w:rPr>
          <w:rFonts w:cs="Arial"/>
        </w:rPr>
        <w:t xml:space="preserve">W 2022 r. </w:t>
      </w:r>
      <w:r w:rsidR="00CF2198" w:rsidRPr="00CF2198">
        <w:rPr>
          <w:rFonts w:cs="Arial"/>
        </w:rPr>
        <w:t>nie</w:t>
      </w:r>
      <w:r w:rsidR="00CF2198" w:rsidRPr="00481AB1">
        <w:rPr>
          <w:rFonts w:cs="Arial"/>
        </w:rPr>
        <w:t xml:space="preserve"> było</w:t>
      </w:r>
      <w:r w:rsidR="00CF2198" w:rsidRPr="00925BCD">
        <w:rPr>
          <w:rFonts w:cs="Arial"/>
        </w:rPr>
        <w:t xml:space="preserve"> żadnych nieprawidłowości w zakresie wykonywania zabiegów ochrony roślin przy użyciu sprzętu agrolotniczego</w:t>
      </w:r>
      <w:r w:rsidR="009848C9">
        <w:rPr>
          <w:rFonts w:cs="Arial"/>
        </w:rPr>
        <w:t>, tym samym miernik 5.1 został zrealizowany.</w:t>
      </w:r>
    </w:p>
    <w:p w14:paraId="6E1E4982" w14:textId="77777777" w:rsidR="00056846" w:rsidRPr="00925BCD" w:rsidRDefault="00E54725">
      <w:pPr>
        <w:pStyle w:val="Nagwek1"/>
        <w:numPr>
          <w:ilvl w:val="0"/>
          <w:numId w:val="9"/>
        </w:numPr>
        <w:jc w:val="both"/>
        <w:rPr>
          <w:i w:val="0"/>
          <w:sz w:val="22"/>
          <w:szCs w:val="22"/>
        </w:rPr>
      </w:pPr>
      <w:bookmarkStart w:id="29" w:name="_Toc161744871"/>
      <w:r w:rsidRPr="00925BCD">
        <w:rPr>
          <w:i w:val="0"/>
          <w:sz w:val="22"/>
          <w:szCs w:val="22"/>
        </w:rPr>
        <w:t>Działanie 6. Ostrzeganie osób postronnych o zabiegach ochrony roślin</w:t>
      </w:r>
      <w:bookmarkEnd w:id="29"/>
    </w:p>
    <w:p w14:paraId="1AF6E8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Ryzyko związane ze stosowaniem środków ochrony roślin dotyczy nie tylko operatorów sprzętu do aplikacji tych środków oraz konsumentów płodów rolnych, ale także osób postronnych, które przypadkowo mogą być narażone na kontakt ze środkami ochrony roślin, nieświadomie wkraczając na obszar objęty zabiegiem. </w:t>
      </w:r>
    </w:p>
    <w:p w14:paraId="0D34F79D"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przypadkowy kontakt ze środkami ochrony roślin mogą być także narażone zwierzęta gospodarskie, w tym pszczoły miodne. W związku z powyższym zostały przyjęte rozwiązania prawne, przewidujące ostrzeganie osób postronnych o wykonywanych zabiegach ochrony roślin. Działanie to służy osiągnięciu celów określonych w art. 10 dyrektywy 2009/128/WE. </w:t>
      </w:r>
    </w:p>
    <w:p w14:paraId="440BF48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Szczegółowe rozwiązania w tym zakresie zostały przyjęte w odniesieniu do zabiegów agrolotniczych </w:t>
      </w:r>
      <w:r w:rsidRPr="00925BCD">
        <w:rPr>
          <w:rFonts w:ascii="Arial" w:hAnsi="Arial" w:cs="Arial"/>
        </w:rPr>
        <w:lastRenderedPageBreak/>
        <w:t xml:space="preserve">wykonywanych na dużych obszarach leśnych tj. w rozporządzeniu Ministra Rolnictwa i Rozwoju Wsi z dnia 22 maja 2013 r. w sprawie sposobu postępowania przy stosowaniu i przechowywaniu środków ochrony roślin. Ponadto wszystkie etykiety środków ochrony roślin zawierają wymóg informowania o zabiegach osób, które zwrócą się o taką informację. </w:t>
      </w:r>
    </w:p>
    <w:p w14:paraId="19B115F2" w14:textId="700578A6" w:rsidR="00056846" w:rsidRPr="00D030CF"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realizacji działania propagowana była</w:t>
      </w:r>
      <w:r w:rsidRPr="00925BCD">
        <w:rPr>
          <w:rFonts w:ascii="Arial" w:hAnsi="Arial" w:cs="Arial"/>
          <w:iCs/>
        </w:rPr>
        <w:t xml:space="preserve"> </w:t>
      </w:r>
      <w:r w:rsidR="00565E72" w:rsidRPr="00925BCD">
        <w:rPr>
          <w:rFonts w:ascii="Arial" w:hAnsi="Arial" w:cs="Arial"/>
          <w:iCs/>
        </w:rPr>
        <w:t>wiedz</w:t>
      </w:r>
      <w:r w:rsidR="00565E72">
        <w:rPr>
          <w:rFonts w:ascii="Arial" w:hAnsi="Arial" w:cs="Arial"/>
          <w:iCs/>
        </w:rPr>
        <w:t>a</w:t>
      </w:r>
      <w:r w:rsidR="00565E72" w:rsidRPr="00925BCD">
        <w:rPr>
          <w:rFonts w:ascii="Arial" w:hAnsi="Arial" w:cs="Arial"/>
          <w:iCs/>
        </w:rPr>
        <w:t xml:space="preserve"> </w:t>
      </w:r>
      <w:r w:rsidRPr="00925BCD">
        <w:rPr>
          <w:rFonts w:ascii="Arial" w:hAnsi="Arial" w:cs="Arial"/>
          <w:iCs/>
        </w:rPr>
        <w:t xml:space="preserve">o uprawnieniach dotyczących żądania informacji o planowanych zabiegach ochron roślin, w szczególności wśród pszczelarzy i rolników </w:t>
      </w:r>
      <w:r w:rsidRPr="00D030CF">
        <w:rPr>
          <w:rFonts w:ascii="Arial" w:hAnsi="Arial" w:cs="Arial"/>
        </w:rPr>
        <w:t>ekologicznych.</w:t>
      </w:r>
    </w:p>
    <w:p w14:paraId="39A3A727" w14:textId="66BE0CDF"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F877DD">
        <w:rPr>
          <w:rFonts w:ascii="Arial" w:hAnsi="Arial" w:cs="Arial"/>
        </w:rPr>
        <w:t xml:space="preserve">Inspektorzy Ochrony Roślin i Nasiennictwa w </w:t>
      </w:r>
      <w:r w:rsidR="00007B31" w:rsidRPr="00F877DD">
        <w:rPr>
          <w:rFonts w:ascii="Arial" w:hAnsi="Arial" w:cs="Arial"/>
        </w:rPr>
        <w:t xml:space="preserve">latach </w:t>
      </w:r>
      <w:r w:rsidRPr="00F877DD">
        <w:rPr>
          <w:rFonts w:ascii="Arial" w:hAnsi="Arial" w:cs="Arial"/>
        </w:rPr>
        <w:t>2018</w:t>
      </w:r>
      <w:r w:rsidR="00007B31" w:rsidRPr="00F877DD">
        <w:rPr>
          <w:rFonts w:ascii="Arial" w:hAnsi="Arial" w:cs="Arial"/>
        </w:rPr>
        <w:t>–202</w:t>
      </w:r>
      <w:r w:rsidR="00F877DD" w:rsidRPr="00F877DD">
        <w:rPr>
          <w:rFonts w:ascii="Arial" w:hAnsi="Arial" w:cs="Arial"/>
        </w:rPr>
        <w:t>2</w:t>
      </w:r>
      <w:r w:rsidR="00007B31" w:rsidRPr="00F877DD">
        <w:rPr>
          <w:rFonts w:ascii="Arial" w:hAnsi="Arial" w:cs="Arial"/>
        </w:rPr>
        <w:t xml:space="preserve"> </w:t>
      </w:r>
      <w:r w:rsidRPr="00F877DD">
        <w:rPr>
          <w:rFonts w:ascii="Arial" w:hAnsi="Arial" w:cs="Arial"/>
        </w:rPr>
        <w:t xml:space="preserve">prowadzili kontrole stosowania środków ochrony roślin, w zakresie informowania o planowanych zabiegach ochrony roślin. Nie odnotowano nieprawidłowości w tym </w:t>
      </w:r>
      <w:r w:rsidR="005909A6" w:rsidRPr="00F877DD">
        <w:rPr>
          <w:rFonts w:ascii="Arial" w:hAnsi="Arial" w:cs="Arial"/>
        </w:rPr>
        <w:t>obszarze</w:t>
      </w:r>
      <w:r w:rsidR="008510AB" w:rsidRPr="00F877DD">
        <w:rPr>
          <w:rFonts w:ascii="Arial" w:hAnsi="Arial" w:cs="Arial"/>
        </w:rPr>
        <w:t>.</w:t>
      </w:r>
      <w:r w:rsidR="008510AB" w:rsidRPr="00925BCD">
        <w:rPr>
          <w:rFonts w:ascii="Arial" w:hAnsi="Arial" w:cs="Arial"/>
        </w:rPr>
        <w:t xml:space="preserve"> </w:t>
      </w:r>
    </w:p>
    <w:p w14:paraId="56504C86" w14:textId="77777777" w:rsidR="00056846" w:rsidRPr="00925BCD" w:rsidRDefault="00E54725">
      <w:pPr>
        <w:pStyle w:val="Nagwek1"/>
        <w:numPr>
          <w:ilvl w:val="1"/>
          <w:numId w:val="9"/>
        </w:numPr>
        <w:tabs>
          <w:tab w:val="left" w:pos="284"/>
        </w:tabs>
        <w:ind w:left="426" w:hanging="426"/>
        <w:jc w:val="both"/>
        <w:rPr>
          <w:i w:val="0"/>
          <w:sz w:val="22"/>
          <w:szCs w:val="22"/>
        </w:rPr>
      </w:pPr>
      <w:bookmarkStart w:id="30" w:name="_Toc161744872"/>
      <w:r w:rsidRPr="00925BCD">
        <w:rPr>
          <w:i w:val="0"/>
          <w:sz w:val="22"/>
          <w:szCs w:val="22"/>
        </w:rPr>
        <w:t>Mierniki służące monitorowaniu</w:t>
      </w:r>
      <w:bookmarkEnd w:id="30"/>
    </w:p>
    <w:p w14:paraId="619483D9" w14:textId="7D0D7276" w:rsidR="00056846" w:rsidRPr="00F37DEF"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w:t>
      </w:r>
      <w:r w:rsidR="00A74302">
        <w:rPr>
          <w:rFonts w:ascii="Arial" w:hAnsi="Arial" w:cs="Arial"/>
        </w:rPr>
        <w:t>jest</w:t>
      </w:r>
      <w:r w:rsidR="00A74302" w:rsidRPr="00925BCD">
        <w:rPr>
          <w:rFonts w:ascii="Arial" w:hAnsi="Arial" w:cs="Arial"/>
        </w:rPr>
        <w:t xml:space="preserve"> </w:t>
      </w:r>
      <w:r w:rsidRPr="00925BCD">
        <w:rPr>
          <w:rFonts w:ascii="Arial" w:hAnsi="Arial" w:cs="Arial"/>
        </w:rPr>
        <w:t xml:space="preserve">oceniana na podstawie liczby nieprawidłowości w zakresie </w:t>
      </w:r>
      <w:r w:rsidRPr="00925BCD">
        <w:rPr>
          <w:rFonts w:ascii="Arial" w:hAnsi="Arial" w:cs="Arial"/>
          <w:iCs/>
        </w:rPr>
        <w:t>informowania o planowanych zabiegach ochrony roślin</w:t>
      </w:r>
      <w:r w:rsidRPr="00925BCD">
        <w:rPr>
          <w:rFonts w:ascii="Arial" w:hAnsi="Arial" w:cs="Arial"/>
        </w:rPr>
        <w:t xml:space="preserve">. W 2022 r. poziom nieprawidłowości w tym zakresie, stwierdzanych w ramach kontroli przeprowadzanej przez Państwową Inspekcję Ochrony </w:t>
      </w:r>
      <w:r w:rsidRPr="00F37DEF">
        <w:rPr>
          <w:rFonts w:ascii="Arial" w:hAnsi="Arial" w:cs="Arial"/>
        </w:rPr>
        <w:t>Roślin i Nasiennictwa, powinien wynosić poniżej 1%.</w:t>
      </w:r>
    </w:p>
    <w:p w14:paraId="19930D80" w14:textId="337A4CF1" w:rsidR="005D2453" w:rsidRPr="00925BCD" w:rsidRDefault="00E54725" w:rsidP="00410D56">
      <w:pPr>
        <w:pStyle w:val="NormalnyWeb"/>
        <w:tabs>
          <w:tab w:val="left" w:pos="284"/>
        </w:tabs>
        <w:spacing w:beforeAutospacing="0" w:after="120" w:afterAutospacing="0" w:line="360" w:lineRule="auto"/>
        <w:ind w:firstLine="284"/>
        <w:jc w:val="both"/>
        <w:rPr>
          <w:rFonts w:ascii="Arial" w:hAnsi="Arial" w:cs="Arial"/>
          <w:iCs/>
        </w:rPr>
      </w:pPr>
      <w:r w:rsidRPr="00F37DEF">
        <w:rPr>
          <w:rFonts w:ascii="Arial" w:hAnsi="Arial" w:cs="Arial"/>
        </w:rPr>
        <w:t xml:space="preserve">W </w:t>
      </w:r>
      <w:r w:rsidR="001A314E" w:rsidRPr="00F37DEF">
        <w:rPr>
          <w:rFonts w:ascii="Arial" w:hAnsi="Arial" w:cs="Arial"/>
        </w:rPr>
        <w:t xml:space="preserve">latach </w:t>
      </w:r>
      <w:r w:rsidRPr="00F37DEF">
        <w:rPr>
          <w:rFonts w:ascii="Arial" w:hAnsi="Arial" w:cs="Arial"/>
        </w:rPr>
        <w:t>2018</w:t>
      </w:r>
      <w:r w:rsidR="001A314E" w:rsidRPr="00F37DEF">
        <w:rPr>
          <w:rFonts w:ascii="Arial" w:hAnsi="Arial" w:cs="Arial"/>
        </w:rPr>
        <w:t>–202</w:t>
      </w:r>
      <w:r w:rsidR="00F37DEF">
        <w:rPr>
          <w:rFonts w:ascii="Arial" w:hAnsi="Arial" w:cs="Arial"/>
        </w:rPr>
        <w:t>2</w:t>
      </w:r>
      <w:r w:rsidR="00410D56" w:rsidRPr="00F37DEF">
        <w:rPr>
          <w:rFonts w:ascii="Arial" w:hAnsi="Arial" w:cs="Arial"/>
        </w:rPr>
        <w:t xml:space="preserve"> </w:t>
      </w:r>
      <w:r w:rsidRPr="00F37DEF">
        <w:rPr>
          <w:rFonts w:ascii="Arial" w:hAnsi="Arial" w:cs="Arial"/>
        </w:rPr>
        <w:t xml:space="preserve">nie odnotowano nieprawidłowości w zakresie </w:t>
      </w:r>
      <w:r w:rsidRPr="00F37DEF">
        <w:rPr>
          <w:rFonts w:ascii="Arial" w:hAnsi="Arial" w:cs="Arial"/>
          <w:iCs/>
        </w:rPr>
        <w:t>informowania o planowanych zabiegach ochrony roślin</w:t>
      </w:r>
      <w:r w:rsidR="001A314E" w:rsidRPr="00F37DEF">
        <w:rPr>
          <w:rFonts w:ascii="Arial" w:hAnsi="Arial" w:cs="Arial"/>
          <w:iCs/>
        </w:rPr>
        <w:t>.</w:t>
      </w:r>
      <w:r w:rsidR="00F37DEF">
        <w:rPr>
          <w:rFonts w:ascii="Arial" w:hAnsi="Arial" w:cs="Arial"/>
          <w:iCs/>
        </w:rPr>
        <w:t xml:space="preserve"> Tym samym miernik </w:t>
      </w:r>
      <w:r w:rsidR="00DE44FE">
        <w:rPr>
          <w:rFonts w:ascii="Arial" w:hAnsi="Arial" w:cs="Arial"/>
          <w:iCs/>
        </w:rPr>
        <w:t>6.1 został zrealizowany.</w:t>
      </w:r>
    </w:p>
    <w:p w14:paraId="3979B008" w14:textId="77777777" w:rsidR="00056846" w:rsidRPr="00925BCD" w:rsidRDefault="00E54725">
      <w:pPr>
        <w:pStyle w:val="Nagwek1"/>
        <w:numPr>
          <w:ilvl w:val="0"/>
          <w:numId w:val="9"/>
        </w:numPr>
        <w:ind w:left="284"/>
        <w:jc w:val="both"/>
        <w:rPr>
          <w:i w:val="0"/>
          <w:sz w:val="22"/>
          <w:szCs w:val="22"/>
        </w:rPr>
      </w:pPr>
      <w:bookmarkStart w:id="31" w:name="_Toc161744873"/>
      <w:r w:rsidRPr="00925BCD">
        <w:rPr>
          <w:i w:val="0"/>
          <w:sz w:val="22"/>
          <w:szCs w:val="22"/>
        </w:rPr>
        <w:t>Działanie 7. Środki ochrony środowiska wodnego i wody pitnej</w:t>
      </w:r>
      <w:bookmarkEnd w:id="31"/>
    </w:p>
    <w:p w14:paraId="0C62F6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Niewłaściwie stosowane środki ochrony roślin, przenikając do naturalnych zbiorników i cieków wodnych, przyczyniają się do skażenia tego środowiska. Stanowi to zagrożenie zarówno dla organizmów wodnych, jak i dla człowieka, w różny sposób korzystającego z zasobów wodnych (do spożycia, w celach rekreacji). Niektóre z tych środków mogą także kumulować się w osadach dennych i być wykrywane w wodzie po długim czasie od ich zastosowania.</w:t>
      </w:r>
    </w:p>
    <w:p w14:paraId="4B8A0870" w14:textId="0BC8499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mając na uwadze, że działanie to służy osiągnięciu celów art. 11 dyrektywy 2009/128/WE, zostały przyjęte regulacje mające na celu ochronę środowiska wodnego przed ewentualnymi negatywnymi skutkami niewłaściwego wykonywania zabiegów z użyciem środków ochrony roślin. Zagadnienia te zostały uregulowane w ustawie z dnia 8 marca 2013 r. o środkach ochrony roślin oraz w rozporządzeniu Ministra Rolnictwa i Rozwoju Wsi z dnia 22 maja 2013 r. w sprawie sposobu postępowania przy stosowaniu i przechowywaniu środków ochrony roślin i rozporządzeniu Ministra Rolnictwa i Rozwoju Wsi z dnia 31 marca 2014 r. w sprawie warunków stosowania środków ochrony roślin. Przepisy te regulują warunki </w:t>
      </w:r>
      <w:r w:rsidR="005909A6" w:rsidRPr="00925BCD">
        <w:rPr>
          <w:rFonts w:ascii="Arial" w:hAnsi="Arial" w:cs="Arial"/>
        </w:rPr>
        <w:t>aplikacji</w:t>
      </w:r>
      <w:r w:rsidRPr="00925BCD">
        <w:rPr>
          <w:rFonts w:ascii="Arial" w:hAnsi="Arial" w:cs="Arial"/>
        </w:rPr>
        <w:t xml:space="preserve"> środków ochrony roślin (np. maksymalną prędkość wiatru, przy jakiej można wykonać zabieg, tak aby wyeliminować ryzyko zniesienia cieczy użytkowej, szerokość stref buforowych wokół zbiorników i cieków wodnych, a także powierzchni nieprzepuszczalnych, stwarzających ryzyko skażeń punktowych w przypadku spłukania środków ochrony roślin), jak również określają minimalne odległości od zbiorników i cieków wodnych, w jakich można wykonywać czynności, z którymi wiąże się największe ryzyko skażenia środowiska wodnego (jak przechowywanie środków ochrony roślin, napełnianie i mycie sprzętu przeznaczonego do </w:t>
      </w:r>
      <w:r w:rsidRPr="00925BCD">
        <w:rPr>
          <w:rFonts w:ascii="Arial" w:hAnsi="Arial" w:cs="Arial"/>
        </w:rPr>
        <w:lastRenderedPageBreak/>
        <w:t xml:space="preserve">stosowania środków ochrony roślin). </w:t>
      </w:r>
    </w:p>
    <w:p w14:paraId="09729B77"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Regulacje dotyczące ochrony środowiska wodnego zawierają także przepisy ustawy z dnia 20 lipca 2017 r. – Prawo wodne (Dz. U. poz. 1566, z późn. zm.). </w:t>
      </w:r>
    </w:p>
    <w:p w14:paraId="0CC2D17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były prowadzone następujące zadania. </w:t>
      </w:r>
    </w:p>
    <w:p w14:paraId="28EB7729" w14:textId="77777777" w:rsidR="00056846" w:rsidRPr="00925BCD" w:rsidRDefault="00E54725">
      <w:pPr>
        <w:pStyle w:val="Nagwek2"/>
        <w:jc w:val="both"/>
        <w:rPr>
          <w:i w:val="0"/>
          <w:sz w:val="20"/>
          <w:szCs w:val="20"/>
        </w:rPr>
      </w:pPr>
      <w:bookmarkStart w:id="32" w:name="_Toc161744874"/>
      <w:r w:rsidRPr="00925BCD">
        <w:rPr>
          <w:i w:val="0"/>
          <w:sz w:val="20"/>
          <w:szCs w:val="20"/>
        </w:rPr>
        <w:t xml:space="preserve">Zadanie 1. </w:t>
      </w:r>
      <w:bookmarkStart w:id="33" w:name="_Toc341876091"/>
      <w:bookmarkStart w:id="34" w:name="_Toc301334612"/>
      <w:bookmarkStart w:id="35" w:name="_Toc300916224"/>
      <w:r w:rsidRPr="00925BCD">
        <w:rPr>
          <w:i w:val="0"/>
          <w:sz w:val="20"/>
          <w:szCs w:val="20"/>
        </w:rPr>
        <w:t>Prowadzenie monitoringu wód powierzchniowych, podziemnych i osadów dennych</w:t>
      </w:r>
      <w:bookmarkEnd w:id="32"/>
      <w:bookmarkEnd w:id="33"/>
      <w:bookmarkEnd w:id="34"/>
      <w:bookmarkEnd w:id="35"/>
      <w:r w:rsidRPr="00925BCD">
        <w:rPr>
          <w:i w:val="0"/>
          <w:sz w:val="20"/>
          <w:szCs w:val="20"/>
        </w:rPr>
        <w:t xml:space="preserve"> </w:t>
      </w:r>
    </w:p>
    <w:p w14:paraId="6C47360F" w14:textId="7A3F902D" w:rsidR="00056846" w:rsidRPr="00007B31"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Państwowy monitoring środowiska </w:t>
      </w:r>
      <w:r w:rsidR="00853E94" w:rsidRPr="00853E94">
        <w:rPr>
          <w:rFonts w:ascii="Arial" w:hAnsi="Arial" w:cs="Arial"/>
        </w:rPr>
        <w:t xml:space="preserve">(PMŚ) </w:t>
      </w:r>
      <w:r w:rsidR="00134609">
        <w:rPr>
          <w:rFonts w:ascii="Arial" w:hAnsi="Arial" w:cs="Arial"/>
        </w:rPr>
        <w:t xml:space="preserve">to system </w:t>
      </w:r>
      <w:r w:rsidR="00853E94" w:rsidRPr="00853E94">
        <w:rPr>
          <w:rFonts w:ascii="Arial" w:hAnsi="Arial" w:cs="Arial"/>
        </w:rPr>
        <w:t>utworzony ustawą z dnia 10 lipca 1991</w:t>
      </w:r>
      <w:r w:rsidR="00C93FA7">
        <w:rPr>
          <w:rFonts w:ascii="Arial" w:hAnsi="Arial" w:cs="Arial"/>
        </w:rPr>
        <w:t> </w:t>
      </w:r>
      <w:r w:rsidR="00853E94" w:rsidRPr="00853E94">
        <w:rPr>
          <w:rFonts w:ascii="Arial" w:hAnsi="Arial" w:cs="Arial"/>
        </w:rPr>
        <w:t>r</w:t>
      </w:r>
      <w:r w:rsidR="000D3601">
        <w:rPr>
          <w:rFonts w:ascii="Arial" w:hAnsi="Arial" w:cs="Arial"/>
        </w:rPr>
        <w:t>.</w:t>
      </w:r>
      <w:r w:rsidR="00853E94" w:rsidRPr="00853E94">
        <w:rPr>
          <w:rFonts w:ascii="Arial" w:hAnsi="Arial" w:cs="Arial"/>
        </w:rPr>
        <w:t xml:space="preserve"> o</w:t>
      </w:r>
      <w:r w:rsidR="000F6AD2">
        <w:rPr>
          <w:rFonts w:ascii="Arial" w:hAnsi="Arial" w:cs="Arial"/>
        </w:rPr>
        <w:t> </w:t>
      </w:r>
      <w:r w:rsidR="00853E94" w:rsidRPr="00853E94">
        <w:rPr>
          <w:rFonts w:ascii="Arial" w:hAnsi="Arial" w:cs="Arial"/>
        </w:rPr>
        <w:t>Inspekcji Ochrony Środowiska (t.j. Dz. U. z 2021</w:t>
      </w:r>
      <w:r w:rsidR="000F6AD2">
        <w:rPr>
          <w:rFonts w:ascii="Arial" w:hAnsi="Arial" w:cs="Arial"/>
        </w:rPr>
        <w:t> </w:t>
      </w:r>
      <w:r w:rsidR="00853E94" w:rsidRPr="00853E94">
        <w:rPr>
          <w:rFonts w:ascii="Arial" w:hAnsi="Arial" w:cs="Arial"/>
        </w:rPr>
        <w:t>r. poz. 1070) w celu zapewnienia wiarygodnych informacji o stanie środowiska. Państwowy Monitoring Środowiska jest realizowany poprzez systematyczne informowanie organów administracji i społeczeństwa o:</w:t>
      </w:r>
    </w:p>
    <w:p w14:paraId="02F1D94F"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1) </w:t>
      </w:r>
      <w:r w:rsidRPr="00007B31">
        <w:rPr>
          <w:rFonts w:ascii="Arial" w:hAnsi="Arial" w:cs="Arial"/>
          <w:sz w:val="20"/>
          <w:szCs w:val="20"/>
        </w:rPr>
        <w:tab/>
        <w:t>jakości elementów przyrodniczych, dotrzymywaniu standardów jakości środowiska lub innych poziomów określonych przepisami oraz obszarach występowania przekroczeń tych standardów lub innych wymagań;</w:t>
      </w:r>
    </w:p>
    <w:p w14:paraId="132A68EB"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2) </w:t>
      </w:r>
      <w:r w:rsidRPr="00007B31">
        <w:rPr>
          <w:rFonts w:ascii="Arial" w:hAnsi="Arial" w:cs="Arial"/>
          <w:sz w:val="20"/>
          <w:szCs w:val="20"/>
        </w:rPr>
        <w:tab/>
        <w:t>występujących zmianach jakości elementów przyrodniczych, przyczynach tych zmian, w tym powiązaniach przyczynowo-skutkowych występujących pomiędzy emisjami i stanem elementów przyrodniczych.</w:t>
      </w:r>
    </w:p>
    <w:p w14:paraId="5D07C235" w14:textId="40D17FAF"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Państwowy monitoring środowiska, zgodnie z ustawą z dnia 20 lipca 1991 r. o Inspekcji Ochrony Środowiska (Dz. U. z 201</w:t>
      </w:r>
      <w:r w:rsidR="001352DF">
        <w:rPr>
          <w:rFonts w:ascii="Arial" w:hAnsi="Arial" w:cs="Arial"/>
        </w:rPr>
        <w:t>8</w:t>
      </w:r>
      <w:r w:rsidRPr="00925BCD">
        <w:rPr>
          <w:rFonts w:ascii="Arial" w:hAnsi="Arial" w:cs="Arial"/>
        </w:rPr>
        <w:t xml:space="preserve"> r. poz. 1</w:t>
      </w:r>
      <w:r w:rsidR="005F5A20">
        <w:rPr>
          <w:rFonts w:ascii="Arial" w:hAnsi="Arial" w:cs="Arial"/>
        </w:rPr>
        <w:t>479</w:t>
      </w:r>
      <w:r w:rsidRPr="00925BCD">
        <w:rPr>
          <w:rFonts w:ascii="Arial" w:hAnsi="Arial" w:cs="Arial"/>
        </w:rPr>
        <w:t>, z późn. zm.) jest prowadzony przez Inspekcję Ochrony Środowiska</w:t>
      </w:r>
      <w:r w:rsidR="005F5A20">
        <w:rPr>
          <w:rFonts w:ascii="Arial" w:hAnsi="Arial" w:cs="Arial"/>
        </w:rPr>
        <w:t xml:space="preserve">, </w:t>
      </w:r>
      <w:r w:rsidR="002961B7" w:rsidRPr="002961B7">
        <w:rPr>
          <w:rFonts w:ascii="Arial" w:hAnsi="Arial" w:cs="Arial"/>
        </w:rPr>
        <w:t>a od 1 stycznia 2019 r. zadania PMŚ są realizowane wyłącznie przez Głównego Inspektora Ochrony Środowiska (GIOŚ).</w:t>
      </w:r>
    </w:p>
    <w:p w14:paraId="0DB25D00" w14:textId="19642D54"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systemu jest prowadzony monitoring wód powierzchniowych i podziemnych. Regulacje dotyczące badań monitoringowych są zawarte w rozporządzeniu</w:t>
      </w:r>
      <w:r w:rsidR="007A4EBD">
        <w:rPr>
          <w:rFonts w:ascii="Arial" w:hAnsi="Arial" w:cs="Arial"/>
        </w:rPr>
        <w:t xml:space="preserve"> </w:t>
      </w:r>
      <w:r w:rsidR="007A4EBD" w:rsidRPr="007A4EBD">
        <w:rPr>
          <w:rFonts w:ascii="Arial" w:hAnsi="Arial" w:cs="Arial"/>
        </w:rPr>
        <w:t>Ministra Infrastruktury z</w:t>
      </w:r>
      <w:r w:rsidR="008F1FF4">
        <w:rPr>
          <w:rFonts w:ascii="Arial" w:hAnsi="Arial" w:cs="Arial"/>
        </w:rPr>
        <w:t> </w:t>
      </w:r>
      <w:r w:rsidR="007A4EBD" w:rsidRPr="007A4EBD">
        <w:rPr>
          <w:rFonts w:ascii="Arial" w:hAnsi="Arial" w:cs="Arial"/>
        </w:rPr>
        <w:t>dnia 13 lipca 2021</w:t>
      </w:r>
      <w:r w:rsidR="001728C0">
        <w:rPr>
          <w:rFonts w:ascii="Arial" w:hAnsi="Arial" w:cs="Arial"/>
        </w:rPr>
        <w:t> </w:t>
      </w:r>
      <w:r w:rsidR="007A4EBD" w:rsidRPr="007A4EBD">
        <w:rPr>
          <w:rFonts w:ascii="Arial" w:hAnsi="Arial" w:cs="Arial"/>
        </w:rPr>
        <w:t>r. w sprawie form i sposobu prowadzenia monitoringu jednolitych części wód powierzchniowych i jednolitych części wód podziemnych (Dz. U. poz. 1576).</w:t>
      </w:r>
      <w:r w:rsidRPr="00925BCD">
        <w:rPr>
          <w:rFonts w:ascii="Arial" w:hAnsi="Arial" w:cs="Arial"/>
        </w:rPr>
        <w:t xml:space="preserve"> Szczegółowe regulacje dotyczące oceny stanu wód podziemnych są zawarte w rozporządzeniu </w:t>
      </w:r>
      <w:r w:rsidR="00880439" w:rsidRPr="00880439">
        <w:rPr>
          <w:rFonts w:ascii="Arial" w:hAnsi="Arial" w:cs="Arial"/>
        </w:rPr>
        <w:t>Ministra Gospodarki Morskiej i</w:t>
      </w:r>
      <w:r w:rsidR="008F1FF4">
        <w:rPr>
          <w:rFonts w:ascii="Arial" w:hAnsi="Arial" w:cs="Arial"/>
        </w:rPr>
        <w:t> </w:t>
      </w:r>
      <w:r w:rsidR="00880439" w:rsidRPr="00880439">
        <w:rPr>
          <w:rFonts w:ascii="Arial" w:hAnsi="Arial" w:cs="Arial"/>
        </w:rPr>
        <w:t xml:space="preserve">Żeglugi Śródlądowej </w:t>
      </w:r>
      <w:r w:rsidR="00007B31" w:rsidRPr="00880439">
        <w:rPr>
          <w:rFonts w:ascii="Arial" w:hAnsi="Arial" w:cs="Arial"/>
        </w:rPr>
        <w:t>z</w:t>
      </w:r>
      <w:r w:rsidR="00007B31">
        <w:rPr>
          <w:rFonts w:ascii="Arial" w:hAnsi="Arial" w:cs="Arial"/>
        </w:rPr>
        <w:t> </w:t>
      </w:r>
      <w:r w:rsidR="00880439" w:rsidRPr="00880439">
        <w:rPr>
          <w:rFonts w:ascii="Arial" w:hAnsi="Arial" w:cs="Arial"/>
        </w:rPr>
        <w:t>dnia 11 października 2019 r. w sprawie kryteriów i sposobu oceny stanu jednolitych części wód podziemnych (Dz. U. poz. 2148)</w:t>
      </w:r>
      <w:r w:rsidRPr="00925BCD">
        <w:rPr>
          <w:rFonts w:ascii="Arial" w:hAnsi="Arial" w:cs="Arial"/>
        </w:rPr>
        <w:t>, natomiast szczegółowe regulacje dotyczące oceny stanu wód powierzchniowych są zawarte  w rozporządzeniu Ministra Środowiska z dnia 2</w:t>
      </w:r>
      <w:r w:rsidR="00AC0A96">
        <w:rPr>
          <w:rFonts w:ascii="Arial" w:hAnsi="Arial" w:cs="Arial"/>
        </w:rPr>
        <w:t>5</w:t>
      </w:r>
      <w:r w:rsidR="008F1FF4">
        <w:rPr>
          <w:rFonts w:ascii="Arial" w:hAnsi="Arial" w:cs="Arial"/>
        </w:rPr>
        <w:t> </w:t>
      </w:r>
      <w:r w:rsidR="00AC0A96">
        <w:rPr>
          <w:rFonts w:ascii="Arial" w:hAnsi="Arial" w:cs="Arial"/>
        </w:rPr>
        <w:t>czerwca</w:t>
      </w:r>
      <w:r w:rsidRPr="00925BCD">
        <w:rPr>
          <w:rFonts w:ascii="Arial" w:hAnsi="Arial" w:cs="Arial"/>
        </w:rPr>
        <w:t xml:space="preserve"> 20</w:t>
      </w:r>
      <w:r w:rsidR="000F76EF">
        <w:rPr>
          <w:rFonts w:ascii="Arial" w:hAnsi="Arial" w:cs="Arial"/>
        </w:rPr>
        <w:t>21</w:t>
      </w:r>
      <w:r w:rsidRPr="00925BCD">
        <w:rPr>
          <w:rFonts w:ascii="Arial" w:hAnsi="Arial" w:cs="Arial"/>
        </w:rPr>
        <w:t xml:space="preserve"> r. w sprawie </w:t>
      </w:r>
      <w:r w:rsidR="00CB6422" w:rsidRPr="00CB6422">
        <w:rPr>
          <w:rFonts w:ascii="Arial" w:hAnsi="Arial" w:cs="Arial"/>
        </w:rPr>
        <w:t>klasyfikacji stanu ekologicznego, potencjału ekologicznego i stanu chemicznego oraz sposobu klasyfikacji stanu jednolitych części wód powierzchniowych, a także środowiskowych norm jakości dla substancji priorytetowych (Dz. U. poz. 1475).</w:t>
      </w:r>
    </w:p>
    <w:p w14:paraId="0EA67224" w14:textId="2E51E25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Monitoring jakości wód jest prowadzony z uwzględnieniem wymagań określonych w dyrektywie 2000/60/WE Parlamentu Europejskiego i Rady 2000/60/WE z dnia 23 października 2000</w:t>
      </w:r>
      <w:r w:rsidR="001728C0">
        <w:rPr>
          <w:rFonts w:ascii="Arial" w:hAnsi="Arial" w:cs="Arial"/>
        </w:rPr>
        <w:t> </w:t>
      </w:r>
      <w:r w:rsidRPr="00925BCD">
        <w:rPr>
          <w:rFonts w:ascii="Arial" w:hAnsi="Arial" w:cs="Arial"/>
        </w:rPr>
        <w:t>r. ustanawiającej ramy wspólnotowego działania w dziedzinie polityki wodnej (Dz. Urz. WE L 327 z 22.12.2000, str. 1, z późn. zm. – Dz. Urz. UE Polskie wydanie specjalne rozdz. 15, t. 5, str. 275), tzw. Ramowej Dyrektywie Wodnej oraz w przypadku wód podziemnych – w dyrektywie 2006/118/WE Parlamentu Europejskiego i Rady z dnia 12 grudnia 2006 r. w sprawie ochrony wód podziemnych przed zanieczyszczeniem i pogorszeniem ich stanu (Dz. Urz. UE L 372 z 27.12.2006, str. 19).</w:t>
      </w:r>
    </w:p>
    <w:p w14:paraId="227577D7" w14:textId="4FFB9B35"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lastRenderedPageBreak/>
        <w:t>Program monitoringu wód powierzchniowych i podziemnych jest realizowany w ramach:</w:t>
      </w:r>
    </w:p>
    <w:p w14:paraId="0F8345C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diagnostycznego; </w:t>
      </w:r>
    </w:p>
    <w:p w14:paraId="3A17BE00"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operacyjnego; </w:t>
      </w:r>
    </w:p>
    <w:p w14:paraId="3BE0EB6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badawczego;</w:t>
      </w:r>
    </w:p>
    <w:p w14:paraId="3EB2B8DD"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obszarów chronionych, który ma charakter uzupełniający do monitoringu stanu jednolitych części wód powierzchniowych (monitoringu diagnostycznego, monitoringu operacyjnego)</w:t>
      </w:r>
    </w:p>
    <w:p w14:paraId="696ABAD8" w14:textId="53EE5C13" w:rsidR="00056846" w:rsidRPr="00925BCD" w:rsidRDefault="00E54725" w:rsidP="00114D52">
      <w:pPr>
        <w:pStyle w:val="Akapitzlist"/>
        <w:numPr>
          <w:ilvl w:val="0"/>
          <w:numId w:val="12"/>
        </w:numPr>
        <w:tabs>
          <w:tab w:val="center" w:pos="4536"/>
          <w:tab w:val="right" w:pos="9072"/>
        </w:tabs>
        <w:spacing w:after="120" w:line="360" w:lineRule="auto"/>
        <w:ind w:left="709" w:hanging="283"/>
        <w:jc w:val="both"/>
        <w:rPr>
          <w:rFonts w:ascii="Arial" w:hAnsi="Arial" w:cs="Arial"/>
          <w:sz w:val="20"/>
          <w:szCs w:val="20"/>
        </w:rPr>
      </w:pPr>
      <w:r w:rsidRPr="00925BCD">
        <w:rPr>
          <w:rFonts w:ascii="Arial" w:hAnsi="Arial" w:cs="Arial"/>
          <w:sz w:val="20"/>
          <w:szCs w:val="20"/>
        </w:rPr>
        <w:t xml:space="preserve">zgodnie z wymaganiami zawartymi w rozporządzeniu </w:t>
      </w:r>
      <w:r w:rsidR="00803AA8" w:rsidRPr="00803AA8">
        <w:rPr>
          <w:rFonts w:ascii="Arial" w:hAnsi="Arial" w:cs="Arial"/>
          <w:sz w:val="20"/>
          <w:szCs w:val="20"/>
        </w:rPr>
        <w:t>Ministra Infrastruktury z dnia 13 lipca 2021</w:t>
      </w:r>
      <w:r w:rsidR="0078497E">
        <w:rPr>
          <w:rFonts w:ascii="Arial" w:hAnsi="Arial" w:cs="Arial"/>
          <w:sz w:val="20"/>
          <w:szCs w:val="20"/>
        </w:rPr>
        <w:t> </w:t>
      </w:r>
      <w:r w:rsidR="00803AA8" w:rsidRPr="00803AA8">
        <w:rPr>
          <w:rFonts w:ascii="Arial" w:hAnsi="Arial" w:cs="Arial"/>
          <w:sz w:val="20"/>
          <w:szCs w:val="20"/>
        </w:rPr>
        <w:t>r. w sprawie form i sposobu prowadzenia monitoringu jednolitych części wód powierzchniowych i jednolitych części wód podziemnych lub jego aktualizacji</w:t>
      </w:r>
      <w:r w:rsidRPr="00925BCD">
        <w:rPr>
          <w:rFonts w:ascii="Arial" w:hAnsi="Arial" w:cs="Arial"/>
          <w:sz w:val="20"/>
          <w:szCs w:val="20"/>
        </w:rPr>
        <w:t>.</w:t>
      </w:r>
    </w:p>
    <w:p w14:paraId="3E8ED207" w14:textId="5769F2FD"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 xml:space="preserve">W ramach poszczególnych rodzajów monitoringu wód powierzchniowych są prowadzone badania wskaźników biologicznych, fizykochemicznych i chemicznych wykonywane przez </w:t>
      </w:r>
      <w:r w:rsidR="00B62498">
        <w:rPr>
          <w:rFonts w:ascii="Arial" w:hAnsi="Arial" w:cs="Arial"/>
          <w:sz w:val="20"/>
          <w:szCs w:val="20"/>
        </w:rPr>
        <w:t xml:space="preserve">Centralne Laboratorium </w:t>
      </w:r>
      <w:r w:rsidR="00FE7F25">
        <w:rPr>
          <w:rFonts w:ascii="Arial" w:hAnsi="Arial" w:cs="Arial"/>
          <w:sz w:val="20"/>
          <w:szCs w:val="20"/>
        </w:rPr>
        <w:t>GIOŚ</w:t>
      </w:r>
      <w:r w:rsidRPr="00007B31">
        <w:rPr>
          <w:rFonts w:ascii="Arial" w:hAnsi="Arial" w:cs="Arial"/>
          <w:sz w:val="20"/>
          <w:szCs w:val="20"/>
        </w:rPr>
        <w:t xml:space="preserve"> oraz wskaźników hydromorfologicznych</w:t>
      </w:r>
      <w:r w:rsidR="005909A6" w:rsidRPr="00007B31">
        <w:rPr>
          <w:rFonts w:ascii="Arial" w:hAnsi="Arial" w:cs="Arial"/>
          <w:sz w:val="20"/>
          <w:szCs w:val="20"/>
        </w:rPr>
        <w:t>,</w:t>
      </w:r>
      <w:r w:rsidRPr="00007B31">
        <w:rPr>
          <w:rFonts w:ascii="Arial" w:hAnsi="Arial" w:cs="Arial"/>
          <w:sz w:val="20"/>
          <w:szCs w:val="20"/>
        </w:rPr>
        <w:t xml:space="preserve"> prowadzone przez służbę hydrologiczno-meteorologiczną. W ramach monitoringu wód podziemnych jest określany stan chemiczny i ilościowy jednolitych części wód podziemnych.</w:t>
      </w:r>
    </w:p>
    <w:p w14:paraId="081C1D0E"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Badania osadów dennych rzek i jezior są wykonywane w ramach monitoringu wód powierzchniowych. Bezpośredni nadzór nad realizacją programu badań sprawuje Główny Inspektor Ochrony Środowiska.</w:t>
      </w:r>
    </w:p>
    <w:p w14:paraId="399352A4" w14:textId="77777777" w:rsidR="00056846" w:rsidRPr="00007B31" w:rsidRDefault="00E54725" w:rsidP="00114D52">
      <w:pPr>
        <w:tabs>
          <w:tab w:val="center" w:pos="4536"/>
          <w:tab w:val="right" w:pos="9072"/>
        </w:tabs>
        <w:spacing w:after="120" w:line="360" w:lineRule="auto"/>
        <w:ind w:firstLine="360"/>
        <w:jc w:val="both"/>
        <w:rPr>
          <w:rFonts w:ascii="Arial" w:hAnsi="Arial" w:cs="Arial"/>
          <w:sz w:val="20"/>
          <w:szCs w:val="20"/>
        </w:rPr>
      </w:pPr>
      <w:r w:rsidRPr="00007B31">
        <w:rPr>
          <w:rFonts w:ascii="Arial" w:hAnsi="Arial" w:cs="Arial"/>
          <w:sz w:val="20"/>
          <w:szCs w:val="20"/>
        </w:rPr>
        <w:t xml:space="preserve">W ramach państwowego monitoringu środowiska są prowadzone badania substancji priorytetowych, wśród których są substancje lub grupy substancji, które występują bądź występowały w środkach ochrony roślin lub służą lub </w:t>
      </w:r>
      <w:r w:rsidRPr="00D261FC">
        <w:rPr>
          <w:rFonts w:ascii="Arial" w:hAnsi="Arial" w:cs="Arial"/>
          <w:sz w:val="20"/>
          <w:szCs w:val="20"/>
        </w:rPr>
        <w:t>służyły do ich produkcji.</w:t>
      </w:r>
      <w:r w:rsidRPr="00007B31">
        <w:rPr>
          <w:rFonts w:ascii="Arial" w:hAnsi="Arial" w:cs="Arial"/>
          <w:sz w:val="20"/>
          <w:szCs w:val="20"/>
        </w:rPr>
        <w:t xml:space="preserve"> </w:t>
      </w:r>
    </w:p>
    <w:p w14:paraId="63D62C07" w14:textId="77777777" w:rsidR="00056846" w:rsidRPr="00925BCD" w:rsidRDefault="00E54725">
      <w:pPr>
        <w:pStyle w:val="Nagwek3"/>
        <w:numPr>
          <w:ilvl w:val="0"/>
          <w:numId w:val="0"/>
        </w:numPr>
        <w:spacing w:after="120" w:line="360" w:lineRule="auto"/>
        <w:ind w:left="709"/>
        <w:rPr>
          <w:i w:val="0"/>
          <w:sz w:val="20"/>
          <w:szCs w:val="20"/>
        </w:rPr>
      </w:pPr>
      <w:bookmarkStart w:id="36" w:name="_Toc161744875"/>
      <w:r w:rsidRPr="00925BCD">
        <w:rPr>
          <w:i w:val="0"/>
          <w:sz w:val="20"/>
          <w:szCs w:val="20"/>
        </w:rPr>
        <w:t>Podzadanie 1. Wody powierzchniowe</w:t>
      </w:r>
      <w:bookmarkEnd w:id="36"/>
      <w:r w:rsidRPr="00925BCD">
        <w:rPr>
          <w:i w:val="0"/>
          <w:sz w:val="20"/>
          <w:szCs w:val="20"/>
        </w:rPr>
        <w:t xml:space="preserve"> </w:t>
      </w:r>
    </w:p>
    <w:p w14:paraId="2A63E934" w14:textId="4597AE6E"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monitoringu  diagnostycznego, operacyjnego, badawczego oraz monitoringu obszarów chronionych w jednolitych częściach wód rzek i jezior, wód przejściowych i przybrzeżnych, Inspekcja Ochrony Środowiska realizowała w </w:t>
      </w:r>
      <w:r w:rsidR="007222EB">
        <w:rPr>
          <w:rFonts w:ascii="Arial" w:hAnsi="Arial" w:cs="Arial"/>
        </w:rPr>
        <w:t xml:space="preserve">latach </w:t>
      </w:r>
      <w:r w:rsidRPr="00925BCD">
        <w:rPr>
          <w:rFonts w:ascii="Arial" w:hAnsi="Arial" w:cs="Arial"/>
        </w:rPr>
        <w:t xml:space="preserve">2018 </w:t>
      </w:r>
      <w:r w:rsidR="00802F14" w:rsidRPr="00925BCD">
        <w:rPr>
          <w:rFonts w:ascii="Arial" w:hAnsi="Arial" w:cs="Arial"/>
        </w:rPr>
        <w:t>–</w:t>
      </w:r>
      <w:r w:rsidR="00802F14">
        <w:rPr>
          <w:rFonts w:ascii="Arial" w:hAnsi="Arial" w:cs="Arial"/>
        </w:rPr>
        <w:t xml:space="preserve"> 202</w:t>
      </w:r>
      <w:r w:rsidR="00AA6CDB">
        <w:rPr>
          <w:rFonts w:ascii="Arial" w:hAnsi="Arial" w:cs="Arial"/>
        </w:rPr>
        <w:t>1</w:t>
      </w:r>
      <w:r w:rsidR="005D2453" w:rsidRPr="00925BCD">
        <w:rPr>
          <w:rFonts w:ascii="Arial" w:hAnsi="Arial" w:cs="Arial"/>
        </w:rPr>
        <w:t xml:space="preserve"> </w:t>
      </w:r>
      <w:r w:rsidRPr="00925BCD">
        <w:rPr>
          <w:rFonts w:ascii="Arial" w:hAnsi="Arial" w:cs="Arial"/>
        </w:rPr>
        <w:t xml:space="preserve">badania określone w programach państwowego monitoringu środowiska. </w:t>
      </w:r>
    </w:p>
    <w:p w14:paraId="55F62F81"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substancji zaliczanych do środków ochrony roślin lub ich półproduktów (zwanych dalej „pestycydami”), państwowy monitoring środowiska w 2018 r. i 2019 r. obejmował w wodach rzek i jezior:</w:t>
      </w:r>
    </w:p>
    <w:p w14:paraId="608949DE"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pestycydy chlorowcoorganiczne: pestycydy cyklodienowe (aldrynę, dieldrynę, endrynę, izodrynę), DDT całkowity, p,p'-DDT, HCH całkowity, alachlor, dikofol, endosulfan całkowity, heptachlor i epoksyd heptachloru, heksachlorobenzen, pentachlorofenol;</w:t>
      </w:r>
    </w:p>
    <w:p w14:paraId="0DE3B9F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pestycydy fosforoorganiczne: chlorfenwinfos, chloropyrifos, dichlorfos;</w:t>
      </w:r>
    </w:p>
    <w:p w14:paraId="74621D4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pestycydy triazynowe: atrazynę, cybutrynę, symazynę, terbutrynę;</w:t>
      </w:r>
    </w:p>
    <w:p w14:paraId="730A4A37"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inne pestycydy: aklonifen, bifenoks, chinoksyfen, cypermetrynę, diuron, izoproturon, trifluralinę, związki tributylocyny.</w:t>
      </w:r>
    </w:p>
    <w:p w14:paraId="6CCE11F2"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lastRenderedPageBreak/>
        <w:t>Monitoring wód rzecznych</w:t>
      </w:r>
      <w:r w:rsidRPr="00925BCD">
        <w:rPr>
          <w:rFonts w:ascii="Arial" w:hAnsi="Arial" w:cs="Arial"/>
        </w:rPr>
        <w:t xml:space="preserve"> (w tym zbiorników zaporowych) </w:t>
      </w:r>
      <w:r w:rsidRPr="00925BCD">
        <w:rPr>
          <w:rFonts w:ascii="Arial" w:hAnsi="Arial" w:cs="Arial"/>
          <w:b/>
          <w:bCs/>
        </w:rPr>
        <w:t>w 2018 r.</w:t>
      </w:r>
      <w:r w:rsidRPr="00925BCD">
        <w:rPr>
          <w:rFonts w:ascii="Arial" w:hAnsi="Arial" w:cs="Arial"/>
        </w:rPr>
        <w:t xml:space="preserve"> był prowadzony w 1 844 punktach pomiarowo-kontrolnych położonych na 1 773 jednolitych częściach wód powierzchniowych rzecznych. Spośród badanych pestycydów, w stężeniach powyżej granicy oznaczalności odnotowano następujące substancje: alachlor (0,002-0,05 µg/l; m. in. Bzura, Świder, Wilga), diuron (0,005-0,47 µg/l), HCH całkowity (0,008-108,4 µg/l; m. in. Wisła, Bzura, Nysa Kłodzka – Zbiornik Nysa, Przemsza), izoproturon (0,052-1,1 µg/l; najwyższa zawartość – Skawinka od Głogoczówki  do ujścia), symazynę (0,001-1,7 µg/l; m. in. Wisła, Bug, San, Bzura, Nysa Kłodzka), atrazynę (0,001-1 µg/l; m. in. Wisła, Bug; największa zawartość – Wisła od Sanu do Sanny), związki tributylocyny (0,00008-2,13 µg/l; największa zawartość – Narew powyżej Zalewu Zegrzyńskiego), trifluralinę (0,0052-0,011 µg/l), DDT całkowity (0,001-0,0574 µg/l; m. in. Bzura, Przemsza), p,p'-DDT  (0,002-0,0555 µg/l; m. in. Bzura, Przemsza, Nysa Łużycka), endosulfan całkowity (0,001-0,0071 µg/l), pentachlorofenol (0,01-0,11 µg/l), pestycydy cyklodienowe (0,00075-0,0016 µg/l; m.in. Przemsza), heptachlor i jego epoksyd (0,0000002-0,000000403 µg/l), chlorfenwinfos (0,001-9,45 µg/l) i chloropyrifos (0,001-0,222 µg/l; m. in. Wisła, Bug, Nysa Kłodzka – Zbiornik Nysa). Na ogół stężenia te nie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 Sporadyczne przekroczenia dotyczyły głównie DDT, HCH i chlorfenwinfosu.</w:t>
      </w:r>
    </w:p>
    <w:p w14:paraId="38935565"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Dodatkowo, w listopadzie 2018 r. rozpoczęto w 20 punktach pomiarowo-kontrolnych rzecznych monitoring substancji z drugiej listy obserwacyjnej, ustanowionej decyzją wykonawcza Komisji (UE) 2018/840 z dnia 5 czerwca 2018 r., obejmującej m. in. pestycydy neonikotynoidowe (acetamipryd, chlotianidynę, imidachlopryd, tiaklopryd, tiametoksam), metaflumizon i metiokarb. Żaden z tych pestycydów nie został jednak w 2018 r. stwierdzony w stężeniach powyżej granicy oznaczalności.</w:t>
      </w:r>
    </w:p>
    <w:p w14:paraId="073FCD80"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Monitoring wód rzecznych</w:t>
      </w:r>
      <w:r w:rsidRPr="00925BCD">
        <w:rPr>
          <w:rFonts w:ascii="Arial" w:hAnsi="Arial" w:cs="Arial"/>
        </w:rPr>
        <w:t xml:space="preserve"> (w tym zbiorników zaporowych) </w:t>
      </w:r>
      <w:r w:rsidRPr="00925BCD">
        <w:rPr>
          <w:rFonts w:ascii="Arial" w:hAnsi="Arial" w:cs="Arial"/>
          <w:b/>
          <w:bCs/>
        </w:rPr>
        <w:t>w 2019 r.</w:t>
      </w:r>
      <w:r w:rsidRPr="00925BCD">
        <w:rPr>
          <w:rFonts w:ascii="Arial" w:hAnsi="Arial" w:cs="Arial"/>
        </w:rPr>
        <w:t xml:space="preserve"> był prowadzony w 1820</w:t>
      </w:r>
      <w:r w:rsidR="005D2453" w:rsidRPr="00925BCD">
        <w:rPr>
          <w:rFonts w:ascii="Arial" w:hAnsi="Arial" w:cs="Arial"/>
        </w:rPr>
        <w:t xml:space="preserve">, czyli zaledwie 24 mniej, </w:t>
      </w:r>
      <w:r w:rsidRPr="00925BCD">
        <w:rPr>
          <w:rFonts w:ascii="Arial" w:hAnsi="Arial" w:cs="Arial"/>
        </w:rPr>
        <w:t>punktach pomiarowo-kontrolnych położonych na jednolitych częściach wód powierzchniowych rzecznych. Spośród badanych pestycydów, w stężeniach powyżej granicy oznaczalności odnotowano następujące substancje: alachlor (0,002-0,0849 µg/l; m. in. Wkra, Stara Pilica), diuron (0,058-0,32 µg/l), HCH całkowity (0,002-84,89 µg/l; m. in. Wisła, Wąwolnica, Przemsza; największa zawartość – Wąwolnica – ujście do Przemszy), izoproturon (0,014-0,124 µg/l), symazynę (0,002-0,9 µg/l; m. in. Wieprz), atrazynę (0,002-2,29 µg/l; największa zawartość – Kanał Młyński – ujście do Płoni), aklonifen (0,0012-0,3006 µg/l), chinoksyfen (0,0026 µg/l), cybutrynę (0,00012-0,00256 µg/l), cypermetrynę (0,000025-0,00298 µg/l; m. in. Wisła, Biały Dunajec, Zb. Czorsztyn), terbutrynę (0,0011-0,3789 µg/l; m. in. Prosna, Tanew, Wieprz), związki tributylocyny (0,000056-0,0012 µg/l; m. in. Odra, Wkra, Martwa Wisła), trifluralinę (0,005-0,015 µg/l), DDT całkowity (0,002-66,8 µg/l; największa zawartość – Wąwolnica – ujście do Przemszy), p,p'-DDT  (0,002-0,7727 µg/l; m. in. Wąwolnica, Przemsza), endosulfan całkowity (0,0026-0,0198 µg/l; m. in. Bobrek), pestycydy cyklodienowe (0,0013-0,018 µg/l; m.in. Przemsza), heptachlor i jego epoksyd (0,00031-0,0299 µg/l; m. in. Wisła, Odra, Warta, Soła, Olza, Zb. Goczałkowice), chlorfenwinfos (0,003-16,06 µg/l), chloropyrifos (0,002-0,32 µg/l) i</w:t>
      </w:r>
      <w:r w:rsidR="00D63714" w:rsidRPr="00925BCD">
        <w:rPr>
          <w:rFonts w:ascii="Arial" w:hAnsi="Arial" w:cs="Arial"/>
        </w:rPr>
        <w:t> </w:t>
      </w:r>
      <w:r w:rsidRPr="00925BCD">
        <w:rPr>
          <w:rFonts w:ascii="Arial" w:hAnsi="Arial" w:cs="Arial"/>
        </w:rPr>
        <w:t xml:space="preserve">dichlorfos (0,000181-0,015 µg/l). Na ogół stężenia te nie przekraczały wartości środowiskowych norm jakości dla dobrego stanu chemicznego jednolitych części wód powierzchniowych wg rozporządzenia </w:t>
      </w:r>
      <w:r w:rsidRPr="00925BCD">
        <w:rPr>
          <w:rFonts w:ascii="Arial" w:hAnsi="Arial" w:cs="Arial"/>
        </w:rPr>
        <w:lastRenderedPageBreak/>
        <w:t>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poz. 2149). Przekroczenia dotyczyły DDT calkowitego, p,p'-DDT, HCH, atrazyny, aklonifenu, cypermetryny, terbutryny, endosulfanu, heptachloru i jego epoksydu, chlorfenwinfosu, chloropyrifosu oraz dichlorfosu.</w:t>
      </w:r>
    </w:p>
    <w:p w14:paraId="35BB57C1"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kontynuowano monitoring substancji z drugiej listy obserwacyjnej, ustanowionej decyzją wykonawczą Komisji (UE) 2018/840 z dnia 5 czerwca 2018 r., obejmującej m. in. pestycydy neonikotynoidowe (acetamipryd, chlotianidynę, imidachlopryd, tiaklopryd, tiametoksam), metaflumizon i metiokarb. Żaden z tych pestycydów nie został jednak w 2019 r. stwierdzony w stężeniach powyżej granicy oznaczalności.</w:t>
      </w:r>
    </w:p>
    <w:p w14:paraId="7304AC13" w14:textId="4A03C07B" w:rsidR="00443E8A" w:rsidRPr="00CB73E8" w:rsidRDefault="00443E8A" w:rsidP="00443E8A">
      <w:pPr>
        <w:spacing w:after="120" w:line="360" w:lineRule="auto"/>
        <w:ind w:firstLine="284"/>
        <w:jc w:val="both"/>
        <w:rPr>
          <w:rFonts w:ascii="Arial" w:eastAsiaTheme="majorEastAsia" w:hAnsi="Arial" w:cs="Arial"/>
          <w:sz w:val="20"/>
          <w:szCs w:val="20"/>
        </w:rPr>
      </w:pPr>
      <w:r w:rsidRPr="00CB73E8">
        <w:rPr>
          <w:rFonts w:ascii="Arial" w:hAnsi="Arial" w:cs="Arial"/>
          <w:b/>
          <w:sz w:val="20"/>
          <w:szCs w:val="20"/>
        </w:rPr>
        <w:t>Monitoring wód rzecznych</w:t>
      </w:r>
      <w:r w:rsidRPr="00CB73E8">
        <w:rPr>
          <w:rFonts w:ascii="Arial" w:hAnsi="Arial" w:cs="Arial"/>
          <w:sz w:val="20"/>
          <w:szCs w:val="20"/>
        </w:rPr>
        <w:t xml:space="preserve"> (w tym zbiorników zaporowych) </w:t>
      </w:r>
      <w:r w:rsidRPr="00CB73E8">
        <w:rPr>
          <w:rFonts w:ascii="Arial" w:hAnsi="Arial" w:cs="Arial"/>
          <w:b/>
          <w:bCs/>
          <w:sz w:val="20"/>
          <w:szCs w:val="20"/>
        </w:rPr>
        <w:t>w 2020 r.</w:t>
      </w:r>
      <w:r w:rsidRPr="00CB73E8">
        <w:rPr>
          <w:rFonts w:ascii="Arial" w:hAnsi="Arial" w:cs="Arial"/>
          <w:sz w:val="20"/>
          <w:szCs w:val="20"/>
        </w:rPr>
        <w:t xml:space="preserve"> był prowadzony w 2</w:t>
      </w:r>
      <w:r w:rsidR="0095601E">
        <w:rPr>
          <w:rFonts w:ascii="Arial" w:hAnsi="Arial" w:cs="Arial"/>
          <w:sz w:val="20"/>
          <w:szCs w:val="20"/>
        </w:rPr>
        <w:t> </w:t>
      </w:r>
      <w:r w:rsidRPr="00CB73E8">
        <w:rPr>
          <w:rFonts w:ascii="Arial" w:hAnsi="Arial" w:cs="Arial"/>
          <w:sz w:val="20"/>
          <w:szCs w:val="20"/>
        </w:rPr>
        <w:t>125 punktach pomiarowo-kontrolnych położonych na jednolitych częściach wód powierzchniowych rzecznych. Spośród badanych pestycydów, w stężeniach powyżej granicy oznaczalności odnotowano następujące substancje: aklonifen (0,0011-0,62 µg/l), alachlor (0,001-0,081 µg/l; m. in. Bug), atrazynę (0,001-0,33 µg/l), bifenoks (0,0011-0,0018 µg/l), chinoksyfen (0,0022-0,0096 µg/l), chlorfenwinfos (0,003-4,67 µg/l; m. in. Wisła), chloropyrifos (0,001-0,434 µg/l), cybutrynę (0,00014 µg/l), cypermetrynę (0,00002-0,028 µg/l), DDT calkowity (0,001-37,5 µg/l; m. in. Wisła, Przemsza, Wąwolnica), p,p'-DDT (0,001-0,396 µg/l; m. in. Wisła, Przemsza, Wąwolnica), dichlorfos (0,00016-0,0263 µg/l), diuron (0,06-0,2 µg/l; m. in. Wisła), endosulfan (0,002-0,015 µg/l), HCH (0,0041-87,5 µg/l; m. in. Wisła, Przemsza), heptachlor i jego epoksyd (0,000003-0,017 µg/l), izoproturon (0,006-0,74 µg/l), pentachlorofenol (0,1-0,35 µg/l), pestycydy cyklodienowe (0,002-0,575 µg/l; m. in. Przemsza, Wąwolnica), symazynę (0,001-0,4 µg/l), terbutrynę (0,001-2,519 µg/l; m. in. Wisła, Warta, Skrwa Lewa, Liwiec), trifluralinę (0,002-0,0195 µg/l) i związki tributylocyny (0,00005-0,0005 µg/l; m. in. Odra). Na ogół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pestycydów cyklodienowych, DDT calkowitego, p,p'-DDT, HCH, aklonifenu, cypermetryny, terbutryny, endosulfanu, heptachloru i jego epoksydu, chlorfenwinfosu, chloropyrifosu oraz dichlorfosu.</w:t>
      </w:r>
    </w:p>
    <w:p w14:paraId="10FA9386" w14:textId="0B6B777E" w:rsidR="00CB73E8" w:rsidRDefault="00443E8A" w:rsidP="00114D52">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eastAsiaTheme="majorEastAsia" w:hAnsi="Arial" w:cs="Arial"/>
        </w:rPr>
        <w:t xml:space="preserve">W 2020 r. rozpoczęto monitoring substancji z trzeciej listy obserwacyjnej, ustanowionej decyzją wykonawczą Komisji (UE) </w:t>
      </w:r>
      <w:r w:rsidRPr="00CB73E8">
        <w:rPr>
          <w:rFonts w:ascii="Arial" w:hAnsi="Arial" w:cs="Arial"/>
        </w:rPr>
        <w:t xml:space="preserve">2020/1161 </w:t>
      </w:r>
      <w:r w:rsidRPr="00CB73E8">
        <w:rPr>
          <w:rStyle w:val="h11"/>
          <w:rFonts w:ascii="Arial" w:hAnsi="Arial" w:cs="Arial"/>
          <w:b w:val="0"/>
          <w:sz w:val="20"/>
          <w:szCs w:val="20"/>
        </w:rPr>
        <w:t>z dnia 4 sierpnia 2020 r., obejmującej m. in. fungicydy (dimoksystrobina, famoksadon). Żaden z ty</w:t>
      </w:r>
      <w:r w:rsidRPr="00802F50">
        <w:rPr>
          <w:rStyle w:val="h11"/>
          <w:rFonts w:ascii="Arial" w:hAnsi="Arial" w:cs="Arial"/>
          <w:b w:val="0"/>
          <w:sz w:val="20"/>
          <w:szCs w:val="20"/>
        </w:rPr>
        <w:t>ch środków grzybobójczych nie został jednak w 2020 r. stwierdzony w stężeniach powyżej granicy oznaczalności.</w:t>
      </w:r>
    </w:p>
    <w:p w14:paraId="24315BF8" w14:textId="6F23EC8A" w:rsidR="00FF38A8" w:rsidRPr="00FF38A8" w:rsidRDefault="00FF38A8" w:rsidP="00FF38A8">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152B42">
        <w:rPr>
          <w:rStyle w:val="h11"/>
          <w:rFonts w:ascii="Arial" w:hAnsi="Arial" w:cs="Arial"/>
          <w:bCs w:val="0"/>
          <w:sz w:val="20"/>
          <w:szCs w:val="20"/>
        </w:rPr>
        <w:t>Monitoring wód rzecznych</w:t>
      </w:r>
      <w:r w:rsidRPr="00FF38A8">
        <w:rPr>
          <w:rStyle w:val="h11"/>
          <w:rFonts w:ascii="Arial" w:hAnsi="Arial" w:cs="Arial"/>
          <w:b w:val="0"/>
          <w:sz w:val="20"/>
          <w:szCs w:val="20"/>
        </w:rPr>
        <w:t xml:space="preserve"> (w tym zbiorników zaporowych) </w:t>
      </w:r>
      <w:r w:rsidRPr="00152B42">
        <w:rPr>
          <w:rStyle w:val="h11"/>
          <w:rFonts w:ascii="Arial" w:hAnsi="Arial" w:cs="Arial"/>
          <w:bCs w:val="0"/>
          <w:sz w:val="20"/>
          <w:szCs w:val="20"/>
        </w:rPr>
        <w:t>w 2021</w:t>
      </w:r>
      <w:r w:rsidR="00517033">
        <w:rPr>
          <w:rStyle w:val="h11"/>
          <w:rFonts w:ascii="Arial" w:hAnsi="Arial" w:cs="Arial"/>
          <w:bCs w:val="0"/>
          <w:sz w:val="20"/>
          <w:szCs w:val="20"/>
        </w:rPr>
        <w:t> </w:t>
      </w:r>
      <w:r w:rsidRPr="00152B42">
        <w:rPr>
          <w:rStyle w:val="h11"/>
          <w:rFonts w:ascii="Arial" w:hAnsi="Arial" w:cs="Arial"/>
          <w:bCs w:val="0"/>
          <w:sz w:val="20"/>
          <w:szCs w:val="20"/>
        </w:rPr>
        <w:t>r.</w:t>
      </w:r>
      <w:r w:rsidRPr="00FF38A8">
        <w:rPr>
          <w:rStyle w:val="h11"/>
          <w:rFonts w:ascii="Arial" w:hAnsi="Arial" w:cs="Arial"/>
          <w:b w:val="0"/>
          <w:sz w:val="20"/>
          <w:szCs w:val="20"/>
        </w:rPr>
        <w:t xml:space="preserve"> był prowadzony w 2</w:t>
      </w:r>
      <w:r w:rsidR="00517033">
        <w:rPr>
          <w:rStyle w:val="h11"/>
          <w:rFonts w:ascii="Arial" w:hAnsi="Arial" w:cs="Arial"/>
          <w:b w:val="0"/>
          <w:sz w:val="20"/>
          <w:szCs w:val="20"/>
        </w:rPr>
        <w:t> </w:t>
      </w:r>
      <w:r w:rsidRPr="00FF38A8">
        <w:rPr>
          <w:rStyle w:val="h11"/>
          <w:rFonts w:ascii="Arial" w:hAnsi="Arial" w:cs="Arial"/>
          <w:b w:val="0"/>
          <w:sz w:val="20"/>
          <w:szCs w:val="20"/>
        </w:rPr>
        <w:t xml:space="preserve">462 punktach pomiarowo-kontrolnych położonych na jednolitych częściach wód powierzchniowych rzecznych. Spośród badanych pestycydów, w stężeniach powyżej granicy oznaczalności odnotowano następujące substancje: chlorfenwinfos (pojedynczy 1,72 µg/l), chloropyrifos (0,011-0,086 µg/l), </w:t>
      </w:r>
      <w:r w:rsidRPr="00FF38A8">
        <w:rPr>
          <w:rStyle w:val="h11"/>
          <w:rFonts w:ascii="Arial" w:hAnsi="Arial" w:cs="Arial"/>
          <w:b w:val="0"/>
          <w:sz w:val="20"/>
          <w:szCs w:val="20"/>
        </w:rPr>
        <w:lastRenderedPageBreak/>
        <w:t>cybutrynę (0,00086-0,00101 µg/l), cypermetrynę (0,000024-0,003002 µg/l), DDT calkowity (pojedynczy 0,0243 µg/l), p,p'-DDT (pojedynczy 0,023 µg/l), dichlorfos (0,00018-0,00114 µg/l), diuron (pojedynczy 0,2 µg/l), HCH (0,015-21,26 µg/l), heptachlor i jego epoksyd (0,0002-0,009 µg/l), izoproturon (pojedynczy 0,14 µg/l), pestycydy cyklodienowe (0,001-0,0014 µg/l), terbutrynę (pojedynczy 0,404 µg/l) i związki tributylocyny (0,00012-0,00776 µg/l). Na ogół stężenia te nie przekraczały wartości środowiskowych norm jakości dla dobrego stanu chemicznego jednolitych części wód powierzchniowych wg rozporządzenia Ministra Infrastruktury z dnia 25 czerwca 2021</w:t>
      </w:r>
      <w:r w:rsidR="00517033">
        <w:rPr>
          <w:rStyle w:val="h11"/>
          <w:rFonts w:ascii="Arial" w:hAnsi="Arial" w:cs="Arial"/>
          <w:b w:val="0"/>
          <w:sz w:val="20"/>
          <w:szCs w:val="20"/>
        </w:rPr>
        <w:t> </w:t>
      </w:r>
      <w:r w:rsidRPr="00FF38A8">
        <w:rPr>
          <w:rStyle w:val="h11"/>
          <w:rFonts w:ascii="Arial" w:hAnsi="Arial" w:cs="Arial"/>
          <w:b w:val="0"/>
          <w:sz w:val="20"/>
          <w:szCs w:val="20"/>
        </w:rPr>
        <w:t>r. w sprawie klasyfikacji stanu ekologicznego, potencjału ekologicznego i stanu chemicznego oraz sposobu klasyfikacji stanu jednolitych części wód powierzchniowych, a także środowiskowych norm jakości dla substancji priorytetowych (Dz. U. poz. 1475). Przekroczenia dotyczyły HCH, chloropyrifosu, cypermetryny, heptachloru i jego epoksydu, , dichlorfosu i związków tributylocyny oraz dla pojedynczych wyników w przypadku  p,p'-DDT, chlorfenwinfosu , terbutryny.</w:t>
      </w:r>
    </w:p>
    <w:p w14:paraId="34D3C550" w14:textId="0020B896" w:rsidR="00FF38A8" w:rsidRDefault="00FF38A8" w:rsidP="00FF38A8">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FF38A8">
        <w:rPr>
          <w:rStyle w:val="h11"/>
          <w:rFonts w:ascii="Arial" w:hAnsi="Arial" w:cs="Arial"/>
          <w:b w:val="0"/>
          <w:sz w:val="20"/>
          <w:szCs w:val="20"/>
        </w:rPr>
        <w:t>W 2021</w:t>
      </w:r>
      <w:r w:rsidR="00517033">
        <w:rPr>
          <w:rStyle w:val="h11"/>
          <w:rFonts w:ascii="Arial" w:hAnsi="Arial" w:cs="Arial"/>
          <w:b w:val="0"/>
          <w:sz w:val="20"/>
          <w:szCs w:val="20"/>
        </w:rPr>
        <w:t> </w:t>
      </w:r>
      <w:r w:rsidRPr="00FF38A8">
        <w:rPr>
          <w:rStyle w:val="h11"/>
          <w:rFonts w:ascii="Arial" w:hAnsi="Arial" w:cs="Arial"/>
          <w:b w:val="0"/>
          <w:sz w:val="20"/>
          <w:szCs w:val="20"/>
        </w:rPr>
        <w:t>r. zakończono monitoring substancji z trzeciej listy obserwacyjnej, ustanowionej decyzją wykonawczą Komisji (UE) 2020/1161 z dnia 4 sierpnia 2020 r., obejmującej m. in. fungicydy (dimoksystrobina, famoksadon). Żaden z tych środków grzybobójczych nie został jednak w 2021</w:t>
      </w:r>
      <w:r w:rsidR="00517033">
        <w:rPr>
          <w:rStyle w:val="h11"/>
          <w:rFonts w:ascii="Arial" w:hAnsi="Arial" w:cs="Arial"/>
          <w:b w:val="0"/>
          <w:sz w:val="20"/>
          <w:szCs w:val="20"/>
        </w:rPr>
        <w:t> </w:t>
      </w:r>
      <w:r w:rsidRPr="00FF38A8">
        <w:rPr>
          <w:rStyle w:val="h11"/>
          <w:rFonts w:ascii="Arial" w:hAnsi="Arial" w:cs="Arial"/>
          <w:b w:val="0"/>
          <w:sz w:val="20"/>
          <w:szCs w:val="20"/>
        </w:rPr>
        <w:t>r. stwierdzony w stężeniach powyżej granicy oznaczalności.</w:t>
      </w:r>
    </w:p>
    <w:p w14:paraId="0E216074" w14:textId="50C6A7AA" w:rsidR="006E7711" w:rsidRDefault="00AB27C0" w:rsidP="00AB27C0">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AB27C0">
        <w:rPr>
          <w:rStyle w:val="h11"/>
          <w:rFonts w:ascii="Arial" w:hAnsi="Arial" w:cs="Arial"/>
          <w:b w:val="0"/>
          <w:sz w:val="20"/>
          <w:szCs w:val="20"/>
        </w:rPr>
        <w:t xml:space="preserve">Monitoring wód rzecznych (w tym zbiorników zaporowych) </w:t>
      </w:r>
      <w:r w:rsidRPr="00222D34">
        <w:rPr>
          <w:rStyle w:val="h11"/>
          <w:rFonts w:ascii="Arial" w:hAnsi="Arial" w:cs="Arial"/>
          <w:bCs w:val="0"/>
          <w:sz w:val="20"/>
          <w:szCs w:val="20"/>
        </w:rPr>
        <w:t>w 2022 r.</w:t>
      </w:r>
      <w:r w:rsidRPr="00AB27C0">
        <w:rPr>
          <w:rStyle w:val="h11"/>
          <w:rFonts w:ascii="Arial" w:hAnsi="Arial" w:cs="Arial"/>
          <w:b w:val="0"/>
          <w:sz w:val="20"/>
          <w:szCs w:val="20"/>
        </w:rPr>
        <w:t xml:space="preserve"> był prowadzony w 2</w:t>
      </w:r>
      <w:r w:rsidR="00517033">
        <w:rPr>
          <w:rStyle w:val="h11"/>
          <w:rFonts w:ascii="Arial" w:hAnsi="Arial" w:cs="Arial"/>
          <w:b w:val="0"/>
          <w:sz w:val="20"/>
          <w:szCs w:val="20"/>
        </w:rPr>
        <w:t> </w:t>
      </w:r>
      <w:r w:rsidRPr="00AB27C0">
        <w:rPr>
          <w:rStyle w:val="h11"/>
          <w:rFonts w:ascii="Arial" w:hAnsi="Arial" w:cs="Arial"/>
          <w:b w:val="0"/>
          <w:sz w:val="20"/>
          <w:szCs w:val="20"/>
        </w:rPr>
        <w:t>224 punktach pomiarowo-kontrolnych położonych na jednolitych częściach wód powierzchniowych rzecznych. Spośród badanych pestycydów, w stężeniach powyżej granicy oznaczalności odnotowano następujące substancje: chlorwinfos, chloropyrifos, cybutrynę, cypermetrynę, DDT calkowity, p,p'-DDT, dichlorfos, diuron, HCH, heptachlor i jego epoksyd, izoproturon, pestycydy cyklodienowe, terbutrynę i</w:t>
      </w:r>
      <w:r w:rsidR="00222D34">
        <w:rPr>
          <w:rStyle w:val="h11"/>
          <w:rFonts w:ascii="Arial" w:hAnsi="Arial" w:cs="Arial"/>
          <w:b w:val="0"/>
          <w:sz w:val="20"/>
          <w:szCs w:val="20"/>
        </w:rPr>
        <w:t> </w:t>
      </w:r>
      <w:r w:rsidRPr="00AB27C0">
        <w:rPr>
          <w:rStyle w:val="h11"/>
          <w:rFonts w:ascii="Arial" w:hAnsi="Arial" w:cs="Arial"/>
          <w:b w:val="0"/>
          <w:sz w:val="20"/>
          <w:szCs w:val="20"/>
        </w:rPr>
        <w:t>związki tributylocyny. Na ogół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cypermetryny, dichlorfosu oraz dla pojedynczych wyników w przypadku  HCH, chlorwinfosu, związków tributylocyny, DDT całkowitego, heptachloru i jego epoksydu.</w:t>
      </w:r>
    </w:p>
    <w:p w14:paraId="6F22600D" w14:textId="5E077114"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2018</w:t>
      </w:r>
      <w:r w:rsidR="00E12E0A">
        <w:rPr>
          <w:rFonts w:ascii="Arial" w:hAnsi="Arial" w:cs="Arial"/>
          <w:b/>
          <w:bCs/>
        </w:rPr>
        <w:t> </w:t>
      </w:r>
      <w:r w:rsidRPr="00925BCD">
        <w:rPr>
          <w:rFonts w:ascii="Arial" w:hAnsi="Arial" w:cs="Arial"/>
          <w:b/>
          <w:bCs/>
        </w:rPr>
        <w:t>r.</w:t>
      </w:r>
      <w:r w:rsidRPr="00925BCD">
        <w:rPr>
          <w:rFonts w:ascii="Arial" w:hAnsi="Arial" w:cs="Arial"/>
        </w:rPr>
        <w:t xml:space="preserve"> badania wykonano w 283 jednolitych częściach wód powierzchniowych jeziornych, w jednym reprezentatywnym punkcie pomiarowo-kontrolnym dla każdego jeziora. Spośród badanych pestycydów, w stężeniach powyżej granicy oznaczalności odnotowano następujące substancje: alachlor (0,0089 µg/l – Jez. Łąckie Duże), atrazynę (2,2 µg/l – Jez. Stubnica), chloropyrifos (0,002 µg/l – jeziora: Firlej i Kunów), diuron (0,06 µg/l – Jez. Rakutowskie), DDT całkowity (0,0012-0,005 µg/l; największa zawartość – Jez. Strzeszyno), p,p'-DDT (0,0018-0,003 µg/l; największa zawartość – Jez. Stubnica), pentachlorofenol (0,011-0,016 µg/l; największa zawartość – Jez. Rydzówka) oraz heptachlor i epoksyd heptachloru (0,000000011-0,000000037 µg/l; największa zawartość – Jez. Ryńskie). Generalnie stężenia te nie przekraczały wartości środowiskowych norm jakości dla dobrego stanu chemicznego jednolitych części wód powierzchniowych wg rozporządzenia Ministra Środowiska z dnia 21 lipca 2016 r. w sprawie sposobu klasyfikacji stanu jednolitych części wód </w:t>
      </w:r>
      <w:r w:rsidRPr="00925BCD">
        <w:rPr>
          <w:rFonts w:ascii="Arial" w:hAnsi="Arial" w:cs="Arial"/>
        </w:rPr>
        <w:lastRenderedPageBreak/>
        <w:t>powierzchniowych oraz środowiskowych norm jakości dla substancji priorytetowych.</w:t>
      </w:r>
    </w:p>
    <w:p w14:paraId="14CBC3D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monitoringu w matrycy wodnej, badania pestycydów w 2018 r. obejmowały również pomiary ich stężeń w biocie (tkankach ryb), w 325 punktach pomiarowo-kontrolnych rzecznych i 60 punktach pomiarowo-kontrolnych jeziornych. Oznaczono następujące związki: heksachlorobenzen, dikofol oraz heptachlor i jego epoksyd. W przypadku heksachlorobenzenu i dikofolu nie stwierdzono stężeń przekraczających granicę oznaczalności. Natomiast w przypadku heptachloru i jego epoksydu odnotowano stężenia powyżej granicy oznaczalności: 0,0006-0,9885 µg/kg dla ryb pozyskanych z rzek i 0,0008-0,0885 µg/kg dla ryb pozyskanych z jezior. W wielu wypadkach stężenia heptachloru i jego epoksydu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w:t>
      </w:r>
    </w:p>
    <w:p w14:paraId="6825D9E9" w14:textId="6B41EBFF"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2019</w:t>
      </w:r>
      <w:r w:rsidR="00E12E0A">
        <w:rPr>
          <w:rFonts w:ascii="Arial" w:hAnsi="Arial" w:cs="Arial"/>
          <w:b/>
          <w:bCs/>
        </w:rPr>
        <w:t> </w:t>
      </w:r>
      <w:r w:rsidRPr="00925BCD">
        <w:rPr>
          <w:rFonts w:ascii="Arial" w:hAnsi="Arial" w:cs="Arial"/>
          <w:b/>
          <w:bCs/>
        </w:rPr>
        <w:t>r.</w:t>
      </w:r>
      <w:r w:rsidRPr="00925BCD">
        <w:rPr>
          <w:rFonts w:ascii="Arial" w:hAnsi="Arial" w:cs="Arial"/>
        </w:rPr>
        <w:t xml:space="preserve"> badania wykonano w 364 jednolitych częściach wód powierzchniowych jeziornych. Spośród badanych pestycydów, w stężeniach powyżej granicy oznaczalności odnotowano następujące substancje: alachlor (0,002 µg/l – Jez. Bleszno), atrazynę (0,35-0,41 µg/l – jeziora: Węgorzyno i Piaseczno w zlewni Drawy), cybutrynę (0,0006-0,0011 µg/l), symazynę (0,9 µg/l – Jez. Węgorzyno), terbutrynę (0,0019-0,0181 µg/l – jeziora: Węgorzyno i</w:t>
      </w:r>
      <w:r w:rsidR="009C7B7A" w:rsidRPr="00925BCD">
        <w:rPr>
          <w:rFonts w:ascii="Arial" w:hAnsi="Arial" w:cs="Arial"/>
        </w:rPr>
        <w:t> </w:t>
      </w:r>
      <w:r w:rsidRPr="00925BCD">
        <w:rPr>
          <w:rFonts w:ascii="Arial" w:hAnsi="Arial" w:cs="Arial"/>
        </w:rPr>
        <w:t>Wierzysko), chloropyrifos (0,002-0,006 µg/l – jeziora: Kleszczów, Remierzewo i Uścimowskie), diuron (1,76 µg/l – Jez. Piaseczno w zlewni Drawy), DDT całkowity (0,003 µg/l – Jez. Piaseczno w zlewni Drawy) i związki tributylocyny (0,000059-0,000068 µg/l – jeziora: Dąbrowa Wielka, Hartowieckie i</w:t>
      </w:r>
      <w:r w:rsidR="009C7B7A" w:rsidRPr="00925BCD">
        <w:rPr>
          <w:rFonts w:ascii="Arial" w:hAnsi="Arial" w:cs="Arial"/>
        </w:rPr>
        <w:t> </w:t>
      </w:r>
      <w:r w:rsidRPr="00925BCD">
        <w:rPr>
          <w:rFonts w:ascii="Arial" w:hAnsi="Arial" w:cs="Arial"/>
        </w:rPr>
        <w:t>Lampackie). Stężenia te nie przekraczały wartości środowiskowych norm jakości dla dobrego stanu chemicznego jednolitych części wód powierzchniowych wg rozporządzenia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w:t>
      </w:r>
    </w:p>
    <w:p w14:paraId="0F25BDAD"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monitoringu w matrycy wodnej, badania  pestycydów w 2019 r. obejmowały również pomiary ich stężeń w biocie (tkankach ryb). W 2019 r</w:t>
      </w:r>
      <w:r w:rsidR="009C7B7A" w:rsidRPr="00925BCD">
        <w:rPr>
          <w:rFonts w:ascii="Arial" w:hAnsi="Arial" w:cs="Arial"/>
        </w:rPr>
        <w:t>.</w:t>
      </w:r>
      <w:r w:rsidRPr="00925BCD">
        <w:rPr>
          <w:rFonts w:ascii="Arial" w:hAnsi="Arial" w:cs="Arial"/>
        </w:rPr>
        <w:t xml:space="preserve"> badania wykonano w 256 punktach pomiarowo-kontrolnych rzecznych i 194 punktach pomiarowo-kontrolnych jeziornych. Oznaczono następujące związki: heksachlorobenzen, dikofol oraz heptachlor i jego epoksyd. W przypadku heksachlorobenzenu i dikofolu nie stwierdzono stężeń przekraczających granicę oznaczalności. W ponad 60% przypadków, zarówno dla rzek, jak i jezior, stężenia heptachloru i jego epoksydu przekraczały wartości środowiskowych norm jakości dla dobrego stanu chemicznego jednolitych części wód powierzchniowych wg rozporządzenia Ministra Gospodarki Morskiej i Żeglugi Śródlądowej z dnia 11</w:t>
      </w:r>
      <w:r w:rsidR="009C7B7A" w:rsidRPr="00925BCD">
        <w:rPr>
          <w:rFonts w:ascii="Arial" w:hAnsi="Arial" w:cs="Arial"/>
        </w:rPr>
        <w:t> </w:t>
      </w:r>
      <w:r w:rsidRPr="00925BCD">
        <w:rPr>
          <w:rFonts w:ascii="Arial" w:hAnsi="Arial" w:cs="Arial"/>
        </w:rPr>
        <w:t>października 2019 r. w sprawie klasyfikacji stanu ekologicznego, potencjału ekologicznego i stanu chemicznego oraz sposobu klasyfikacji stanu jednolitych części wód powierzchniowych, a także środowiskowych norm jakości dla substancji priorytetowych (Dz. U. 2019 poz. 2149).</w:t>
      </w:r>
    </w:p>
    <w:p w14:paraId="7098E2F9" w14:textId="49B39164" w:rsidR="00443E8A" w:rsidRPr="00CB73E8" w:rsidRDefault="00443E8A" w:rsidP="00443E8A">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hAnsi="Arial" w:cs="Arial"/>
        </w:rPr>
        <w:t xml:space="preserve">W ramach </w:t>
      </w:r>
      <w:r w:rsidRPr="00CB73E8">
        <w:rPr>
          <w:rFonts w:ascii="Arial" w:hAnsi="Arial" w:cs="Arial"/>
          <w:b/>
          <w:bCs/>
        </w:rPr>
        <w:t>monitoringu jezior</w:t>
      </w:r>
      <w:r w:rsidRPr="00CB73E8">
        <w:rPr>
          <w:rFonts w:ascii="Arial" w:hAnsi="Arial" w:cs="Arial"/>
        </w:rPr>
        <w:t xml:space="preserve"> </w:t>
      </w:r>
      <w:r w:rsidRPr="00CB73E8">
        <w:rPr>
          <w:rFonts w:ascii="Arial" w:hAnsi="Arial" w:cs="Arial"/>
          <w:b/>
          <w:bCs/>
        </w:rPr>
        <w:t>w 2020</w:t>
      </w:r>
      <w:r w:rsidR="00E12E0A">
        <w:rPr>
          <w:rFonts w:ascii="Arial" w:hAnsi="Arial" w:cs="Arial"/>
          <w:b/>
          <w:bCs/>
        </w:rPr>
        <w:t> </w:t>
      </w:r>
      <w:r w:rsidRPr="00CB73E8">
        <w:rPr>
          <w:rFonts w:ascii="Arial" w:hAnsi="Arial" w:cs="Arial"/>
          <w:b/>
          <w:bCs/>
        </w:rPr>
        <w:t xml:space="preserve">r. </w:t>
      </w:r>
      <w:r w:rsidRPr="00CB73E8">
        <w:rPr>
          <w:rFonts w:ascii="Arial" w:hAnsi="Arial" w:cs="Arial"/>
        </w:rPr>
        <w:t xml:space="preserve">badania wykonano w 359 jednolitych częściach wód powierzchniowych jeziornych. Spośród badanych pestycydów, w stężeniach powyżej granicy </w:t>
      </w:r>
      <w:r w:rsidRPr="00CB73E8">
        <w:rPr>
          <w:rFonts w:ascii="Arial" w:hAnsi="Arial" w:cs="Arial"/>
        </w:rPr>
        <w:lastRenderedPageBreak/>
        <w:t>oznaczalności odnotowano następujące substancje: alachlor (0,001-0,005 µg/l), atrazynę (0,001-0,003 µg/l), chloropyrifos (0,001-0,006 µg/l), cypermetrynę (0,00003-0,00052 µg/l), cybutrynę (0,0056-0,0067 µg/l), dichlorfos (0,00021-0,00038 µg/l), heptachlor i jego epoksyd (0,000002-0,000023 µg/l) oraz terbutrynę (0,001-0,007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Sporadyczne przekroczenia dotyczyły heptachloru i jego epoksydu.</w:t>
      </w:r>
    </w:p>
    <w:p w14:paraId="65E38E0F" w14:textId="5703F4FD" w:rsidR="00443E8A" w:rsidRDefault="00443E8A" w:rsidP="00CB73E8">
      <w:pPr>
        <w:spacing w:after="120" w:line="360" w:lineRule="auto"/>
        <w:ind w:firstLine="284"/>
        <w:jc w:val="both"/>
        <w:rPr>
          <w:rFonts w:ascii="Arial" w:hAnsi="Arial" w:cs="Arial"/>
          <w:sz w:val="20"/>
          <w:szCs w:val="20"/>
        </w:rPr>
      </w:pPr>
      <w:r w:rsidRPr="00CB73E8">
        <w:rPr>
          <w:rStyle w:val="h11"/>
          <w:rFonts w:ascii="Arial" w:hAnsi="Arial" w:cs="Arial"/>
          <w:b w:val="0"/>
          <w:sz w:val="20"/>
          <w:szCs w:val="20"/>
        </w:rPr>
        <w:t>Podobnie jak w latach poprzednich, oprócz monitoringu w matrycy wodnej, badania pestycydów obejmowały również pomiary ich stężeń w biocie (tkankach ryb). W 2020 r</w:t>
      </w:r>
      <w:r w:rsidR="000D3601">
        <w:rPr>
          <w:rStyle w:val="h11"/>
          <w:rFonts w:ascii="Arial" w:hAnsi="Arial" w:cs="Arial"/>
          <w:b w:val="0"/>
          <w:sz w:val="20"/>
          <w:szCs w:val="20"/>
        </w:rPr>
        <w:t>.</w:t>
      </w:r>
      <w:r w:rsidRPr="00CB73E8">
        <w:rPr>
          <w:rStyle w:val="h11"/>
          <w:rFonts w:ascii="Arial" w:hAnsi="Arial" w:cs="Arial"/>
          <w:b w:val="0"/>
          <w:sz w:val="20"/>
          <w:szCs w:val="20"/>
        </w:rPr>
        <w:t xml:space="preserve"> badania wykonano w 421 punktach pomiarowo-kontrolnych rzecznych i 112 punktach pomiarowo-kontrolnych jeziornych. Oznaczono następujące związki: heksachlorobenzen, dikofol oraz heptachlor i jego epoksyd. W</w:t>
      </w:r>
      <w:r w:rsidR="0085358E">
        <w:rPr>
          <w:rStyle w:val="h11"/>
          <w:rFonts w:ascii="Arial" w:hAnsi="Arial" w:cs="Arial"/>
          <w:b w:val="0"/>
          <w:sz w:val="20"/>
          <w:szCs w:val="20"/>
        </w:rPr>
        <w:t> </w:t>
      </w:r>
      <w:r w:rsidRPr="00CB73E8">
        <w:rPr>
          <w:rStyle w:val="h11"/>
          <w:rFonts w:ascii="Arial" w:hAnsi="Arial" w:cs="Arial"/>
          <w:b w:val="0"/>
          <w:sz w:val="20"/>
          <w:szCs w:val="20"/>
        </w:rPr>
        <w:t xml:space="preserve">przypadku heksachlorobenzenu i dikofolu nie stwierdzono stężeń przekraczających granicę oznaczalności. W </w:t>
      </w:r>
      <w:r w:rsidRPr="00CB73E8">
        <w:rPr>
          <w:rStyle w:val="h11"/>
          <w:rFonts w:ascii="Arial" w:hAnsi="Arial" w:cs="Arial"/>
          <w:b w:val="0"/>
          <w:color w:val="000000" w:themeColor="text1"/>
          <w:sz w:val="20"/>
          <w:szCs w:val="20"/>
        </w:rPr>
        <w:t>około 58 % przypadków</w:t>
      </w:r>
      <w:r w:rsidRPr="00CB73E8">
        <w:rPr>
          <w:rStyle w:val="h11"/>
          <w:rFonts w:ascii="Arial" w:hAnsi="Arial" w:cs="Arial"/>
          <w:b w:val="0"/>
          <w:sz w:val="20"/>
          <w:szCs w:val="20"/>
        </w:rPr>
        <w:t xml:space="preserve"> dla rzek oraz w około 62 % dla jezior, stężenia heptachloru i</w:t>
      </w:r>
      <w:r w:rsidR="00164F4D">
        <w:rPr>
          <w:rStyle w:val="h11"/>
          <w:rFonts w:ascii="Arial" w:hAnsi="Arial" w:cs="Arial"/>
          <w:b w:val="0"/>
          <w:sz w:val="20"/>
          <w:szCs w:val="20"/>
        </w:rPr>
        <w:t> </w:t>
      </w:r>
      <w:r w:rsidRPr="00CB73E8">
        <w:rPr>
          <w:rStyle w:val="h11"/>
          <w:rFonts w:ascii="Arial" w:hAnsi="Arial" w:cs="Arial"/>
          <w:b w:val="0"/>
          <w:sz w:val="20"/>
          <w:szCs w:val="20"/>
        </w:rPr>
        <w:t xml:space="preserve">jego epoksydu przekraczały wartości środowiskowych norm jakości dla dobrego stanu chemicznego jednolitych części wód powierzchniowych </w:t>
      </w:r>
      <w:r w:rsidR="00DB66EF" w:rsidRPr="00DB66EF">
        <w:rPr>
          <w:rStyle w:val="h11"/>
          <w:rFonts w:ascii="Arial" w:hAnsi="Arial" w:cs="Arial"/>
          <w:b w:val="0"/>
          <w:sz w:val="20"/>
          <w:szCs w:val="20"/>
        </w:rPr>
        <w:t>wg rozporządzenia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w:t>
      </w:r>
      <w:r w:rsidRPr="00CB73E8">
        <w:rPr>
          <w:rFonts w:ascii="Arial" w:hAnsi="Arial" w:cs="Arial"/>
          <w:sz w:val="20"/>
          <w:szCs w:val="20"/>
        </w:rPr>
        <w:t>.</w:t>
      </w:r>
    </w:p>
    <w:p w14:paraId="7D49685E" w14:textId="36092E44" w:rsidR="0037569C" w:rsidRPr="0037569C" w:rsidRDefault="0037569C" w:rsidP="0037569C">
      <w:pPr>
        <w:spacing w:after="120" w:line="360" w:lineRule="auto"/>
        <w:ind w:firstLine="284"/>
        <w:jc w:val="both"/>
        <w:rPr>
          <w:rFonts w:ascii="Arial" w:hAnsi="Arial" w:cs="Arial"/>
          <w:sz w:val="20"/>
          <w:szCs w:val="20"/>
        </w:rPr>
      </w:pPr>
      <w:r w:rsidRPr="00BA611A">
        <w:rPr>
          <w:rFonts w:ascii="Arial" w:hAnsi="Arial" w:cs="Arial"/>
          <w:sz w:val="20"/>
          <w:szCs w:val="20"/>
        </w:rPr>
        <w:t>W ramach</w:t>
      </w:r>
      <w:r w:rsidRPr="0037569C">
        <w:rPr>
          <w:rFonts w:ascii="Arial" w:hAnsi="Arial" w:cs="Arial"/>
          <w:b/>
          <w:bCs/>
          <w:sz w:val="20"/>
          <w:szCs w:val="20"/>
        </w:rPr>
        <w:t xml:space="preserve"> monitoringu jezior w 2021</w:t>
      </w:r>
      <w:r w:rsidR="00E12E0A">
        <w:rPr>
          <w:rFonts w:ascii="Arial" w:hAnsi="Arial" w:cs="Arial"/>
          <w:b/>
          <w:bCs/>
          <w:sz w:val="20"/>
          <w:szCs w:val="20"/>
        </w:rPr>
        <w:t> </w:t>
      </w:r>
      <w:r w:rsidRPr="0037569C">
        <w:rPr>
          <w:rFonts w:ascii="Arial" w:hAnsi="Arial" w:cs="Arial"/>
          <w:b/>
          <w:bCs/>
          <w:sz w:val="20"/>
          <w:szCs w:val="20"/>
        </w:rPr>
        <w:t>r.</w:t>
      </w:r>
      <w:r w:rsidRPr="0037569C">
        <w:rPr>
          <w:rFonts w:ascii="Arial" w:hAnsi="Arial" w:cs="Arial"/>
          <w:sz w:val="20"/>
          <w:szCs w:val="20"/>
        </w:rPr>
        <w:t xml:space="preserve"> badania wykonano w 490 jednolitych częściach wód powierzchniowych jeziornych. Spośród badanych pestycydów, w stężeniach powyżej granicy oznaczalności odnotowano jedynie następujące substancje: cypermetrynę (0,000026-0,000045 µg/l), dichlorfos (pojedynczy 0,000557 µg/l) oraz heptachlor i jego epoksyd (0,002-0,009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w:t>
      </w:r>
      <w:r w:rsidR="00E97C86">
        <w:rPr>
          <w:rFonts w:ascii="Arial" w:hAnsi="Arial" w:cs="Arial"/>
          <w:sz w:val="20"/>
          <w:szCs w:val="20"/>
        </w:rPr>
        <w:t> </w:t>
      </w:r>
      <w:r w:rsidRPr="0037569C">
        <w:rPr>
          <w:rFonts w:ascii="Arial" w:hAnsi="Arial" w:cs="Arial"/>
          <w:sz w:val="20"/>
          <w:szCs w:val="20"/>
        </w:rPr>
        <w:t>1475). Sporadyczne przekroczenia dotyczyły heptachloru i jego epoksydu.</w:t>
      </w:r>
    </w:p>
    <w:p w14:paraId="6AA4A224" w14:textId="522B615C" w:rsidR="007B6A2F" w:rsidRDefault="0037569C" w:rsidP="0037569C">
      <w:pPr>
        <w:spacing w:after="120" w:line="360" w:lineRule="auto"/>
        <w:ind w:firstLine="284"/>
        <w:jc w:val="both"/>
        <w:rPr>
          <w:rFonts w:ascii="Arial" w:hAnsi="Arial" w:cs="Arial"/>
          <w:sz w:val="20"/>
          <w:szCs w:val="20"/>
        </w:rPr>
      </w:pPr>
      <w:r w:rsidRPr="0037569C">
        <w:rPr>
          <w:rFonts w:ascii="Arial" w:hAnsi="Arial" w:cs="Arial"/>
          <w:sz w:val="20"/>
          <w:szCs w:val="20"/>
        </w:rPr>
        <w:t>Podobnie jak w latach poprzednich, oprócz monitoringu w matrycy wodnej, badania pestycydów obejmowały również pomiary ich stężeń w biocie (tkankach ryb). W 2021 r</w:t>
      </w:r>
      <w:r w:rsidR="000D3601">
        <w:rPr>
          <w:rFonts w:ascii="Arial" w:hAnsi="Arial" w:cs="Arial"/>
          <w:sz w:val="20"/>
          <w:szCs w:val="20"/>
        </w:rPr>
        <w:t>.</w:t>
      </w:r>
      <w:r w:rsidRPr="0037569C">
        <w:rPr>
          <w:rFonts w:ascii="Arial" w:hAnsi="Arial" w:cs="Arial"/>
          <w:sz w:val="20"/>
          <w:szCs w:val="20"/>
        </w:rPr>
        <w:t xml:space="preserve"> badania wykonano w 203 punktach pomiarowo-kontrolnych rzecznych i 160 punktach pomiarowo-kontrolnych jeziornych. Oznaczono następujące związki: heksachlorobenzen, dikofol oraz heptachlor i jego epoksyd. W</w:t>
      </w:r>
      <w:r w:rsidR="00E97C86">
        <w:rPr>
          <w:rFonts w:ascii="Arial" w:hAnsi="Arial" w:cs="Arial"/>
          <w:sz w:val="20"/>
          <w:szCs w:val="20"/>
        </w:rPr>
        <w:t> </w:t>
      </w:r>
      <w:r w:rsidRPr="0037569C">
        <w:rPr>
          <w:rFonts w:ascii="Arial" w:hAnsi="Arial" w:cs="Arial"/>
          <w:sz w:val="20"/>
          <w:szCs w:val="20"/>
        </w:rPr>
        <w:t xml:space="preserve">przypadku heksachlorobenzenu i dikofolu nie stwierdzono stężeń przekraczających granicę oznaczalności. W około 50,3 % przypadków dla rzek oraz w około 47,2 % dla jezior, stężenia heptachloru i jego epoksydu przekraczały wartości środowiskowych norm jakości dla dobrego stanu chemicznego jednolitych części wód powierzchniowych wg rozporządzenia Ministra Infrastruktury z dnia </w:t>
      </w:r>
      <w:r w:rsidRPr="0037569C">
        <w:rPr>
          <w:rFonts w:ascii="Arial" w:hAnsi="Arial" w:cs="Arial"/>
          <w:sz w:val="20"/>
          <w:szCs w:val="20"/>
        </w:rPr>
        <w:lastRenderedPageBreak/>
        <w:t>25 czerwca 2021 r. w sprawie klasyfikacji stanu ekologicznego, potencjału ekologicznego i stanu chemicznego oraz sposobu klasyfikacji stanu jednolitych części wód powierzchniowych, a także środowiskowych norm jakości dla substancji priorytetowych.</w:t>
      </w:r>
    </w:p>
    <w:p w14:paraId="7F10C61F" w14:textId="0E04BF86" w:rsidR="005E5533" w:rsidRPr="005E5533" w:rsidRDefault="005E5533" w:rsidP="005E5533">
      <w:pPr>
        <w:spacing w:after="120" w:line="360" w:lineRule="auto"/>
        <w:ind w:firstLine="284"/>
        <w:jc w:val="both"/>
        <w:rPr>
          <w:rFonts w:ascii="Arial" w:hAnsi="Arial" w:cs="Arial"/>
          <w:sz w:val="20"/>
          <w:szCs w:val="20"/>
        </w:rPr>
      </w:pPr>
      <w:r w:rsidRPr="00FB3CA3">
        <w:rPr>
          <w:rFonts w:ascii="Arial" w:hAnsi="Arial" w:cs="Arial"/>
          <w:sz w:val="20"/>
          <w:szCs w:val="20"/>
        </w:rPr>
        <w:t>W ramach</w:t>
      </w:r>
      <w:r w:rsidRPr="00BA611A">
        <w:rPr>
          <w:rFonts w:ascii="Arial" w:hAnsi="Arial" w:cs="Arial"/>
          <w:b/>
          <w:bCs/>
          <w:sz w:val="20"/>
          <w:szCs w:val="20"/>
        </w:rPr>
        <w:t xml:space="preserve"> monitoringu jezior w 2022</w:t>
      </w:r>
      <w:r w:rsidR="00E12E0A">
        <w:rPr>
          <w:rFonts w:ascii="Arial" w:hAnsi="Arial" w:cs="Arial"/>
          <w:b/>
          <w:bCs/>
          <w:sz w:val="20"/>
          <w:szCs w:val="20"/>
        </w:rPr>
        <w:t> </w:t>
      </w:r>
      <w:r w:rsidRPr="00BA611A">
        <w:rPr>
          <w:rFonts w:ascii="Arial" w:hAnsi="Arial" w:cs="Arial"/>
          <w:b/>
          <w:bCs/>
          <w:sz w:val="20"/>
          <w:szCs w:val="20"/>
        </w:rPr>
        <w:t>r.</w:t>
      </w:r>
      <w:r w:rsidRPr="005E5533">
        <w:rPr>
          <w:rFonts w:ascii="Arial" w:hAnsi="Arial" w:cs="Arial"/>
          <w:sz w:val="20"/>
          <w:szCs w:val="20"/>
        </w:rPr>
        <w:t xml:space="preserve"> badania wykonano w 345 jednolitych częściach wód powierzchniowych jeziornych. Spośród badanych pestycydów, w stężeniach powyżej granicy oznaczalności odnotowano następujące substancje: HCH, związki tributylocyny, cypermetrynę, dichlorfos oraz heptachlor i jego epoksyd.</w:t>
      </w:r>
    </w:p>
    <w:p w14:paraId="418D860D" w14:textId="55643E46" w:rsidR="005E5533" w:rsidRPr="005E5533" w:rsidRDefault="005E5533" w:rsidP="005E5533">
      <w:pPr>
        <w:spacing w:after="120" w:line="360" w:lineRule="auto"/>
        <w:ind w:firstLine="284"/>
        <w:jc w:val="both"/>
        <w:rPr>
          <w:rFonts w:ascii="Arial" w:hAnsi="Arial" w:cs="Arial"/>
          <w:sz w:val="20"/>
          <w:szCs w:val="20"/>
        </w:rPr>
      </w:pPr>
      <w:r w:rsidRPr="005E5533">
        <w:rPr>
          <w:rFonts w:ascii="Arial" w:hAnsi="Arial" w:cs="Arial"/>
          <w:sz w:val="20"/>
          <w:szCs w:val="20"/>
        </w:rPr>
        <w:t>W zdecydowanej większości przypadków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Przekroczenia dotyczyły cypermetryny oraz heptachloru i jego epoksydu.</w:t>
      </w:r>
    </w:p>
    <w:p w14:paraId="3DA3B794" w14:textId="38BBF102" w:rsidR="00404782" w:rsidRDefault="005E5533" w:rsidP="005E5533">
      <w:pPr>
        <w:spacing w:after="120" w:line="360" w:lineRule="auto"/>
        <w:ind w:firstLine="284"/>
        <w:jc w:val="both"/>
        <w:rPr>
          <w:rFonts w:ascii="Arial" w:hAnsi="Arial" w:cs="Arial"/>
          <w:sz w:val="20"/>
          <w:szCs w:val="20"/>
        </w:rPr>
      </w:pPr>
      <w:r w:rsidRPr="005E5533">
        <w:rPr>
          <w:rFonts w:ascii="Arial" w:hAnsi="Arial" w:cs="Arial"/>
          <w:sz w:val="20"/>
          <w:szCs w:val="20"/>
        </w:rPr>
        <w:t>Podobnie jak w latach poprzednich, oprócz monitoringu w matrycy wodnej, badania pestycydów obejmowały również pomiary ich stężeń w biocie (tkankach ryb). W 2022 r. badania wykonano w 300 jednolitych częściach wód powierzchniowych rzecznych i 80 jednolitych częściach wód powierzchniowych jeziornych. Oznaczono następujące związki: heksachlorobenzen, dikofol oraz heptachlor i jego epoksyd. W przypadku heksachlorobenzenu i dikofolu nie stwierdzono stężeń przekraczających granicę oznaczalności. Jedynie w jednym przypadku dla rzek stężenia heptachloru i</w:t>
      </w:r>
      <w:r w:rsidR="00857ED9">
        <w:rPr>
          <w:rFonts w:ascii="Arial" w:hAnsi="Arial" w:cs="Arial"/>
          <w:sz w:val="20"/>
          <w:szCs w:val="20"/>
        </w:rPr>
        <w:t> </w:t>
      </w:r>
      <w:r w:rsidRPr="005E5533">
        <w:rPr>
          <w:rFonts w:ascii="Arial" w:hAnsi="Arial" w:cs="Arial"/>
          <w:sz w:val="20"/>
          <w:szCs w:val="20"/>
        </w:rPr>
        <w:t>jego epoksydu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w:t>
      </w:r>
    </w:p>
    <w:p w14:paraId="35EA5D41" w14:textId="77777777" w:rsidR="00056846" w:rsidRPr="00925BCD" w:rsidRDefault="00E54725">
      <w:pPr>
        <w:pStyle w:val="Nagwek3"/>
        <w:numPr>
          <w:ilvl w:val="0"/>
          <w:numId w:val="0"/>
        </w:numPr>
        <w:spacing w:after="120" w:line="360" w:lineRule="auto"/>
        <w:ind w:left="709"/>
        <w:rPr>
          <w:i w:val="0"/>
          <w:sz w:val="20"/>
          <w:szCs w:val="20"/>
        </w:rPr>
      </w:pPr>
      <w:bookmarkStart w:id="37" w:name="_Toc161744876"/>
      <w:r w:rsidRPr="00925BCD">
        <w:rPr>
          <w:i w:val="0"/>
          <w:sz w:val="20"/>
          <w:szCs w:val="20"/>
        </w:rPr>
        <w:t>Podzadanie 2. Wody podziemne</w:t>
      </w:r>
      <w:bookmarkEnd w:id="37"/>
    </w:p>
    <w:p w14:paraId="7B08646C"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krajowego monitoringu jakości wód podziemnych były prowadzone badania zawartości związków organicznych, w tym pestycydów. </w:t>
      </w:r>
    </w:p>
    <w:p w14:paraId="0C016CF6" w14:textId="744A54B9"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384394">
        <w:rPr>
          <w:rFonts w:ascii="Arial" w:hAnsi="Arial" w:cs="Arial"/>
        </w:rPr>
        <w:t xml:space="preserve">latach </w:t>
      </w:r>
      <w:r w:rsidRPr="00925BCD">
        <w:rPr>
          <w:rFonts w:ascii="Arial" w:hAnsi="Arial" w:cs="Arial"/>
        </w:rPr>
        <w:t>2018</w:t>
      </w:r>
      <w:r w:rsidR="00384394">
        <w:rPr>
          <w:rFonts w:ascii="Arial" w:hAnsi="Arial" w:cs="Arial"/>
        </w:rPr>
        <w:t>–2020</w:t>
      </w:r>
      <w:r w:rsidR="00CB73E8">
        <w:rPr>
          <w:rFonts w:ascii="Arial" w:hAnsi="Arial" w:cs="Arial"/>
        </w:rPr>
        <w:t>,</w:t>
      </w:r>
      <w:r w:rsidR="00384394">
        <w:rPr>
          <w:rFonts w:ascii="Arial" w:hAnsi="Arial" w:cs="Arial"/>
        </w:rPr>
        <w:t xml:space="preserve"> kolejno </w:t>
      </w:r>
      <w:r w:rsidRPr="00925BCD">
        <w:rPr>
          <w:rFonts w:ascii="Arial" w:hAnsi="Arial" w:cs="Arial"/>
        </w:rPr>
        <w:t>w 154</w:t>
      </w:r>
      <w:r w:rsidR="00384394">
        <w:rPr>
          <w:rFonts w:ascii="Arial" w:hAnsi="Arial" w:cs="Arial"/>
        </w:rPr>
        <w:t>, 153 i 99</w:t>
      </w:r>
      <w:r w:rsidRPr="00925BCD">
        <w:rPr>
          <w:rFonts w:ascii="Arial" w:hAnsi="Arial" w:cs="Arial"/>
        </w:rPr>
        <w:t xml:space="preserve"> punktach pomiarowych zostały przeprowadzone </w:t>
      </w:r>
      <w:bookmarkStart w:id="38" w:name="_Hlk119483124"/>
      <w:r w:rsidRPr="00925BCD">
        <w:rPr>
          <w:rFonts w:ascii="Arial" w:hAnsi="Arial" w:cs="Arial"/>
        </w:rPr>
        <w:t>badania zawartości związków organicznych, w tym pestycydów</w:t>
      </w:r>
      <w:bookmarkEnd w:id="38"/>
      <w:r w:rsidRPr="00925BCD">
        <w:rPr>
          <w:rFonts w:ascii="Arial" w:hAnsi="Arial" w:cs="Arial"/>
        </w:rPr>
        <w:t>. W ramach prac analitycznych wykonano odpowiednio 5</w:t>
      </w:r>
      <w:r w:rsidR="00384394">
        <w:rPr>
          <w:rFonts w:ascii="Arial" w:hAnsi="Arial" w:cs="Arial"/>
        </w:rPr>
        <w:t> </w:t>
      </w:r>
      <w:r w:rsidRPr="00925BCD">
        <w:rPr>
          <w:rFonts w:ascii="Arial" w:hAnsi="Arial" w:cs="Arial"/>
        </w:rPr>
        <w:t>288</w:t>
      </w:r>
      <w:r w:rsidR="00384394">
        <w:rPr>
          <w:rFonts w:ascii="Arial" w:hAnsi="Arial" w:cs="Arial"/>
        </w:rPr>
        <w:t>,</w:t>
      </w:r>
      <w:r w:rsidRPr="00925BCD">
        <w:rPr>
          <w:rFonts w:ascii="Arial" w:hAnsi="Arial" w:cs="Arial"/>
        </w:rPr>
        <w:t xml:space="preserve"> 5 202 </w:t>
      </w:r>
      <w:r w:rsidR="00384394">
        <w:rPr>
          <w:rFonts w:ascii="Arial" w:hAnsi="Arial" w:cs="Arial"/>
        </w:rPr>
        <w:t xml:space="preserve">i 3 366 </w:t>
      </w:r>
      <w:r w:rsidRPr="00925BCD">
        <w:rPr>
          <w:rFonts w:ascii="Arial" w:hAnsi="Arial" w:cs="Arial"/>
        </w:rPr>
        <w:t>oznacze</w:t>
      </w:r>
      <w:r w:rsidR="00384394">
        <w:rPr>
          <w:rFonts w:ascii="Arial" w:hAnsi="Arial" w:cs="Arial"/>
        </w:rPr>
        <w:t>ń</w:t>
      </w:r>
      <w:r w:rsidRPr="00925BCD">
        <w:rPr>
          <w:rFonts w:ascii="Arial" w:hAnsi="Arial" w:cs="Arial"/>
        </w:rPr>
        <w:t xml:space="preserve"> następujących związków z grupy pestycydów:</w:t>
      </w:r>
    </w:p>
    <w:p w14:paraId="2DBDD83C"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pestycydy chloroorganiczne: a-chlordan, a-HCH, b-HCH, g-HCH, d-HCH, aldehyd endryny, aldryna, dieldryna, endosulfan I, endosulfan II, endryna, epoksyd heptachloru, g-chlordan, heptachlor, keton endryny, metoksychlor, siarczan endosulfanu, p,p'-DDD, p,p'-DDE, p,p'-DDT;</w:t>
      </w:r>
    </w:p>
    <w:p w14:paraId="671D387B"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lang w:val="en-GB"/>
        </w:rPr>
      </w:pPr>
      <w:r w:rsidRPr="00925BCD">
        <w:rPr>
          <w:rFonts w:ascii="Arial" w:hAnsi="Arial" w:cs="Arial"/>
          <w:lang w:val="en-GB"/>
        </w:rPr>
        <w:t>pestycydy fosforoorganiczne: chlorfenwinfos, diazynon, dichlorfos, fenitrotion, fention, malation, mewinfos, paration etylowy, paration metylowy, tiometon;</w:t>
      </w:r>
    </w:p>
    <w:p w14:paraId="670CB9D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pestycydy triazynowe: symazyna, atrazyna, propazyna, prometryna i terbutryna.</w:t>
      </w:r>
    </w:p>
    <w:p w14:paraId="6E429AA3" w14:textId="0D95B742"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lastRenderedPageBreak/>
        <w:t xml:space="preserve">Wyniki badań przeprowadzonych w </w:t>
      </w:r>
      <w:r w:rsidR="00546A1C" w:rsidRPr="00925BCD">
        <w:rPr>
          <w:rFonts w:ascii="Arial" w:hAnsi="Arial" w:cs="Arial"/>
          <w:b/>
          <w:bCs/>
        </w:rPr>
        <w:t>2018</w:t>
      </w:r>
      <w:r w:rsidR="00546A1C">
        <w:rPr>
          <w:rFonts w:ascii="Arial" w:hAnsi="Arial" w:cs="Arial"/>
          <w:b/>
          <w:bCs/>
        </w:rPr>
        <w:t> </w:t>
      </w:r>
      <w:r w:rsidRPr="00925BCD">
        <w:rPr>
          <w:rFonts w:ascii="Arial" w:hAnsi="Arial" w:cs="Arial"/>
          <w:b/>
          <w:bCs/>
        </w:rPr>
        <w:t>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Środowiska z dnia 21 grudnia 2015 r. w sprawie kryteriów i sposobu oceny stanu jednolitych części wód podziemnych). W 136 punktach pomiarowych (spośród 154 punktów objętych badaniami) zawartość pestycydów była poniżej granicy oznaczalności, w 11 punktach odnotowano wartości równe granicy oznaczalności, a w 7 punktach wartości powyżej granicy oznaczalności, ale osiągające maksymalnie wartość 0,012 µg/l.</w:t>
      </w:r>
    </w:p>
    <w:p w14:paraId="0C335322"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Związki z grupy pestycydów, dla których odnotowano wartości równe lub powyżej granicy oznaczalności to: p,p'-DDE,  p,p'-DDD, aldehyd endryny, symazyna i atrazyna.</w:t>
      </w:r>
    </w:p>
    <w:p w14:paraId="2808F2D4"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przeprowadzonych w 2019 r.</w:t>
      </w:r>
      <w:r w:rsidRPr="00925BCD">
        <w:rPr>
          <w:rFonts w:ascii="Arial" w:hAnsi="Arial" w:cs="Arial"/>
        </w:rPr>
        <w:t xml:space="preserve"> podobnie jak w 2018 r. wykazały, że w odniesieniu do poszczególnych pestycydów i sumy pestycydów w żadnym punkcie pomiarowym nie zostały przekroczone wartości progowe dobrego stanu chemicznego wód podziemnych (wg Rozporządzenia Ministra Gospodarki Morskiej i Żeglugi Śródlądowej z dnia 11 października 2019 r. w sprawie kryteriów i sposobu oceny stanu jednolitych części wód podziemnych). W 125 punktach pomiarowych (spośród 153 punktów objętych badaniami) zawartość pestycydów była poniżej granicy oznaczalności (LOQ), w</w:t>
      </w:r>
      <w:r w:rsidR="009C7B7A" w:rsidRPr="00925BCD">
        <w:rPr>
          <w:rFonts w:ascii="Arial" w:hAnsi="Arial" w:cs="Arial"/>
        </w:rPr>
        <w:t> </w:t>
      </w:r>
      <w:r w:rsidRPr="00925BCD">
        <w:rPr>
          <w:rFonts w:ascii="Arial" w:hAnsi="Arial" w:cs="Arial"/>
        </w:rPr>
        <w:t>21 punktach odnotowano wartości równe LOQ, a w 7 punktach wartości powyżej LOQ, ale osiągające maksymalnie wartość 0,1 µg/l (0,0001 mg/l).</w:t>
      </w:r>
    </w:p>
    <w:p w14:paraId="7A5880AF"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Związki z grupy pestycydów, dla których odnotowano wartości równe lub powyżej LOQ to: d-HCH, endosulfan I, dieldryna,p,p'-DDE,p,p'-DDD, ketonendryny, symazyna i atrazyna.</w:t>
      </w:r>
    </w:p>
    <w:p w14:paraId="439CCA84" w14:textId="0667F4B5" w:rsidR="00384394" w:rsidRPr="00925BCD" w:rsidRDefault="00384394" w:rsidP="0038439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w:t>
      </w:r>
      <w:r>
        <w:rPr>
          <w:rFonts w:ascii="Arial" w:hAnsi="Arial" w:cs="Arial"/>
          <w:b/>
          <w:bCs/>
        </w:rPr>
        <w:t xml:space="preserve">ki badań przeprowadzonych w </w:t>
      </w:r>
      <w:r w:rsidR="00546A1C">
        <w:rPr>
          <w:rFonts w:ascii="Arial" w:hAnsi="Arial" w:cs="Arial"/>
          <w:b/>
          <w:bCs/>
        </w:rPr>
        <w:t>2020 </w:t>
      </w:r>
      <w:r w:rsidRPr="00925BCD">
        <w:rPr>
          <w:rFonts w:ascii="Arial" w:hAnsi="Arial" w:cs="Arial"/>
          <w:b/>
          <w:bCs/>
        </w:rPr>
        <w:t>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w:t>
      </w:r>
      <w:r w:rsidRPr="006D6C68">
        <w:rPr>
          <w:rFonts w:ascii="Arial" w:hAnsi="Arial" w:cs="Arial"/>
        </w:rPr>
        <w:t>Gospodarki Morskiej i Żeglugi Śródlądowej z dnia 11 października 2019 r. w sprawie kryteriów i sposobu oceny stanu jednolitych części wód podziemnych</w:t>
      </w:r>
      <w:r w:rsidRPr="00925BCD">
        <w:rPr>
          <w:rFonts w:ascii="Arial" w:hAnsi="Arial" w:cs="Arial"/>
        </w:rPr>
        <w:t xml:space="preserve">). W </w:t>
      </w:r>
      <w:r>
        <w:rPr>
          <w:rFonts w:ascii="Arial" w:hAnsi="Arial" w:cs="Arial"/>
        </w:rPr>
        <w:t>77</w:t>
      </w:r>
      <w:r w:rsidRPr="00925BCD">
        <w:rPr>
          <w:rFonts w:ascii="Arial" w:hAnsi="Arial" w:cs="Arial"/>
        </w:rPr>
        <w:t xml:space="preserve"> punktach pomiarowych (spośród </w:t>
      </w:r>
      <w:r>
        <w:rPr>
          <w:rFonts w:ascii="Arial" w:hAnsi="Arial" w:cs="Arial"/>
        </w:rPr>
        <w:t>99</w:t>
      </w:r>
      <w:r w:rsidRPr="00925BCD">
        <w:rPr>
          <w:rFonts w:ascii="Arial" w:hAnsi="Arial" w:cs="Arial"/>
        </w:rPr>
        <w:t xml:space="preserve"> punktów objętych badaniami) zawartość pestycydów była poniżej granicy oznaczalności, w </w:t>
      </w:r>
      <w:r>
        <w:rPr>
          <w:rFonts w:ascii="Arial" w:hAnsi="Arial" w:cs="Arial"/>
        </w:rPr>
        <w:t>19</w:t>
      </w:r>
      <w:r w:rsidRPr="00925BCD">
        <w:rPr>
          <w:rFonts w:ascii="Arial" w:hAnsi="Arial" w:cs="Arial"/>
        </w:rPr>
        <w:t xml:space="preserve"> punktach odnotowano wartości równe granicy oznaczalności, a w </w:t>
      </w:r>
      <w:r>
        <w:rPr>
          <w:rFonts w:ascii="Arial" w:hAnsi="Arial" w:cs="Arial"/>
        </w:rPr>
        <w:t>3</w:t>
      </w:r>
      <w:r w:rsidRPr="00925BCD">
        <w:rPr>
          <w:rFonts w:ascii="Arial" w:hAnsi="Arial" w:cs="Arial"/>
        </w:rPr>
        <w:t xml:space="preserve"> punktach wartości powyżej granicy oznaczalności, ale</w:t>
      </w:r>
      <w:r w:rsidR="001E5D83">
        <w:rPr>
          <w:rFonts w:ascii="Arial" w:hAnsi="Arial" w:cs="Arial"/>
        </w:rPr>
        <w:t> </w:t>
      </w:r>
      <w:r w:rsidRPr="00925BCD">
        <w:rPr>
          <w:rFonts w:ascii="Arial" w:hAnsi="Arial" w:cs="Arial"/>
        </w:rPr>
        <w:t>osią</w:t>
      </w:r>
      <w:r>
        <w:rPr>
          <w:rFonts w:ascii="Arial" w:hAnsi="Arial" w:cs="Arial"/>
        </w:rPr>
        <w:t>gające maksymalnie wartość 0,08</w:t>
      </w:r>
      <w:r w:rsidRPr="00925BCD">
        <w:rPr>
          <w:rFonts w:ascii="Arial" w:hAnsi="Arial" w:cs="Arial"/>
        </w:rPr>
        <w:t xml:space="preserve"> µg/l.</w:t>
      </w:r>
    </w:p>
    <w:p w14:paraId="59B7C123" w14:textId="3C55CF08" w:rsidR="00443E8A" w:rsidRDefault="00384394"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w:t>
      </w:r>
      <w:r w:rsidRPr="008E0537">
        <w:rPr>
          <w:rFonts w:ascii="Arial" w:hAnsi="Arial" w:cs="Arial"/>
        </w:rPr>
        <w:t>grupy pestycydów, dla których odnotowano wartości równe lub powyżej granicy oznaczalności to: p,p'-DDE,  p,p'-DDD, dieldryna, keton endryny, symazyna i atrazyna.</w:t>
      </w:r>
    </w:p>
    <w:p w14:paraId="61309F83" w14:textId="7E20BEE7" w:rsidR="00C14BE8" w:rsidRPr="00E45F3E"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F841F4">
        <w:rPr>
          <w:rFonts w:ascii="Arial" w:hAnsi="Arial" w:cs="Arial"/>
        </w:rPr>
        <w:t>W 2021 r.</w:t>
      </w:r>
      <w:r w:rsidR="00F852FB" w:rsidRPr="00F841F4">
        <w:rPr>
          <w:rFonts w:ascii="Arial" w:hAnsi="Arial" w:cs="Arial"/>
        </w:rPr>
        <w:t xml:space="preserve"> </w:t>
      </w:r>
      <w:r w:rsidR="00F852FB" w:rsidRPr="00C126AE">
        <w:rPr>
          <w:rFonts w:ascii="Arial" w:hAnsi="Arial" w:cs="Arial"/>
        </w:rPr>
        <w:t>kontynuowano badania</w:t>
      </w:r>
      <w:r w:rsidR="008026BD" w:rsidRPr="008026BD">
        <w:rPr>
          <w:rFonts w:ascii="Arial" w:hAnsi="Arial" w:cs="Arial"/>
        </w:rPr>
        <w:t xml:space="preserve"> </w:t>
      </w:r>
      <w:r w:rsidR="008026BD" w:rsidRPr="00925BCD">
        <w:rPr>
          <w:rFonts w:ascii="Arial" w:hAnsi="Arial" w:cs="Arial"/>
        </w:rPr>
        <w:t>zawartości związków organicznych, w tym pestycydów</w:t>
      </w:r>
      <w:r w:rsidR="003F5C1D">
        <w:rPr>
          <w:rFonts w:ascii="Arial" w:hAnsi="Arial" w:cs="Arial"/>
        </w:rPr>
        <w:t xml:space="preserve">. </w:t>
      </w:r>
      <w:r w:rsidR="003F5C1D" w:rsidRPr="00F841F4">
        <w:rPr>
          <w:rFonts w:ascii="Arial" w:hAnsi="Arial" w:cs="Arial"/>
          <w:b/>
        </w:rPr>
        <w:t>W 2021 r.</w:t>
      </w:r>
      <w:r w:rsidR="003F5C1D">
        <w:rPr>
          <w:rFonts w:ascii="Arial" w:hAnsi="Arial" w:cs="Arial"/>
        </w:rPr>
        <w:t xml:space="preserve"> </w:t>
      </w:r>
      <w:r w:rsidR="003F5C1D" w:rsidRPr="00E45F3E">
        <w:rPr>
          <w:rFonts w:ascii="Arial" w:hAnsi="Arial" w:cs="Arial"/>
        </w:rPr>
        <w:t>badania zawartości związków organicznych</w:t>
      </w:r>
      <w:r w:rsidR="003F5C1D">
        <w:rPr>
          <w:rFonts w:ascii="Arial" w:hAnsi="Arial" w:cs="Arial"/>
        </w:rPr>
        <w:t xml:space="preserve"> </w:t>
      </w:r>
      <w:r w:rsidR="003F5C1D" w:rsidRPr="00E45F3E">
        <w:rPr>
          <w:rFonts w:ascii="Arial" w:hAnsi="Arial" w:cs="Arial"/>
        </w:rPr>
        <w:t>zostały przeprowadzone</w:t>
      </w:r>
      <w:r w:rsidR="003F5C1D">
        <w:rPr>
          <w:rFonts w:ascii="Arial" w:hAnsi="Arial" w:cs="Arial"/>
        </w:rPr>
        <w:t xml:space="preserve"> w</w:t>
      </w:r>
      <w:r w:rsidRPr="00E45F3E">
        <w:rPr>
          <w:rFonts w:ascii="Arial" w:hAnsi="Arial" w:cs="Arial"/>
        </w:rPr>
        <w:t xml:space="preserve"> 101 punktach pomiarowych, w</w:t>
      </w:r>
      <w:r w:rsidR="001E5D83">
        <w:rPr>
          <w:rFonts w:ascii="Arial" w:hAnsi="Arial" w:cs="Arial"/>
        </w:rPr>
        <w:t> </w:t>
      </w:r>
      <w:r w:rsidRPr="00E45F3E">
        <w:rPr>
          <w:rFonts w:ascii="Arial" w:hAnsi="Arial" w:cs="Arial"/>
        </w:rPr>
        <w:t>tym 263 pestycy</w:t>
      </w:r>
      <w:r w:rsidR="00C6716C">
        <w:rPr>
          <w:rFonts w:ascii="Arial" w:hAnsi="Arial" w:cs="Arial"/>
        </w:rPr>
        <w:t>d</w:t>
      </w:r>
      <w:r w:rsidR="000907AA">
        <w:rPr>
          <w:rFonts w:ascii="Arial" w:hAnsi="Arial" w:cs="Arial"/>
        </w:rPr>
        <w:t>y</w:t>
      </w:r>
      <w:r w:rsidRPr="00E45F3E">
        <w:rPr>
          <w:rFonts w:ascii="Arial" w:hAnsi="Arial" w:cs="Arial"/>
        </w:rPr>
        <w:t>. W ramach prac analitycznych wykonano oznaczenia następujących związków z</w:t>
      </w:r>
      <w:r w:rsidR="001E5D83">
        <w:rPr>
          <w:rFonts w:ascii="Arial" w:hAnsi="Arial" w:cs="Arial"/>
        </w:rPr>
        <w:t> </w:t>
      </w:r>
      <w:r w:rsidRPr="00E45F3E">
        <w:rPr>
          <w:rFonts w:ascii="Arial" w:hAnsi="Arial" w:cs="Arial"/>
        </w:rPr>
        <w:t>grupy pestycydów:</w:t>
      </w:r>
    </w:p>
    <w:p w14:paraId="2164440D" w14:textId="4D8B4D96"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pochodne triazyny: atrazyna, cyjanazyna, prometryna, symazyna, terbutylazyna, terbutryna;</w:t>
      </w:r>
    </w:p>
    <w:p w14:paraId="1E9369F0" w14:textId="648DF14E"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pestycdydy chloroorganiczne: aldryna, DDD-p.p, DDE-p.p, DDT-o.p, DDT-p.p, dieldryna, endosulfan I, endosulfan II, alfa -HCH, beta- HCH, delta - HCH, heptachlor, epoksyd heptachloru, heksachlorobenzen, lindan (gamma-HCH), metoksychlor;</w:t>
      </w:r>
    </w:p>
    <w:p w14:paraId="1853CD0B" w14:textId="08149DB4"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lastRenderedPageBreak/>
        <w:t>pyretroidy: bifentryna, cypermetryna, deltametryna, fenpropatryna, esfenwalerat, fenwalerat, permetryna, tetrametryna;</w:t>
      </w:r>
    </w:p>
    <w:p w14:paraId="61EDE2F4" w14:textId="31BCB7A0" w:rsidR="00C14BE8" w:rsidRPr="00E45F3E" w:rsidRDefault="00C14BE8" w:rsidP="00961BE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tiokarbaminiany: cykloat, prosulfokarb, tri-allat;</w:t>
      </w:r>
    </w:p>
    <w:p w14:paraId="7E28A12C" w14:textId="0CF51B23"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pestycydy fosforoorganiczne: acefat, azynofos metylowy, bromofos etylowy, chlorfenwinfos, chloropiryfos, chloropiryfos metylowy, diazynon, dichlorfos, dikrotofos, dimetoat, EPN, etion, fenamifos, fenitrotion, fention, glifosat, malation, metamidofos, mewinfos, monokrotofos, paration, paration metylowy, fosalon, fosmet, pirymifos metylowy, profenofos, protiofos, tetrachlorwinfos, trichlorfon;</w:t>
      </w:r>
    </w:p>
    <w:p w14:paraId="77BC22D2" w14:textId="609B89D5"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karbaminiany: aldikarb, bendiokarb, karbaryl, karbofuran, chloroprofam, fenoksykarb, formetanat, furatiokarb, izoprokarb, metiokarb, metomyl i triodikarb, oksamyl, pirymikarb, propoksur;</w:t>
      </w:r>
    </w:p>
    <w:p w14:paraId="0790CCA7" w14:textId="0958244A"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pirazole: fluksapiroksad, pentiopyrad;</w:t>
      </w:r>
    </w:p>
    <w:p w14:paraId="5907C79B" w14:textId="3F9FFFCD"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pochodne kwasu fenoksyoctowego: 2,4-D, MCPA;</w:t>
      </w:r>
    </w:p>
    <w:p w14:paraId="1A817434" w14:textId="45FC956D" w:rsidR="00C14BE8" w:rsidRPr="00E45F3E" w:rsidRDefault="00C14BE8" w:rsidP="00C14BE8">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 xml:space="preserve">pozostałe pestycydy: 2,4-DB, abamektyna, acetamipryd, acetochlor, acibenzolar-S-metylowy, aklonifen, alachlor, alfa-cypermetryna, aminopyralid, amitraza, azakonazol, azoksystrobina, benalaksyl, benomyl, bentazon, bifenazat, bifenoks, bitertanol, boskalid, bromacyl, bromukonazol, bupirymat, buprofezyna, karbendazym, karboksyna, karfentrazon etylowy, chlorantraniliprol, chlorydazon, chlorotoluron, chlorosulfuron, kletodym, chlofentezyna, chlomazon, chlopyralid, klotianidyna, cyjazofamid, cymoksanil, cyprokonazol, cyprodynil, cyromazyna, DEET, desmedifam, dikamba, dichlofluanid, dichlorprop-P, dietofenkarb, difenokonazol, diflubenzuron, diflufenikan, dimetachlor, dimetamid, dimetomorf, dimoksystrobina, dinikonazol, diuron, dodyna, epoksykonazol, etyrymol, etfumesat, etoksazol, famoksadon, fenamidon, fenarymol, fenazachin, fenbukonazol, fenheksamid, fenpropidyna, fenpropimorf, fenpirazamina, fenpiroksymat, fipronil, flonikamid (IKI-220), fluazyfop-P, fluazynam, flubendiamina, fludioksonil, flufenacet, flufenoksuron, fluometuron, fluopikolid, fluopyram, fluoksastrobina, fluchinkonazol, fluroksypyr, flusilazol, flutolanil, flutriafol, forchlorofenuron, fuberidazol, furalaksyl, glufosynat amonowy, haloksyfop-p, heksakonazol, heksaflumuron, heksytiazoks, imazalil, imazamoks, imidaklopryd, indoksakarb, ipkonazol, iprodion, iprowalikarb, izokarbofos, izofenfos metylowy, izoproturon, izoksaben, izoksaflutol, krezoksym metylowy, lenacyl, linuron, lufenuron, mandipropamid, MCPB, mekoprop, mepanipirym, mezotrion, metaflumizon, metalaksyl, metamitron, metazachlor, metkonazol, metoksyfenozyd, metobromuron, metolachlor, metrybuzyna, mychlobutanil, napropamid, nikosulfuron, nitenpyram, nowaluron, oksadiksyl, oksyfluorofen, paklobutrazol, penkonazol, pencykuron, pendimetalina, pentachlorobenzen, petoksamid, fenmedifam, pikloram, pikoksystrobina, prochloraz, procymidon, propachlor, propamokarb, propargit, propikonazol, propyzamid, protiokonazol, pimetrozyna, piraklostrobina, pyrazofos, pirydaben, pirymetanil, pyriproksyfen, chinomerak, chinoksyfen, S-Metolachlor, spinosad, spirodiklofen, spiromesifen, spirotetramat, spiroksamina, tebukonazol, tebufenozyd, tebufenpirad, teflubenzuron, </w:t>
      </w:r>
      <w:r w:rsidRPr="00E45F3E">
        <w:rPr>
          <w:rFonts w:ascii="Arial" w:hAnsi="Arial" w:cs="Arial"/>
        </w:rPr>
        <w:lastRenderedPageBreak/>
        <w:t>tetrakonazol, tiabendazol, tiachlopryd, tiametoksam, tiofanat metylowy, tiuram, tolchlofos metylowy, tolilofluanid, triadimefon, triadimenol, trifloksystrobina, triflumizol, triflumuron, trifluralina, tritikonazol, zoksamid.</w:t>
      </w:r>
    </w:p>
    <w:p w14:paraId="7353C222" w14:textId="06F8F972" w:rsidR="00C14BE8" w:rsidRPr="00813E3C"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813E3C">
        <w:rPr>
          <w:rFonts w:ascii="Arial" w:hAnsi="Arial" w:cs="Arial"/>
          <w:b/>
          <w:bCs/>
        </w:rPr>
        <w:t>Wyniki badań przeprowadzonych w 2021 r.</w:t>
      </w:r>
      <w:r w:rsidRPr="00813E3C">
        <w:rPr>
          <w:rFonts w:ascii="Arial" w:hAnsi="Arial" w:cs="Arial"/>
        </w:rPr>
        <w:t xml:space="preserve"> wykazały, że w 45 punktach pomiarowych (spośród 101 punktów objętych badaniami) zawartość pestycydów była poniżej granicy oznaczalności, w</w:t>
      </w:r>
      <w:r w:rsidR="002C7FDF">
        <w:rPr>
          <w:rFonts w:ascii="Arial" w:hAnsi="Arial" w:cs="Arial"/>
        </w:rPr>
        <w:t> </w:t>
      </w:r>
      <w:r w:rsidRPr="00813E3C">
        <w:rPr>
          <w:rFonts w:ascii="Arial" w:hAnsi="Arial" w:cs="Arial"/>
        </w:rPr>
        <w:t>2</w:t>
      </w:r>
      <w:r w:rsidR="002C7FDF">
        <w:rPr>
          <w:rFonts w:ascii="Arial" w:hAnsi="Arial" w:cs="Arial"/>
        </w:rPr>
        <w:t> </w:t>
      </w:r>
      <w:r w:rsidRPr="00813E3C">
        <w:rPr>
          <w:rFonts w:ascii="Arial" w:hAnsi="Arial" w:cs="Arial"/>
        </w:rPr>
        <w:t>punktach odnotowano wartości równe granicy oznaczalności, a w 54 punktach wartości powyżej granicy oznaczalności. Związki z grupy pestycydów, dla których odnotowano wartości równe lub powyżej granicy oznaczalności to: beta-HCH, delta-HCH, atrazyna, bentazon, chlomazon, chlopyralid, DDE-p,p, DDT-p,p, DEET, diuron, fluopyram, epoksyd heptachloru, izoproturon, klotianidyna, lenacyl, metazachlor, oksadiksyl, pentachlorobenzen, pikloram, tiametoksam, trifluralina.</w:t>
      </w:r>
    </w:p>
    <w:p w14:paraId="6F4B8AFC" w14:textId="29C8C37B" w:rsidR="00C14BE8" w:rsidRPr="00813E3C"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813E3C">
        <w:rPr>
          <w:rFonts w:ascii="Arial" w:hAnsi="Arial" w:cs="Arial"/>
        </w:rPr>
        <w:t>W 10 punktach pomiarowych zostały przekroczone wartości progowe dobrego stanu chemicznego wód podziemnych w odniesieniu do poszczególnych pestycydów i sumy pestycydów (wg</w:t>
      </w:r>
      <w:r w:rsidR="002C7FDF">
        <w:rPr>
          <w:rFonts w:ascii="Arial" w:hAnsi="Arial" w:cs="Arial"/>
        </w:rPr>
        <w:t> </w:t>
      </w:r>
      <w:r w:rsidRPr="00813E3C">
        <w:rPr>
          <w:rFonts w:ascii="Arial" w:hAnsi="Arial" w:cs="Arial"/>
        </w:rPr>
        <w:t>rozporządzenia Ministra Gospodarki Morskiej i  Żeglugi Śródlądowej z dnia 11 października 2019</w:t>
      </w:r>
      <w:r w:rsidR="0062791F">
        <w:rPr>
          <w:rFonts w:ascii="Arial" w:hAnsi="Arial" w:cs="Arial"/>
        </w:rPr>
        <w:t> </w:t>
      </w:r>
      <w:r w:rsidRPr="00813E3C">
        <w:rPr>
          <w:rFonts w:ascii="Arial" w:hAnsi="Arial" w:cs="Arial"/>
        </w:rPr>
        <w:t>r. w sprawie kryteriów i sposobu oceny stanu jednolitych części wód podziemnych):</w:t>
      </w:r>
    </w:p>
    <w:p w14:paraId="401FD078" w14:textId="67373429"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 8 punktach wartości stężeń pojedynczych pestycydów (DEET</w:t>
      </w:r>
      <w:r w:rsidR="006763DD">
        <w:rPr>
          <w:rStyle w:val="Odwoanieprzypisudolnego"/>
          <w:rFonts w:ascii="Arial" w:hAnsi="Arial" w:cs="Arial"/>
        </w:rPr>
        <w:footnoteReference w:id="1"/>
      </w:r>
      <w:r w:rsidRPr="00E45F3E">
        <w:rPr>
          <w:rFonts w:ascii="Arial" w:hAnsi="Arial" w:cs="Arial"/>
        </w:rPr>
        <w:t>, bentazon, chlopyralid, tiametoksam), osiągnęły wartości w zakresie IV klasy jakości;</w:t>
      </w:r>
    </w:p>
    <w:p w14:paraId="1F8D6D3A" w14:textId="2437B5E3"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 1 punkcie zarówno wartość stężenia DEET jak i suma pestycydów osiągnęły wartości w</w:t>
      </w:r>
      <w:r w:rsidR="002C7FDF">
        <w:rPr>
          <w:rFonts w:ascii="Arial" w:hAnsi="Arial" w:cs="Arial"/>
        </w:rPr>
        <w:t> </w:t>
      </w:r>
      <w:r w:rsidRPr="00E45F3E">
        <w:rPr>
          <w:rFonts w:ascii="Arial" w:hAnsi="Arial" w:cs="Arial"/>
        </w:rPr>
        <w:t>zakresie IV klasy jakości;</w:t>
      </w:r>
    </w:p>
    <w:p w14:paraId="0FA4178D" w14:textId="064140C3" w:rsidR="00C14BE8" w:rsidRPr="00E45F3E" w:rsidRDefault="00C14BE8" w:rsidP="00DC441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E45F3E">
        <w:rPr>
          <w:rFonts w:ascii="Arial" w:hAnsi="Arial" w:cs="Arial"/>
        </w:rPr>
        <w:t>w 1 punkcie zarówno wartość stężenia bentazonu jak i suma pestycydów osiągnęły wartości w</w:t>
      </w:r>
      <w:r w:rsidR="002C7FDF">
        <w:rPr>
          <w:rFonts w:ascii="Arial" w:hAnsi="Arial" w:cs="Arial"/>
        </w:rPr>
        <w:t> </w:t>
      </w:r>
      <w:r w:rsidRPr="00E45F3E">
        <w:rPr>
          <w:rFonts w:ascii="Arial" w:hAnsi="Arial" w:cs="Arial"/>
        </w:rPr>
        <w:t xml:space="preserve">zakresie V klasy jakości. </w:t>
      </w:r>
    </w:p>
    <w:p w14:paraId="252828A8" w14:textId="77777777" w:rsidR="00C14BE8" w:rsidRPr="0067676B" w:rsidRDefault="00C14BE8" w:rsidP="00C14BE8">
      <w:pPr>
        <w:pStyle w:val="NormalnyWeb"/>
        <w:tabs>
          <w:tab w:val="left" w:pos="284"/>
        </w:tabs>
        <w:spacing w:beforeAutospacing="0" w:after="120" w:afterAutospacing="0" w:line="360" w:lineRule="auto"/>
        <w:ind w:firstLine="284"/>
        <w:jc w:val="both"/>
        <w:rPr>
          <w:rFonts w:ascii="Arial" w:hAnsi="Arial" w:cs="Arial"/>
        </w:rPr>
      </w:pPr>
      <w:r w:rsidRPr="00E45F3E">
        <w:rPr>
          <w:rFonts w:ascii="Arial" w:hAnsi="Arial" w:cs="Arial"/>
        </w:rPr>
        <w:t>Maksymalna oznaczona wartość stężenia wyniosła 15,1 µg/l i dotyczyła wyżej wspomnianego bentazonu</w:t>
      </w:r>
      <w:r w:rsidRPr="0067676B">
        <w:rPr>
          <w:rFonts w:ascii="Arial" w:hAnsi="Arial" w:cs="Arial"/>
        </w:rPr>
        <w:t>.</w:t>
      </w:r>
    </w:p>
    <w:p w14:paraId="4298C1FA" w14:textId="1E079702" w:rsidR="00463B39" w:rsidRPr="000478CF" w:rsidRDefault="00601A12" w:rsidP="00463B39">
      <w:pPr>
        <w:pStyle w:val="NormalnyWeb"/>
        <w:tabs>
          <w:tab w:val="left" w:pos="284"/>
        </w:tabs>
        <w:spacing w:beforeAutospacing="0" w:after="120" w:afterAutospacing="0" w:line="360" w:lineRule="auto"/>
        <w:ind w:firstLine="284"/>
        <w:jc w:val="both"/>
        <w:rPr>
          <w:rFonts w:ascii="Arial" w:hAnsi="Arial" w:cs="Arial"/>
        </w:rPr>
      </w:pPr>
      <w:r w:rsidRPr="000478CF">
        <w:rPr>
          <w:rFonts w:ascii="Arial" w:hAnsi="Arial" w:cs="Arial"/>
          <w:b/>
          <w:bCs/>
        </w:rPr>
        <w:t>Rok 2022</w:t>
      </w:r>
      <w:r w:rsidRPr="000478CF">
        <w:rPr>
          <w:rFonts w:ascii="Arial" w:hAnsi="Arial" w:cs="Arial"/>
        </w:rPr>
        <w:t xml:space="preserve"> </w:t>
      </w:r>
      <w:r w:rsidR="00C72A40" w:rsidRPr="000478CF">
        <w:rPr>
          <w:rFonts w:ascii="Arial" w:hAnsi="Arial" w:cs="Arial"/>
        </w:rPr>
        <w:t>to kolejny rok prowadzeni</w:t>
      </w:r>
      <w:r w:rsidR="000478CF" w:rsidRPr="000478CF">
        <w:rPr>
          <w:rFonts w:ascii="Arial" w:hAnsi="Arial" w:cs="Arial"/>
        </w:rPr>
        <w:t>a</w:t>
      </w:r>
      <w:r w:rsidR="00463B39" w:rsidRPr="000478CF">
        <w:rPr>
          <w:rFonts w:ascii="Arial" w:hAnsi="Arial" w:cs="Arial"/>
        </w:rPr>
        <w:t xml:space="preserve"> krajowego monitoringu jakości wód podziemnych</w:t>
      </w:r>
      <w:r w:rsidR="000478CF" w:rsidRPr="000478CF">
        <w:rPr>
          <w:rFonts w:ascii="Arial" w:hAnsi="Arial" w:cs="Arial"/>
        </w:rPr>
        <w:t>, w ramach którego</w:t>
      </w:r>
      <w:r w:rsidR="00463B39" w:rsidRPr="000478CF">
        <w:rPr>
          <w:rFonts w:ascii="Arial" w:hAnsi="Arial" w:cs="Arial"/>
        </w:rPr>
        <w:t xml:space="preserve"> były prowadzone badania zawartości związków organicznych, w tym pestycydów. </w:t>
      </w:r>
    </w:p>
    <w:p w14:paraId="7956657E" w14:textId="1BA6E1CC" w:rsidR="00463B39" w:rsidRPr="0067676B"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F21C76">
        <w:rPr>
          <w:rFonts w:ascii="Arial" w:hAnsi="Arial" w:cs="Arial"/>
        </w:rPr>
        <w:t>W 2022</w:t>
      </w:r>
      <w:r w:rsidR="0062791F">
        <w:rPr>
          <w:rFonts w:ascii="Arial" w:hAnsi="Arial" w:cs="Arial"/>
        </w:rPr>
        <w:t> </w:t>
      </w:r>
      <w:r w:rsidRPr="00F21C76">
        <w:rPr>
          <w:rFonts w:ascii="Arial" w:hAnsi="Arial" w:cs="Arial"/>
        </w:rPr>
        <w:t>r. w 105 punktach pomiarowych zostały przeprowadzone badania zawartości 260 pestycydów. W ramach prac analitycznych wykonano 27</w:t>
      </w:r>
      <w:r w:rsidR="00F21C76" w:rsidRPr="00F21C76">
        <w:rPr>
          <w:rFonts w:ascii="Arial" w:hAnsi="Arial" w:cs="Arial"/>
        </w:rPr>
        <w:t> </w:t>
      </w:r>
      <w:r w:rsidRPr="00F21C76">
        <w:rPr>
          <w:rFonts w:ascii="Arial" w:hAnsi="Arial" w:cs="Arial"/>
        </w:rPr>
        <w:t>300 oznaczeń następujących związków z</w:t>
      </w:r>
      <w:r w:rsidR="00F21C76" w:rsidRPr="00F21C76">
        <w:rPr>
          <w:rFonts w:ascii="Arial" w:hAnsi="Arial" w:cs="Arial"/>
        </w:rPr>
        <w:t> </w:t>
      </w:r>
      <w:r w:rsidRPr="00F21C76">
        <w:rPr>
          <w:rFonts w:ascii="Arial" w:hAnsi="Arial" w:cs="Arial"/>
        </w:rPr>
        <w:t>grupy pestycydów:</w:t>
      </w:r>
    </w:p>
    <w:p w14:paraId="028079CE" w14:textId="55AD081D"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pochodne triazyny: atrazyna, cyjanazyna, prometryna, symazyna, terbutylazyna, terbutryna;</w:t>
      </w:r>
    </w:p>
    <w:p w14:paraId="15CD7E06" w14:textId="78983168"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pestycdydy chloroorganiczne: aldryna, DDD-p.p, DDE-p.p, DDT-o.p, DDT-p.p, dieldryna, dichlobenyl, endosulfan I, endosulfan II, alfa -HCH, beta- HCH, delta - HCH, heptachlor, epoksyd heptachloru, heksachlorobenzen, lindan (gamma-HCH), metoksychlor;</w:t>
      </w:r>
    </w:p>
    <w:p w14:paraId="076869C7" w14:textId="4D6F6E84"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pyretroidy: bifentryna, cypermetryna, deltametryna, fenpropatryna, permetryna, tetrametryna;</w:t>
      </w:r>
    </w:p>
    <w:p w14:paraId="4BAEA73F" w14:textId="73A46CA1"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lastRenderedPageBreak/>
        <w:t>tiokarbaminiany: cykloat, prosulfokarb, tri-allat;</w:t>
      </w:r>
    </w:p>
    <w:p w14:paraId="0652FF52" w14:textId="3D640D9E"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pestycydy fosforoorganiczne: acefat, azynofos metylowy, bromofos etylowy, chlorfenwinfos, chloropiryfos, chloropiryfos metylowy, diazynon, dichlorfos, dikrotofos, dimetoat, EPN, etion, fenamifos, fenitrotion, fention, glifosat, malation, metamidofos, mewinfos, monokrotofos, paration etylowy, fosalon, fosmet, pirymifos metylowy, profenofos, protiofos, tetrachlorwinfos, trichlorfon;</w:t>
      </w:r>
    </w:p>
    <w:p w14:paraId="3919A1B0" w14:textId="283B8DF2"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karbaminiany: aldikarb, bendiokarb, karbaryl, karbofuran, chloroprofam, fenoksykarb, formetanat, furatiokarb, izoprokarb, metiokarb, metomyl i triodikarb, oksamyl, pirymikarb, propoksur;</w:t>
      </w:r>
    </w:p>
    <w:p w14:paraId="275CBFEB" w14:textId="03EB412A"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pirazole: fluksapiroksad, pentiopyrad;</w:t>
      </w:r>
    </w:p>
    <w:p w14:paraId="2C3B7230" w14:textId="04A72AC6"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pochodne kwasu fenoksyoctowego: 2,4-D, MCPA;</w:t>
      </w:r>
    </w:p>
    <w:p w14:paraId="7F9870C7" w14:textId="2BCE5997" w:rsidR="00463B39" w:rsidRPr="00961BEB" w:rsidRDefault="00463B39" w:rsidP="00CF56E2">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61BEB">
        <w:rPr>
          <w:rFonts w:ascii="Arial" w:hAnsi="Arial" w:cs="Arial"/>
        </w:rPr>
        <w:t xml:space="preserve">pozostałe pestycydy: 2,4-DB, abamektyna, acetamipryd, acetochlor, acibenzolar-S-metylowy, aklonifen, alachlor, alfa-cypermetryna, aminopyralid, amitraza, azakonazol, azoksystrobina, benalaksyl, bentazon, bifenazat, bifenoks, bitertanol, boskalid, bromacyl, bromukonazol, bupirymat, buprofezyna, karbendazym, karboksyna, karfentrazon etylowy, chlorantraniliprol, chlorydazon, chlorotoluron, chlorosulfuron, kletodym, chizalofop-P etylu, chlofentezyna, chlomazon, chlopyralid, klotianidyna, cyjazofamid, cymoksanil, cyprokonazol, cyprodynil, cyromazyna, DEET, desmedifam, dikamba, dichlofluanid, dichlorprop-P, dietofenkarb, difenokonazol, diflubenzuron, diflufenikan, dimetachlor, dimetamid, dimetomorf, dimoksystrobina, dinikonazol, diuron, dodyna, epoksykonazol, etyrymol, etfumesat, etoksazol, famoksadon, fenamidon, fenarymol, fenazachin, fenbukonazol, fenheksamid, fenpropidyna, fenpropimorf, fenpirazamina, fenpiroksymat, fipronil, flonikamid (IKI-220), fluazyfop-P, fluazynam, flubendiamina, fludioksonil, flufenacet, flufenoksuron, fluometuron, fluopikolid, fluopyram, fluoksastrobina, fluchinkonazol, fluroksypyr, flusilazol, flutolanil, flutriafol, forchlorofenuron, fuberidazol, furalaksyl, glufosynat amonowy, haloksyfop-p, heksakonazol, heksaflumuron, heksytiazoks, imazalil, imazamoks, imidaklopryd, indoksakarb, ipkonazol, iprodion, iprowalikarb, izofenfos metylowy, izoproturon, izoksaben, izoksaflutol, krezoksym metylowy, lenacyl, linuron, lufenuron, mandipropamid, MCPB, mekoprop, mepanipirym, mezotrion, metaflumizon, metalaksyl, metamitron, metazachlor, metkonazol, metoksyfenozyd, metobromuron, metolachlor, metrybuzyna, mychlobutanil, napropamid, nikosulfuron, nitenpyram, nowaluron, oksadiksyl, paklobutrazol, penkonazol, pencykuron, pendimetalina, pentachlorobenzen, petoksamid, fenmedifam, pikloram, pikoksystrobina, prochloraz, propachizafop, propachlor, propamokarb, propargit, propikonazol, propyzamid, protiokonazol, pimetrozyna, piraklostrobina, pyrazofos, pirydaben, pirymetanil, pyriproksyfen, chinomerak, chinoksyfen, S-Metolachlor, spinosad, spirodiklofen, spiromesifen, spirotetramat, spiroksamina, tebukonazol, tebufenozyd, tebufenpirad, teflubenzuron, tetrakonazol, tiabendazol, tiachlopryd, tiametoksam, tiofanat metylowy, tiuram, tolchlofos metylowy, tolilofluanid, triadimefon, triadimenol, trifloksystrobina, triflumizol, triflumuron, trifluralina, trineksapak etylu,  tritikonazol, </w:t>
      </w:r>
      <w:r w:rsidRPr="00961BEB">
        <w:rPr>
          <w:rFonts w:ascii="Arial" w:hAnsi="Arial" w:cs="Arial"/>
        </w:rPr>
        <w:lastRenderedPageBreak/>
        <w:t>zoksamid.</w:t>
      </w:r>
    </w:p>
    <w:p w14:paraId="1D963B55" w14:textId="77777777" w:rsidR="00463B39" w:rsidRPr="00650B19"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7C6F3C">
        <w:rPr>
          <w:rFonts w:ascii="Arial" w:hAnsi="Arial" w:cs="Arial"/>
          <w:b/>
          <w:bCs/>
        </w:rPr>
        <w:t>Wyniki badań przeprowadzonych w 2022 r.</w:t>
      </w:r>
      <w:r w:rsidRPr="00650B19">
        <w:rPr>
          <w:rFonts w:ascii="Arial" w:hAnsi="Arial" w:cs="Arial"/>
        </w:rPr>
        <w:t xml:space="preserve"> wykazały, że w 70 punktach pomiarowych (spośród 105 punktów objętych badaniami) zawartość pestycydów była poniżej granicy oznaczalności, a w 35 punktach wartości powyżej granicy oznaczalności. </w:t>
      </w:r>
    </w:p>
    <w:p w14:paraId="276EF190" w14:textId="30E952E5" w:rsidR="00463B39" w:rsidRPr="00650B19"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650B19">
        <w:rPr>
          <w:rFonts w:ascii="Arial" w:hAnsi="Arial" w:cs="Arial"/>
        </w:rPr>
        <w:t>W odniesieniu do poszczególnych pestycydów i sumy pestycydów w 7 punktach pomiarowych zostały przekroczone wartości progowe dobrego stanu chemicznego wód podziemnych (wg</w:t>
      </w:r>
      <w:r w:rsidR="007C6F3C">
        <w:rPr>
          <w:rFonts w:ascii="Arial" w:hAnsi="Arial" w:cs="Arial"/>
        </w:rPr>
        <w:t> </w:t>
      </w:r>
      <w:r w:rsidRPr="00650B19">
        <w:rPr>
          <w:rFonts w:ascii="Arial" w:hAnsi="Arial" w:cs="Arial"/>
        </w:rPr>
        <w:t>rozporządzenia Ministra Gospodarki Morskiej i  Żeglugi Śródlądowej z dnia 11 października 2019</w:t>
      </w:r>
      <w:r w:rsidR="0062791F">
        <w:rPr>
          <w:rFonts w:ascii="Arial" w:hAnsi="Arial" w:cs="Arial"/>
        </w:rPr>
        <w:t> </w:t>
      </w:r>
      <w:r w:rsidRPr="00650B19">
        <w:rPr>
          <w:rFonts w:ascii="Arial" w:hAnsi="Arial" w:cs="Arial"/>
        </w:rPr>
        <w:t>r. w sprawie kryteriów i sposobu oceny stanu jednolitych części wód podziemnych):</w:t>
      </w:r>
    </w:p>
    <w:p w14:paraId="6635F84D" w14:textId="1349BCE9" w:rsidR="00463B39" w:rsidRPr="0048518F" w:rsidRDefault="00463B39" w:rsidP="0048518F">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8518F">
        <w:rPr>
          <w:rFonts w:ascii="Arial" w:hAnsi="Arial" w:cs="Arial"/>
        </w:rPr>
        <w:t>w 3 punktach wartości stężeń pojedynczych pestycydów (DEET, glifosat), osiągnęły wartości w</w:t>
      </w:r>
      <w:r w:rsidR="00F27416">
        <w:rPr>
          <w:rFonts w:ascii="Arial" w:hAnsi="Arial" w:cs="Arial"/>
        </w:rPr>
        <w:t> </w:t>
      </w:r>
      <w:r w:rsidRPr="0048518F">
        <w:rPr>
          <w:rFonts w:ascii="Arial" w:hAnsi="Arial" w:cs="Arial"/>
        </w:rPr>
        <w:t>zakresie IV klasy jakości;</w:t>
      </w:r>
    </w:p>
    <w:p w14:paraId="3F839DC1" w14:textId="5559595F" w:rsidR="00463B39" w:rsidRPr="0048518F" w:rsidRDefault="00463B39" w:rsidP="0048518F">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8518F">
        <w:rPr>
          <w:rFonts w:ascii="Arial" w:hAnsi="Arial" w:cs="Arial"/>
        </w:rPr>
        <w:t>w 2 punktach zarówno wartość stężenia DEET jak i suma pestycydów osiągnęły wartości w</w:t>
      </w:r>
      <w:r w:rsidR="00F830D9">
        <w:rPr>
          <w:rFonts w:ascii="Arial" w:hAnsi="Arial" w:cs="Arial"/>
        </w:rPr>
        <w:t> </w:t>
      </w:r>
      <w:r w:rsidRPr="0048518F">
        <w:rPr>
          <w:rFonts w:ascii="Arial" w:hAnsi="Arial" w:cs="Arial"/>
        </w:rPr>
        <w:t>zakresie IV klasy jakości;</w:t>
      </w:r>
    </w:p>
    <w:p w14:paraId="3747D1A7" w14:textId="5945168C" w:rsidR="00463B39" w:rsidRPr="0048518F" w:rsidRDefault="00463B39" w:rsidP="0048518F">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8518F">
        <w:rPr>
          <w:rFonts w:ascii="Arial" w:hAnsi="Arial" w:cs="Arial"/>
        </w:rPr>
        <w:t>w 1 punkcie zarówno wartość stężenia bentazonu jak i suma pestycydów osiągnęły wartości w</w:t>
      </w:r>
      <w:r w:rsidR="00F830D9">
        <w:rPr>
          <w:rFonts w:ascii="Arial" w:hAnsi="Arial" w:cs="Arial"/>
        </w:rPr>
        <w:t> </w:t>
      </w:r>
      <w:r w:rsidRPr="0048518F">
        <w:rPr>
          <w:rFonts w:ascii="Arial" w:hAnsi="Arial" w:cs="Arial"/>
        </w:rPr>
        <w:t>zakresie IV klasy jakości;</w:t>
      </w:r>
    </w:p>
    <w:p w14:paraId="5942B3A8" w14:textId="01EF65F7" w:rsidR="00463B39" w:rsidRPr="0048518F" w:rsidRDefault="00463B39" w:rsidP="0048518F">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8518F">
        <w:rPr>
          <w:rFonts w:ascii="Arial" w:hAnsi="Arial" w:cs="Arial"/>
        </w:rPr>
        <w:t>w 1 punkcie zarówno wartość stężenia bentazonu jak i suma pestycydów osiągnęły wartości w</w:t>
      </w:r>
      <w:r w:rsidR="00F830D9">
        <w:rPr>
          <w:rFonts w:ascii="Arial" w:hAnsi="Arial" w:cs="Arial"/>
        </w:rPr>
        <w:t> </w:t>
      </w:r>
      <w:r w:rsidRPr="0048518F">
        <w:rPr>
          <w:rFonts w:ascii="Arial" w:hAnsi="Arial" w:cs="Arial"/>
        </w:rPr>
        <w:t xml:space="preserve">zakresie V klasy jakości. </w:t>
      </w:r>
    </w:p>
    <w:p w14:paraId="6EF31283" w14:textId="77777777" w:rsidR="00463B39" w:rsidRPr="00F830D9"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F830D9">
        <w:rPr>
          <w:rFonts w:ascii="Arial" w:hAnsi="Arial" w:cs="Arial"/>
        </w:rPr>
        <w:t>Maksymalna oznaczona wartość stężenia wyniosła 18,8 µg/l i dotyczyła wyżej wspomnianego bentazonu.</w:t>
      </w:r>
    </w:p>
    <w:p w14:paraId="7E1A2DA9" w14:textId="77777777" w:rsidR="00463B39" w:rsidRPr="00194DBF"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194DBF">
        <w:rPr>
          <w:rFonts w:ascii="Arial" w:hAnsi="Arial" w:cs="Arial"/>
        </w:rPr>
        <w:t>Związki z grupy pestycydów, dla których odnotowano wartości równe lub powyżej granicy oznaczalności to: alfa-HCH, atrazyna, bentazon, chlorosulfuron, chlorydazon, DDE-p,p, DEET, dichlobenyl, dodyna, glifosat, izoproturon, metalaksyl.</w:t>
      </w:r>
    </w:p>
    <w:p w14:paraId="2DAE6382" w14:textId="773D9650" w:rsidR="00463B39" w:rsidRPr="00194DBF"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194DBF">
        <w:rPr>
          <w:rFonts w:ascii="Arial" w:hAnsi="Arial" w:cs="Arial"/>
        </w:rPr>
        <w:t>W latach 2018 – 2020 liczba badanych związków z grupy pestycydów wynosiła 35, natomiast od 2021</w:t>
      </w:r>
      <w:r w:rsidR="00B650C6">
        <w:rPr>
          <w:rFonts w:ascii="Arial" w:hAnsi="Arial" w:cs="Arial"/>
        </w:rPr>
        <w:t xml:space="preserve"> r. </w:t>
      </w:r>
      <w:r w:rsidRPr="00194DBF">
        <w:rPr>
          <w:rFonts w:ascii="Arial" w:hAnsi="Arial" w:cs="Arial"/>
        </w:rPr>
        <w:t xml:space="preserve">zakres badanych pestycydów znacznie się zwiększył i objął 263 związki. Trudno więc porównywać wyniki badań z całego 4-letniego okresu badawczego. </w:t>
      </w:r>
    </w:p>
    <w:p w14:paraId="162C2E8C" w14:textId="77777777" w:rsidR="00463B39" w:rsidRPr="00194DBF"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194DBF">
        <w:rPr>
          <w:rFonts w:ascii="Arial" w:hAnsi="Arial" w:cs="Arial"/>
        </w:rPr>
        <w:t>Natomiast z badań przeprowadzonych w latach 2018 - 2020  wynika, że w całym 3-letnim okresie badawczym  w żadnym punkcie pomiarowym nie odnotowano przekroczeń wartości progowej dobrego stanu chemicznego dla pestycydów (wg rozporządzenia Ministra Środowiska z dnia 21 grudnia 2015 r. w sprawie kryteriów i sposobu oceny stanu wód podziemnych). Ponadto w większości punktów pomiarowych  zawartość poszczególnych pestycydów była poniżej lub równa granicy oznaczalności (LOQ). Związki z grupy pestycydów, dla których stwierdzono wartości powyżej LOQ we wszystkich trzech badanych latach to: p,p'&lt;DDE, p,p'&lt;DDD, symazyna, altrazyna.</w:t>
      </w:r>
    </w:p>
    <w:p w14:paraId="38026CCE" w14:textId="5413FF23" w:rsidR="00463B39" w:rsidRDefault="00463B39" w:rsidP="00463B39">
      <w:pPr>
        <w:pStyle w:val="NormalnyWeb"/>
        <w:tabs>
          <w:tab w:val="left" w:pos="284"/>
        </w:tabs>
        <w:spacing w:beforeAutospacing="0" w:after="120" w:afterAutospacing="0" w:line="360" w:lineRule="auto"/>
        <w:ind w:firstLine="284"/>
        <w:jc w:val="both"/>
        <w:rPr>
          <w:rFonts w:ascii="Arial" w:hAnsi="Arial" w:cs="Arial"/>
        </w:rPr>
      </w:pPr>
      <w:r w:rsidRPr="00194DBF">
        <w:rPr>
          <w:rFonts w:ascii="Arial" w:hAnsi="Arial" w:cs="Arial"/>
        </w:rPr>
        <w:t>W 2021</w:t>
      </w:r>
      <w:r w:rsidR="008E3ECB">
        <w:rPr>
          <w:rFonts w:ascii="Arial" w:hAnsi="Arial" w:cs="Arial"/>
        </w:rPr>
        <w:t xml:space="preserve"> r. </w:t>
      </w:r>
      <w:r w:rsidRPr="00194DBF">
        <w:rPr>
          <w:rFonts w:ascii="Arial" w:hAnsi="Arial" w:cs="Arial"/>
        </w:rPr>
        <w:t>po znacznym poszerzeniu zakresu badanych pestycydów stwierdzono przekroczenia wartości progowej dla pestycydów i sumy pestycydów w 10 punktach pomiarowych w odniesieniu do następujących pestycydów: DEET, bentazon, chlopyralid, tiametoksam. Ponadto zmniejszyła się liczba punktów pomiarowych, w których  zawartość poszczególnych pestycydów była poniżej lub równa granicy oznaczalności (LOQ).</w:t>
      </w:r>
      <w:r w:rsidRPr="00463B39">
        <w:rPr>
          <w:rFonts w:ascii="Arial" w:hAnsi="Arial" w:cs="Arial"/>
        </w:rPr>
        <w:t xml:space="preserve"> </w:t>
      </w:r>
    </w:p>
    <w:p w14:paraId="1E2FD110" w14:textId="0F2E2186" w:rsidR="004478E2" w:rsidRPr="00463B39" w:rsidRDefault="004478E2" w:rsidP="00463B3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 xml:space="preserve">W 2022 r. </w:t>
      </w:r>
      <w:r w:rsidRPr="004478E2">
        <w:rPr>
          <w:rFonts w:ascii="Arial" w:hAnsi="Arial" w:cs="Arial"/>
        </w:rPr>
        <w:t xml:space="preserve">wartości progowe dobrego stanu chemicznego wód podziemnych zostały przekroczone </w:t>
      </w:r>
      <w:r w:rsidR="00111B5F" w:rsidRPr="004478E2">
        <w:rPr>
          <w:rFonts w:ascii="Arial" w:hAnsi="Arial" w:cs="Arial"/>
        </w:rPr>
        <w:t>w</w:t>
      </w:r>
      <w:r w:rsidR="00111B5F">
        <w:rPr>
          <w:rFonts w:ascii="Arial" w:hAnsi="Arial" w:cs="Arial"/>
        </w:rPr>
        <w:t> </w:t>
      </w:r>
      <w:r w:rsidRPr="004478E2">
        <w:rPr>
          <w:rFonts w:ascii="Arial" w:hAnsi="Arial" w:cs="Arial"/>
        </w:rPr>
        <w:t>7 punktach pomiarowych</w:t>
      </w:r>
      <w:r>
        <w:rPr>
          <w:rFonts w:ascii="Arial" w:hAnsi="Arial" w:cs="Arial"/>
        </w:rPr>
        <w:t xml:space="preserve">. </w:t>
      </w:r>
      <w:r w:rsidRPr="00194DBF">
        <w:rPr>
          <w:rFonts w:ascii="Arial" w:hAnsi="Arial" w:cs="Arial"/>
        </w:rPr>
        <w:t>Związki z grupy pestycydów, dla których odnotowano wartości równe lub powyżej granicy oznaczalności to: alfa-HCH, atrazyna, bentazon, chlorosulfuron, chlorydazon, DDE-p,p, DEET, dichlobenyl, dodyna, glifosat, izoproturon, metalaksyl.</w:t>
      </w:r>
    </w:p>
    <w:p w14:paraId="304DB954" w14:textId="7A70CE01" w:rsidR="00056846" w:rsidRPr="00925BCD" w:rsidRDefault="00E54725">
      <w:pPr>
        <w:pStyle w:val="Nagwek3"/>
        <w:numPr>
          <w:ilvl w:val="0"/>
          <w:numId w:val="0"/>
        </w:numPr>
        <w:tabs>
          <w:tab w:val="left" w:pos="2410"/>
        </w:tabs>
        <w:spacing w:after="120" w:line="360" w:lineRule="auto"/>
        <w:ind w:left="709"/>
        <w:rPr>
          <w:i w:val="0"/>
          <w:sz w:val="20"/>
          <w:szCs w:val="20"/>
        </w:rPr>
      </w:pPr>
      <w:bookmarkStart w:id="39" w:name="_Toc161744877"/>
      <w:r w:rsidRPr="00925BCD">
        <w:rPr>
          <w:i w:val="0"/>
          <w:sz w:val="20"/>
          <w:szCs w:val="20"/>
        </w:rPr>
        <w:t>Podzadanie 3. Osady denne</w:t>
      </w:r>
      <w:bookmarkEnd w:id="39"/>
    </w:p>
    <w:p w14:paraId="30CB99D1"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osadów dennych rzek i jezior prowadzony był w reprezentatywnych punktach pomiarowo-kontrolnych monitoringu jednolitych części wód powierzchniowych. </w:t>
      </w:r>
      <w:r w:rsidRPr="00925BCD">
        <w:rPr>
          <w:rFonts w:ascii="Arial" w:hAnsi="Arial" w:cs="Arial"/>
          <w:b/>
        </w:rPr>
        <w:t>W 2018 r.</w:t>
      </w:r>
      <w:r w:rsidRPr="00925BCD">
        <w:rPr>
          <w:rFonts w:ascii="Arial" w:hAnsi="Arial" w:cs="Arial"/>
        </w:rPr>
        <w:t xml:space="preserve"> prowadzony był w 422 punktach pomiarowo-kontrolnych, w tym 193 zlokalizowanych na rzekach, 13 na kanałach, 9 na zbiornikach zaporowych i 207 na jeziorach, natomiast </w:t>
      </w:r>
      <w:r w:rsidRPr="00925BCD">
        <w:rPr>
          <w:rFonts w:ascii="Arial" w:hAnsi="Arial" w:cs="Arial"/>
          <w:b/>
        </w:rPr>
        <w:t>w 2019 r.</w:t>
      </w:r>
      <w:r w:rsidRPr="00925BCD">
        <w:rPr>
          <w:rFonts w:ascii="Arial" w:hAnsi="Arial" w:cs="Arial"/>
        </w:rPr>
        <w:t xml:space="preserve"> w 423 punktach pomiarowo-kontrolnych, w tym 247 zlokalizowanych na rzekach oraz kanałach rzecznych i 176 na jeziorach. Zbadano między innymi zawartość związków organicznych będących składnikami środków ochrony roślin, takich jak:</w:t>
      </w:r>
    </w:p>
    <w:p w14:paraId="0DD8B9A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pestycydy chlorowcoorganiczne i polichlorowane bifenyle: pestycydy cyklodienowe (aldryna, dieldryna, endryna, izodryna), chlordekon, DDT całkowity, p,p'-DDT, p,p'-DDD, p,p'-DDE, a-HCH, b-HCH, g-HCH, d-HCH, alachlor, dikofol, endosulfan całkowity, heptachlor i epoksyd heptachloru, heksabromodifenol, heksachlorobenzen, PCB (kongenery nr 28, 52, 101, 118, 138, 153 i 180), pentachlorofenol, toksafen;</w:t>
      </w:r>
    </w:p>
    <w:p w14:paraId="4E56DD2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pestycydy fosforoorganiczne: chlorfenwinfos, chloropyrifos;</w:t>
      </w:r>
    </w:p>
    <w:p w14:paraId="756F4F2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pestycydy triazynowe: cybutryna;</w:t>
      </w:r>
    </w:p>
    <w:p w14:paraId="4A3C5C2A"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inne pestycydy: aklonifen, bifenoks, chinoksyfen, cypermetryna, trifluralina, związki tributylocyny. </w:t>
      </w:r>
    </w:p>
    <w:p w14:paraId="08A89EBD"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kanałów i zbiorników zaporowych w 2018 r.</w:t>
      </w:r>
      <w:r w:rsidRPr="00925BCD">
        <w:rPr>
          <w:rFonts w:ascii="Arial" w:hAnsi="Arial" w:cs="Arial"/>
        </w:rPr>
        <w:t xml:space="preserve"> wykazały występowanie większości tych związków w stężeniach poniżej granicy oznaczalności. Wyjątek stanowiły: PCB, a-HCH, g-HCH, endosulfan, chinoksyfen i związki tributylocyny. Największe sumaryczne stężenie PCB stwierdzono w punkcie San – Rajskie (0,36 mg/kg), stosunkowo dużą zawartością tych związków charakteryzowały się również: Kanał Gliwicki i Kanał Bucowski oraz Wisłok w Zwięczycy (0,0633-0,0705 mg/kg). Stężenia HCH powyżej granicy oznaczalności odnotowano w osadach Kanału Bydgoskiego przy ujściu do Brdy (a-HCH: 0,0004 mg/kg, g-HCH: 0,0018 mg/kg) oraz w punkcie Odra – Obrowiec (g-HCH: 0,0016 mg/kg). Zawartość endosulfanu powyżej granicy oznaczalności stwierdzono w osadach Odry w Chałupkach (0,0193 mg/kg) i Kaczawy przy ujściu do Odry (0,0004 mg/kg), zaś najwyższe stężenie chinoksyfenu zmierzono w punkcie Warta – Wiórek (0,0015 mg/kg). Natomiast największą zawartość związków tributylocyny odnotowano w osadach Wisły w Warszawie (0,0002 mg/kg) oraz – na granicy oznaczalności (0,0001 mg/kg) – w osadach Redy koło Mrzezina.</w:t>
      </w:r>
    </w:p>
    <w:p w14:paraId="47DE6637"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oznaczalności. Wyższe zawartości zaobserwowano dla: PCB (0,0023-0,456 mg/kg; największe stężenie – w Jez. Niesłysz), a-HCH (0,0007 mg/kg w Jez. Lubikowskim, 0,0012 mg/kg w Jez. Gwiazda), g-HCH (0,0011 mg/kg w Jez. Lubikowskim, 0,0009 mg/kg w Jez. Gwiazda), DDT całkowitego (0,056 </w:t>
      </w:r>
      <w:r w:rsidRPr="00925BCD">
        <w:rPr>
          <w:rFonts w:ascii="Arial" w:hAnsi="Arial" w:cs="Arial"/>
        </w:rPr>
        <w:lastRenderedPageBreak/>
        <w:t>mg/kg w Jez. Wojnowskim Wschodnim, 0,063 mg/kg w Jez. Wojnowskim Zachodnim), p,p'-DDT (0,0555 mg/kg w Jez. Wojnowskim Wschodnim, 0,0627 mg/kg w Jez. Wojnowskim Zachodnim) oraz endosulfanu (0,0004 mg/kg w Jez. Zelwa).</w:t>
      </w:r>
    </w:p>
    <w:p w14:paraId="3A04369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i kanałów rzecznych w 2019 r.</w:t>
      </w:r>
      <w:r w:rsidRPr="00925BCD">
        <w:rPr>
          <w:rFonts w:ascii="Arial" w:hAnsi="Arial" w:cs="Arial"/>
        </w:rPr>
        <w:t xml:space="preserve"> wykazały występowanie większości tych związków w stężeniach poniżej granicy oznaczalności. Wyjątek stanowiły polichlorowane bifenyle, których zawartość w kilku próbkach znajdowała się w przedziale 0,001 do 0,480 mg/kg, natomiast w</w:t>
      </w:r>
      <w:r w:rsidR="009C7B7A" w:rsidRPr="00925BCD">
        <w:rPr>
          <w:rFonts w:ascii="Arial" w:hAnsi="Arial" w:cs="Arial"/>
        </w:rPr>
        <w:t> </w:t>
      </w:r>
      <w:r w:rsidRPr="00925BCD">
        <w:rPr>
          <w:rFonts w:ascii="Arial" w:hAnsi="Arial" w:cs="Arial"/>
        </w:rPr>
        <w:t xml:space="preserve">pozostałych 225 punktach ich stężenie w osadach kształtowało się poniżej granicy oznaczalności (&lt;0,001 mg/kg). </w:t>
      </w:r>
    </w:p>
    <w:p w14:paraId="4EAF9DFE"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oznaczalności. Wyższe zawartości zaobserwowano jedynie dla pentachlorobenzenu w 17 jeziorach na poziomie 0,0005 mg/kg, natomiast w pozostałych 159 jeziorach stężenia w zbadanych próbkach osadów kształtowały się poniżej granicy oznaczalności, tj. &lt;0,00001 mg/kg. </w:t>
      </w:r>
    </w:p>
    <w:p w14:paraId="06D949EA" w14:textId="32102C39" w:rsidR="00C70252" w:rsidRPr="00A533BA" w:rsidRDefault="00C70252" w:rsidP="00C70252">
      <w:pPr>
        <w:spacing w:after="120" w:line="360" w:lineRule="auto"/>
        <w:ind w:firstLine="357"/>
        <w:jc w:val="both"/>
        <w:rPr>
          <w:rFonts w:ascii="Arial" w:eastAsia="Calibri" w:hAnsi="Arial" w:cs="Arial"/>
          <w:sz w:val="20"/>
          <w:szCs w:val="20"/>
        </w:rPr>
      </w:pPr>
      <w:r w:rsidRPr="00A533BA">
        <w:rPr>
          <w:rFonts w:ascii="Arial" w:eastAsia="Calibri" w:hAnsi="Arial" w:cs="Arial"/>
          <w:b/>
          <w:sz w:val="20"/>
          <w:szCs w:val="20"/>
        </w:rPr>
        <w:t xml:space="preserve">W 2020 r. </w:t>
      </w:r>
      <w:r w:rsidR="00FC104C">
        <w:rPr>
          <w:rFonts w:ascii="Arial" w:eastAsia="Calibri" w:hAnsi="Arial" w:cs="Arial"/>
          <w:b/>
          <w:sz w:val="20"/>
          <w:szCs w:val="20"/>
        </w:rPr>
        <w:t xml:space="preserve">i 2021 </w:t>
      </w:r>
      <w:r w:rsidR="00B73B85">
        <w:rPr>
          <w:rFonts w:ascii="Arial" w:eastAsia="Calibri" w:hAnsi="Arial" w:cs="Arial"/>
          <w:b/>
          <w:sz w:val="20"/>
          <w:szCs w:val="20"/>
        </w:rPr>
        <w:t xml:space="preserve">r. </w:t>
      </w:r>
      <w:r w:rsidRPr="00A533BA">
        <w:rPr>
          <w:rFonts w:ascii="Arial" w:eastAsia="Calibri" w:hAnsi="Arial" w:cs="Arial"/>
          <w:b/>
          <w:sz w:val="20"/>
          <w:szCs w:val="20"/>
        </w:rPr>
        <w:t>monitoring osadów dennych rzek i jezior</w:t>
      </w:r>
      <w:r w:rsidRPr="00A533BA">
        <w:rPr>
          <w:rFonts w:ascii="Arial" w:eastAsia="Calibri" w:hAnsi="Arial" w:cs="Arial"/>
          <w:sz w:val="20"/>
          <w:szCs w:val="20"/>
        </w:rPr>
        <w:t xml:space="preserve"> przeprowadzono </w:t>
      </w:r>
      <w:r w:rsidR="00B73B85">
        <w:rPr>
          <w:rFonts w:ascii="Arial" w:eastAsia="Calibri" w:hAnsi="Arial" w:cs="Arial"/>
          <w:sz w:val="20"/>
          <w:szCs w:val="20"/>
        </w:rPr>
        <w:t xml:space="preserve">odpowiednio </w:t>
      </w:r>
      <w:r w:rsidRPr="00A533BA">
        <w:rPr>
          <w:rFonts w:ascii="Arial" w:eastAsia="Calibri" w:hAnsi="Arial" w:cs="Arial"/>
          <w:sz w:val="20"/>
          <w:szCs w:val="20"/>
        </w:rPr>
        <w:t>w</w:t>
      </w:r>
      <w:r w:rsidR="004E28AC">
        <w:rPr>
          <w:rFonts w:ascii="Arial" w:eastAsia="Calibri" w:hAnsi="Arial" w:cs="Arial"/>
          <w:sz w:val="20"/>
          <w:szCs w:val="20"/>
        </w:rPr>
        <w:t> </w:t>
      </w:r>
      <w:r w:rsidRPr="00A533BA">
        <w:rPr>
          <w:rFonts w:ascii="Arial" w:eastAsia="Calibri" w:hAnsi="Arial" w:cs="Arial"/>
          <w:sz w:val="20"/>
          <w:szCs w:val="20"/>
        </w:rPr>
        <w:t xml:space="preserve">422 </w:t>
      </w:r>
      <w:r w:rsidR="00B73B85">
        <w:rPr>
          <w:rFonts w:ascii="Arial" w:eastAsia="Calibri" w:hAnsi="Arial" w:cs="Arial"/>
          <w:sz w:val="20"/>
          <w:szCs w:val="20"/>
        </w:rPr>
        <w:t xml:space="preserve">i 423 </w:t>
      </w:r>
      <w:r w:rsidRPr="00A533BA">
        <w:rPr>
          <w:rFonts w:ascii="Arial" w:eastAsia="Calibri" w:hAnsi="Arial" w:cs="Arial"/>
          <w:sz w:val="20"/>
          <w:szCs w:val="20"/>
        </w:rPr>
        <w:t xml:space="preserve">punktach pomiarowo-kontrolnych, w tym 262 </w:t>
      </w:r>
      <w:r w:rsidR="00A55537">
        <w:rPr>
          <w:rFonts w:ascii="Arial" w:eastAsia="Calibri" w:hAnsi="Arial" w:cs="Arial"/>
          <w:sz w:val="20"/>
          <w:szCs w:val="20"/>
        </w:rPr>
        <w:t xml:space="preserve">i 223 </w:t>
      </w:r>
      <w:r w:rsidRPr="00A533BA">
        <w:rPr>
          <w:rFonts w:ascii="Arial" w:eastAsia="Calibri" w:hAnsi="Arial" w:cs="Arial"/>
          <w:sz w:val="20"/>
          <w:szCs w:val="20"/>
        </w:rPr>
        <w:t xml:space="preserve">zlokalizowanych na rzekach oraz kanałach rzecznych i 160 </w:t>
      </w:r>
      <w:r w:rsidR="007F5D0D">
        <w:rPr>
          <w:rFonts w:ascii="Arial" w:eastAsia="Calibri" w:hAnsi="Arial" w:cs="Arial"/>
          <w:sz w:val="20"/>
          <w:szCs w:val="20"/>
        </w:rPr>
        <w:t xml:space="preserve">oraz 200 </w:t>
      </w:r>
      <w:r w:rsidRPr="00A533BA">
        <w:rPr>
          <w:rFonts w:ascii="Arial" w:eastAsia="Calibri" w:hAnsi="Arial" w:cs="Arial"/>
          <w:sz w:val="20"/>
          <w:szCs w:val="20"/>
        </w:rPr>
        <w:t>na jeziorach. Zbadano między innymi zawartość związków organicznych będących składnikami środków ochrony roślin, takich jak:</w:t>
      </w:r>
    </w:p>
    <w:p w14:paraId="58F55446" w14:textId="77777777"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t>polichlorowane bifenyle (kongenery o nr 28, 52, 101, 118, 138, 153, 180), heksachlorobenzen, α-HCH, β-HCH, γ-HCH, δ-HCH, pentachlorobenzen, heptachlor i epoksyd heptachloru, aldryna, endryna, dieldryna, izodryna, endosulfan, DDT (w tym izomer para-para), p,p’-DDE, p,p’-DDD – we wszystkich 262 punktach pomiarowo-kontrolnych,</w:t>
      </w:r>
    </w:p>
    <w:p w14:paraId="56AED918" w14:textId="648BDD16"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t xml:space="preserve">alachlor, chlorfenwinfos, chlorpiryfos, pentachlorofenol, </w:t>
      </w:r>
      <w:bookmarkStart w:id="40" w:name="_Hlk72999161"/>
      <w:r w:rsidRPr="00A533BA">
        <w:rPr>
          <w:rFonts w:ascii="Arial" w:hAnsi="Arial" w:cs="Arial"/>
          <w:sz w:val="20"/>
          <w:szCs w:val="20"/>
        </w:rPr>
        <w:t xml:space="preserve">związki tributylocyny </w:t>
      </w:r>
      <w:bookmarkEnd w:id="40"/>
      <w:r w:rsidRPr="00A533BA">
        <w:rPr>
          <w:rFonts w:ascii="Arial" w:hAnsi="Arial" w:cs="Arial"/>
          <w:sz w:val="20"/>
          <w:szCs w:val="20"/>
        </w:rPr>
        <w:t xml:space="preserve">(kation tributylocyny), trifluralina, dikofol, chinoksyfen, aklonifen, bifenoks, cybutryna, cypermetryna, chlordekon, heksabromodifenol, toksafen – w wybranych </w:t>
      </w:r>
      <w:r w:rsidR="007003AB">
        <w:rPr>
          <w:rFonts w:ascii="Arial" w:hAnsi="Arial" w:cs="Arial"/>
          <w:sz w:val="20"/>
          <w:szCs w:val="20"/>
        </w:rPr>
        <w:t xml:space="preserve">odpowiednio </w:t>
      </w:r>
      <w:r w:rsidRPr="00A533BA">
        <w:rPr>
          <w:rFonts w:ascii="Arial" w:hAnsi="Arial" w:cs="Arial"/>
          <w:sz w:val="20"/>
          <w:szCs w:val="20"/>
        </w:rPr>
        <w:t xml:space="preserve">64 </w:t>
      </w:r>
      <w:r w:rsidR="00C566E1">
        <w:rPr>
          <w:rFonts w:ascii="Arial" w:hAnsi="Arial" w:cs="Arial"/>
          <w:sz w:val="20"/>
          <w:szCs w:val="20"/>
        </w:rPr>
        <w:t xml:space="preserve">i 133 </w:t>
      </w:r>
      <w:r w:rsidRPr="00A533BA">
        <w:rPr>
          <w:rFonts w:ascii="Arial" w:hAnsi="Arial" w:cs="Arial"/>
          <w:sz w:val="20"/>
          <w:szCs w:val="20"/>
        </w:rPr>
        <w:t>punktach pomiarowo-kontrolnych.</w:t>
      </w:r>
    </w:p>
    <w:p w14:paraId="0CCB5B7E" w14:textId="32439B6D" w:rsidR="00C70252" w:rsidRPr="00A533BA" w:rsidRDefault="002669F0" w:rsidP="00C70252">
      <w:pPr>
        <w:spacing w:after="120" w:line="360" w:lineRule="auto"/>
        <w:ind w:firstLine="357"/>
        <w:jc w:val="both"/>
        <w:rPr>
          <w:rFonts w:ascii="Arial" w:hAnsi="Arial" w:cs="Arial"/>
          <w:sz w:val="20"/>
          <w:szCs w:val="20"/>
        </w:rPr>
      </w:pPr>
      <w:r w:rsidRPr="002669F0">
        <w:rPr>
          <w:rFonts w:ascii="Arial" w:hAnsi="Arial" w:cs="Arial"/>
          <w:b/>
          <w:bCs/>
          <w:sz w:val="20"/>
          <w:szCs w:val="20"/>
        </w:rPr>
        <w:t>W 2020 r.</w:t>
      </w:r>
      <w:r>
        <w:rPr>
          <w:rFonts w:ascii="Arial" w:hAnsi="Arial" w:cs="Arial"/>
          <w:sz w:val="20"/>
          <w:szCs w:val="20"/>
        </w:rPr>
        <w:t xml:space="preserve"> w</w:t>
      </w:r>
      <w:r w:rsidR="00C70252" w:rsidRPr="00A533BA">
        <w:rPr>
          <w:rFonts w:ascii="Arial" w:hAnsi="Arial" w:cs="Arial"/>
          <w:sz w:val="20"/>
          <w:szCs w:val="20"/>
        </w:rPr>
        <w:t xml:space="preserve">yniki badań osadów rzek i kanałów rzecznych wykazały występowanie większości tych związków w stężeniach poniżej granicy oznaczalności. Wyjątek stanowiły związki tributylocyny, </w:t>
      </w:r>
      <w:r w:rsidR="00C70252" w:rsidRPr="00A533BA">
        <w:rPr>
          <w:rFonts w:ascii="Arial" w:hAnsi="Arial" w:cs="Arial"/>
          <w:color w:val="000000" w:themeColor="text1"/>
          <w:sz w:val="20"/>
          <w:szCs w:val="20"/>
        </w:rPr>
        <w:t>których zawartość w 9 próbkach znajdowała się w przedziale od 0,00004 mg/kg do 0,00014 mg/kg, natomiast w</w:t>
      </w:r>
      <w:r w:rsidR="00446ED2">
        <w:rPr>
          <w:rFonts w:ascii="Arial" w:hAnsi="Arial" w:cs="Arial"/>
          <w:color w:val="000000" w:themeColor="text1"/>
          <w:sz w:val="20"/>
          <w:szCs w:val="20"/>
        </w:rPr>
        <w:t> </w:t>
      </w:r>
      <w:r w:rsidR="00C70252" w:rsidRPr="00A533BA">
        <w:rPr>
          <w:rFonts w:ascii="Arial" w:hAnsi="Arial" w:cs="Arial"/>
          <w:color w:val="000000" w:themeColor="text1"/>
          <w:sz w:val="20"/>
          <w:szCs w:val="20"/>
        </w:rPr>
        <w:t>pozostałych 28 punktach ich stężenie w osadach kształtowało się poniżej granicy oznaczalności tj.</w:t>
      </w:r>
      <w:r w:rsidR="00446ED2">
        <w:rPr>
          <w:rFonts w:ascii="Arial" w:hAnsi="Arial" w:cs="Arial"/>
          <w:color w:val="000000" w:themeColor="text1"/>
          <w:sz w:val="20"/>
          <w:szCs w:val="20"/>
        </w:rPr>
        <w:t> </w:t>
      </w:r>
      <w:r w:rsidR="00C70252" w:rsidRPr="00A533BA">
        <w:rPr>
          <w:rFonts w:ascii="Arial" w:hAnsi="Arial" w:cs="Arial"/>
          <w:color w:val="000000" w:themeColor="text1"/>
          <w:sz w:val="20"/>
          <w:szCs w:val="20"/>
        </w:rPr>
        <w:t xml:space="preserve">&lt;0,00001 mg/kg.  Pojedyncze wyniki oznaczeń zanotowano dla </w:t>
      </w:r>
      <w:r w:rsidR="00C70252" w:rsidRPr="00A533BA">
        <w:rPr>
          <w:rFonts w:ascii="Arial" w:hAnsi="Arial" w:cs="Arial"/>
          <w:sz w:val="20"/>
          <w:szCs w:val="20"/>
        </w:rPr>
        <w:t xml:space="preserve">polichlorowanych bifenyli </w:t>
      </w:r>
      <w:r w:rsidR="00A533BA" w:rsidRPr="00A533BA">
        <w:rPr>
          <w:rFonts w:ascii="Arial" w:hAnsi="Arial" w:cs="Arial"/>
          <w:sz w:val="20"/>
          <w:szCs w:val="20"/>
        </w:rPr>
        <w:t>i</w:t>
      </w:r>
      <w:r w:rsidR="00A533BA">
        <w:rPr>
          <w:rFonts w:ascii="Arial" w:hAnsi="Arial" w:cs="Arial"/>
          <w:sz w:val="20"/>
          <w:szCs w:val="20"/>
        </w:rPr>
        <w:t> </w:t>
      </w:r>
      <w:r w:rsidR="00C70252" w:rsidRPr="00A533BA">
        <w:rPr>
          <w:rFonts w:ascii="Arial" w:hAnsi="Arial" w:cs="Arial"/>
          <w:sz w:val="20"/>
          <w:szCs w:val="20"/>
        </w:rPr>
        <w:t>pentachlorobenzenu.</w:t>
      </w:r>
    </w:p>
    <w:p w14:paraId="0B9D96E1" w14:textId="74D5B658" w:rsidR="00C70252" w:rsidRDefault="00C70252" w:rsidP="00C70252">
      <w:pPr>
        <w:pStyle w:val="NormalnyWeb"/>
        <w:tabs>
          <w:tab w:val="left" w:pos="284"/>
        </w:tabs>
        <w:spacing w:beforeAutospacing="0" w:after="120" w:afterAutospacing="0" w:line="360" w:lineRule="auto"/>
        <w:ind w:firstLine="284"/>
        <w:jc w:val="both"/>
        <w:rPr>
          <w:rFonts w:ascii="Arial" w:hAnsi="Arial" w:cs="Arial"/>
        </w:rPr>
      </w:pPr>
      <w:r w:rsidRPr="00A533BA">
        <w:rPr>
          <w:rFonts w:ascii="Arial" w:eastAsia="Calibri" w:hAnsi="Arial" w:cs="Arial"/>
        </w:rPr>
        <w:t>Badania osadów jeziornych również wykazały stężenia prawie wszystkich pestycydów poniżej granicy oznaczalności. Wyższe zawartości zaobserwowano jedynie dla</w:t>
      </w:r>
      <w:r w:rsidRPr="00A533BA">
        <w:rPr>
          <w:rFonts w:ascii="Arial" w:hAnsi="Arial" w:cs="Arial"/>
          <w:b/>
        </w:rPr>
        <w:t xml:space="preserve"> </w:t>
      </w:r>
      <w:r w:rsidRPr="00A533BA">
        <w:rPr>
          <w:rFonts w:ascii="Arial" w:hAnsi="Arial" w:cs="Arial"/>
        </w:rPr>
        <w:t>związków tributylocyny, których zawartość w 10 próbkach znajdowała się w przedziale od 0,00004 mg/kg do 0,00011 mg/kg, natomiast w pozostałych 17 punktach ich stężenie w osadach kształtowało się poniżej granicy oznaczalności tj.</w:t>
      </w:r>
      <w:r w:rsidR="00446ED2">
        <w:rPr>
          <w:rFonts w:ascii="Arial" w:hAnsi="Arial" w:cs="Arial"/>
        </w:rPr>
        <w:t> </w:t>
      </w:r>
      <w:r w:rsidRPr="00A533BA">
        <w:rPr>
          <w:rFonts w:ascii="Arial" w:hAnsi="Arial" w:cs="Arial"/>
        </w:rPr>
        <w:t>&lt;0,00001 mg/kg.</w:t>
      </w:r>
    </w:p>
    <w:p w14:paraId="78B896B2" w14:textId="7BA6BFEE" w:rsidR="00AE76C0" w:rsidRPr="00AE76C0" w:rsidRDefault="00AE76C0" w:rsidP="00AE76C0">
      <w:pPr>
        <w:pStyle w:val="NormalnyWeb"/>
        <w:tabs>
          <w:tab w:val="left" w:pos="284"/>
        </w:tabs>
        <w:spacing w:beforeAutospacing="0" w:after="120" w:afterAutospacing="0" w:line="360" w:lineRule="auto"/>
        <w:ind w:firstLine="284"/>
        <w:jc w:val="both"/>
        <w:rPr>
          <w:rFonts w:ascii="Arial" w:hAnsi="Arial" w:cs="Arial"/>
        </w:rPr>
      </w:pPr>
      <w:r w:rsidRPr="00150B5A">
        <w:rPr>
          <w:rFonts w:ascii="Arial" w:hAnsi="Arial" w:cs="Arial"/>
          <w:b/>
          <w:bCs/>
        </w:rPr>
        <w:t>W 2021 r.</w:t>
      </w:r>
      <w:r>
        <w:rPr>
          <w:rFonts w:ascii="Arial" w:hAnsi="Arial" w:cs="Arial"/>
        </w:rPr>
        <w:t xml:space="preserve"> w</w:t>
      </w:r>
      <w:r w:rsidRPr="00AE76C0">
        <w:rPr>
          <w:rFonts w:ascii="Arial" w:hAnsi="Arial" w:cs="Arial"/>
        </w:rPr>
        <w:t xml:space="preserve">yniki badań osadów rzek i kanałów rzecznych wykazały występowanie większości tych związków w stężeniach poniżej granicy oznaczalności. Wyjątek stanowiły jedynie związki tributylocyny, których zawartość w 50 próbkach znajdowała się w przedziale od 0,00002 mg/kg do 0,00023 mg/kg, </w:t>
      </w:r>
      <w:r w:rsidRPr="00AE76C0">
        <w:rPr>
          <w:rFonts w:ascii="Arial" w:hAnsi="Arial" w:cs="Arial"/>
        </w:rPr>
        <w:lastRenderedPageBreak/>
        <w:t xml:space="preserve">natomiast w pozostałych 83 punktach ich stężenie w osadach kształtowało się poniżej granicy oznaczalności tj. &lt;0,00001 mg/kg.  </w:t>
      </w:r>
    </w:p>
    <w:p w14:paraId="45C150A5" w14:textId="5C7A2E76" w:rsidR="002D491C" w:rsidRDefault="00AE76C0" w:rsidP="00AE76C0">
      <w:pPr>
        <w:pStyle w:val="NormalnyWeb"/>
        <w:tabs>
          <w:tab w:val="left" w:pos="284"/>
        </w:tabs>
        <w:spacing w:beforeAutospacing="0" w:after="120" w:afterAutospacing="0" w:line="360" w:lineRule="auto"/>
        <w:ind w:firstLine="284"/>
        <w:jc w:val="both"/>
        <w:rPr>
          <w:rFonts w:ascii="Arial" w:hAnsi="Arial" w:cs="Arial"/>
        </w:rPr>
      </w:pPr>
      <w:r w:rsidRPr="00AE76C0">
        <w:rPr>
          <w:rFonts w:ascii="Arial" w:hAnsi="Arial" w:cs="Arial"/>
        </w:rPr>
        <w:t>Badania osadów jeziornych również wykazały stężenia prawie wszystkich pestycydów poniżej granicy oznaczalności. Wyższe zawartości zaobserwowano jedynie dla związkiów tributylocyny, których zawartość w 8 próbkach znajdowała się w przedziale od 0,00002 mg/kg do 0,00012 mg/kg, natomiast w pozostałych badanych 9 punktach ich stężenie w osadach kształtowało się poniżej granicy oznaczalności tj. &lt;0,00001 mg/kg. Związki tributylocyny oznaczane były w osadach jeziornych pochodzących z 17 stanowisk pomiarowych.</w:t>
      </w:r>
    </w:p>
    <w:p w14:paraId="0A227492" w14:textId="396CC85B" w:rsidR="00014E3A" w:rsidRPr="003E177F" w:rsidRDefault="00014E3A" w:rsidP="00F1269B">
      <w:pPr>
        <w:spacing w:after="120" w:line="360" w:lineRule="auto"/>
        <w:ind w:firstLine="357"/>
        <w:jc w:val="both"/>
        <w:rPr>
          <w:rFonts w:ascii="Arial" w:eastAsia="Calibri" w:hAnsi="Arial" w:cs="Arial"/>
          <w:sz w:val="20"/>
          <w:szCs w:val="20"/>
        </w:rPr>
      </w:pPr>
      <w:r w:rsidRPr="003E177F">
        <w:rPr>
          <w:rFonts w:ascii="Arial" w:hAnsi="Arial" w:cs="Arial"/>
          <w:b/>
          <w:bCs/>
          <w:sz w:val="20"/>
          <w:szCs w:val="20"/>
        </w:rPr>
        <w:t>Monitoring o</w:t>
      </w:r>
      <w:r w:rsidRPr="003E177F">
        <w:rPr>
          <w:rFonts w:ascii="Arial" w:hAnsi="Arial" w:cs="Arial"/>
          <w:sz w:val="20"/>
          <w:szCs w:val="20"/>
        </w:rPr>
        <w:t>s</w:t>
      </w:r>
      <w:r w:rsidRPr="003E177F">
        <w:rPr>
          <w:rFonts w:ascii="Arial" w:hAnsi="Arial" w:cs="Arial"/>
          <w:b/>
          <w:bCs/>
          <w:sz w:val="20"/>
          <w:szCs w:val="20"/>
        </w:rPr>
        <w:t>adów dennych rzek i jezior przeprowadzono w 2022 r.</w:t>
      </w:r>
      <w:r w:rsidRPr="003E177F">
        <w:rPr>
          <w:rFonts w:ascii="Arial" w:hAnsi="Arial" w:cs="Arial"/>
          <w:sz w:val="20"/>
          <w:szCs w:val="20"/>
        </w:rPr>
        <w:t xml:space="preserve"> w 436 punktach pomiarowo-kontrolnych, w tym 244 zlokalizowanych na rzekach oraz kanałach rzecznych i 192 na jeziorach. Zbadano między innymi zawartość związków organicznych będących składnikami środków ochrony roślin, takich </w:t>
      </w:r>
      <w:r w:rsidRPr="003E177F">
        <w:rPr>
          <w:rFonts w:ascii="Arial" w:eastAsia="Calibri" w:hAnsi="Arial" w:cs="Arial"/>
          <w:sz w:val="20"/>
          <w:szCs w:val="20"/>
        </w:rPr>
        <w:t>jak:</w:t>
      </w:r>
    </w:p>
    <w:p w14:paraId="66DEAD93" w14:textId="77777777" w:rsidR="00014E3A" w:rsidRPr="00F1269B" w:rsidRDefault="00014E3A" w:rsidP="00F1269B">
      <w:pPr>
        <w:spacing w:after="120" w:line="360" w:lineRule="auto"/>
        <w:ind w:firstLine="357"/>
        <w:jc w:val="both"/>
        <w:rPr>
          <w:rFonts w:ascii="Arial" w:eastAsia="Calibri" w:hAnsi="Arial" w:cs="Arial"/>
          <w:sz w:val="20"/>
          <w:szCs w:val="20"/>
        </w:rPr>
      </w:pPr>
      <w:r w:rsidRPr="00F1269B">
        <w:rPr>
          <w:rFonts w:ascii="Arial" w:eastAsia="Calibri" w:hAnsi="Arial" w:cs="Arial"/>
          <w:sz w:val="20"/>
          <w:szCs w:val="20"/>
        </w:rPr>
        <w:t>─</w:t>
      </w:r>
      <w:r w:rsidRPr="00F1269B">
        <w:rPr>
          <w:rFonts w:ascii="Arial" w:eastAsia="Calibri" w:hAnsi="Arial" w:cs="Arial"/>
          <w:sz w:val="20"/>
          <w:szCs w:val="20"/>
        </w:rPr>
        <w:tab/>
        <w:t>polichlorowanych bifenyli (kongenery o nr 28, 52, 101, 118, 138, 153, 180), heksachlorobenzen, α-HCH, β-HCH, γ-HCH, δ-HCH, pentachlorobenzen, heptachlor i epoksyd heptachloru, aldryna, endryna, dieldryna, izodryna, endosulfan, DDT (w tym izomer para-para), p,p’-DDE, p,p’-DDD – we wszystkich 436 punktach pomiarowo-kontrolnych,</w:t>
      </w:r>
    </w:p>
    <w:p w14:paraId="07B5C483" w14:textId="77777777" w:rsidR="00014E3A" w:rsidRPr="00014E3A" w:rsidRDefault="00014E3A" w:rsidP="00F1269B">
      <w:pPr>
        <w:spacing w:after="120" w:line="360" w:lineRule="auto"/>
        <w:ind w:firstLine="357"/>
        <w:jc w:val="both"/>
        <w:rPr>
          <w:rFonts w:ascii="Arial" w:hAnsi="Arial" w:cs="Arial"/>
        </w:rPr>
      </w:pPr>
      <w:r w:rsidRPr="00F1269B">
        <w:rPr>
          <w:rFonts w:ascii="Arial" w:eastAsia="Calibri" w:hAnsi="Arial" w:cs="Arial"/>
          <w:sz w:val="20"/>
          <w:szCs w:val="20"/>
        </w:rPr>
        <w:t>─</w:t>
      </w:r>
      <w:r w:rsidRPr="00F1269B">
        <w:rPr>
          <w:rFonts w:ascii="Arial" w:eastAsia="Calibri" w:hAnsi="Arial" w:cs="Arial"/>
          <w:sz w:val="20"/>
          <w:szCs w:val="20"/>
        </w:rPr>
        <w:tab/>
        <w:t>alachlor, chlorfenwinfos, chlorpiryfos, pentachlorofenol, związki tributylocyny (kation tributylocyny), trifluralina, dikofol, chinoksyfen, aklonifen, bifenoks, cybutryna, cypermetryna, chlordekon, heksabromodifenol, toksafen – w wybranych 90 punktach pomiarowo-kontrolnych</w:t>
      </w:r>
      <w:r w:rsidRPr="00014E3A">
        <w:rPr>
          <w:rFonts w:ascii="Arial" w:hAnsi="Arial" w:cs="Arial"/>
        </w:rPr>
        <w:t>.</w:t>
      </w:r>
    </w:p>
    <w:p w14:paraId="63407C7A" w14:textId="77777777" w:rsidR="00014E3A" w:rsidRPr="00014E3A" w:rsidRDefault="00014E3A" w:rsidP="00014E3A">
      <w:pPr>
        <w:pStyle w:val="NormalnyWeb"/>
        <w:tabs>
          <w:tab w:val="left" w:pos="284"/>
        </w:tabs>
        <w:spacing w:beforeAutospacing="0" w:after="120" w:afterAutospacing="0" w:line="360" w:lineRule="auto"/>
        <w:ind w:firstLine="284"/>
        <w:jc w:val="both"/>
        <w:rPr>
          <w:rFonts w:ascii="Arial" w:hAnsi="Arial" w:cs="Arial"/>
        </w:rPr>
      </w:pPr>
      <w:r w:rsidRPr="00014E3A">
        <w:rPr>
          <w:rFonts w:ascii="Arial" w:hAnsi="Arial" w:cs="Arial"/>
        </w:rPr>
        <w:t xml:space="preserve">Wyniki badań osadów rzek i kanałów rzecznych wykazały występowanie wszystkich tych związków w stężeniach poniżej granicy oznaczalności. </w:t>
      </w:r>
    </w:p>
    <w:p w14:paraId="5321C2D4" w14:textId="3BF43893" w:rsidR="00014E3A" w:rsidRDefault="00014E3A" w:rsidP="00014E3A">
      <w:pPr>
        <w:pStyle w:val="NormalnyWeb"/>
        <w:tabs>
          <w:tab w:val="left" w:pos="284"/>
        </w:tabs>
        <w:spacing w:beforeAutospacing="0" w:after="120" w:afterAutospacing="0" w:line="360" w:lineRule="auto"/>
        <w:ind w:firstLine="284"/>
        <w:jc w:val="both"/>
        <w:rPr>
          <w:rFonts w:ascii="Arial" w:hAnsi="Arial" w:cs="Arial"/>
        </w:rPr>
      </w:pPr>
      <w:r w:rsidRPr="00014E3A">
        <w:rPr>
          <w:rFonts w:ascii="Arial" w:hAnsi="Arial" w:cs="Arial"/>
        </w:rPr>
        <w:t>Badania osadów jeziornych również wykazały stężenia wszystkich pestycydów poniżej granicy oznaczalności.</w:t>
      </w:r>
    </w:p>
    <w:p w14:paraId="424CF044" w14:textId="77777777" w:rsidR="00056846" w:rsidRPr="00925BCD" w:rsidRDefault="00E54725">
      <w:pPr>
        <w:pStyle w:val="Nagwek2"/>
        <w:rPr>
          <w:i w:val="0"/>
          <w:sz w:val="20"/>
          <w:szCs w:val="20"/>
        </w:rPr>
      </w:pPr>
      <w:bookmarkStart w:id="41" w:name="_Toc161744878"/>
      <w:r w:rsidRPr="00925BCD">
        <w:rPr>
          <w:i w:val="0"/>
          <w:sz w:val="20"/>
          <w:szCs w:val="20"/>
        </w:rPr>
        <w:t xml:space="preserve">Zadanie 2. Prowadzenie monitoringu </w:t>
      </w:r>
      <w:bookmarkStart w:id="42" w:name="_Toc341876090"/>
      <w:bookmarkStart w:id="43" w:name="_Toc301334611"/>
      <w:bookmarkStart w:id="44" w:name="_Toc300916223"/>
      <w:r w:rsidRPr="00925BCD">
        <w:rPr>
          <w:i w:val="0"/>
          <w:sz w:val="20"/>
          <w:szCs w:val="20"/>
        </w:rPr>
        <w:t>wody przeznaczonej do spożycia przez ludzi</w:t>
      </w:r>
      <w:bookmarkEnd w:id="41"/>
      <w:bookmarkEnd w:id="42"/>
      <w:bookmarkEnd w:id="43"/>
      <w:bookmarkEnd w:id="44"/>
    </w:p>
    <w:p w14:paraId="0A443E99" w14:textId="7CACA8A8" w:rsidR="00A905AB" w:rsidRPr="00925BCD"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Kwestię bezpieczeństwa zdrowotnego wody przeznaczonej do spożycia przez ludzi reguluje ustawa z dnia 7 czerwca 2001 r. o zbiorowym zaopatrzeniu w wodę i zbiorowym odprowadzaniu ścieków (Dz. U. z </w:t>
      </w:r>
      <w:r>
        <w:rPr>
          <w:rFonts w:ascii="Arial" w:hAnsi="Arial" w:cs="Arial"/>
        </w:rPr>
        <w:t>2020</w:t>
      </w:r>
      <w:r w:rsidRPr="00925BCD">
        <w:rPr>
          <w:rFonts w:ascii="Arial" w:hAnsi="Arial" w:cs="Arial"/>
        </w:rPr>
        <w:t xml:space="preserve"> r. poz. </w:t>
      </w:r>
      <w:r>
        <w:rPr>
          <w:rFonts w:ascii="Arial" w:hAnsi="Arial" w:cs="Arial"/>
        </w:rPr>
        <w:t>2028</w:t>
      </w:r>
      <w:r w:rsidRPr="00925BCD">
        <w:rPr>
          <w:rFonts w:ascii="Arial" w:hAnsi="Arial" w:cs="Arial"/>
        </w:rPr>
        <w:t>) oraz wydane na jej podstawie rozporządzenie Ministra Zdrowia z dnia 7 grudnia 2017 r. w sprawie jakości wody przeznaczonej do spożycia przez ludzi (Dz. U. poz. 2294), które jest zgodne z zaleceniami dyrektywy Parlamentu Europejskiego i Rady 98/83/WE z dnia 3 listopada 1998 r. w sprawie jakości wody przeznaczonej do spożycia przez ludzi. Jakość wody przeznaczonej do spożycia powinna odpowiadać wymaganiom określonym w rozporządzeniu Ministra Zdrowia w sprawie jakości wody przeznaczonej do spożycia przez ludzi. Woda jest w pełni bezpieczna dla zdrowia, jeśli spełnia określone w rozporządzeniu wymagania m.in. w zakresie pestycydów i sumy pestycydów.</w:t>
      </w:r>
      <w:r w:rsidR="006125C3">
        <w:rPr>
          <w:rFonts w:ascii="Arial" w:hAnsi="Arial" w:cs="Arial"/>
        </w:rPr>
        <w:t xml:space="preserve"> </w:t>
      </w:r>
      <w:r w:rsidR="006125C3" w:rsidRPr="006125C3">
        <w:rPr>
          <w:rFonts w:ascii="Arial" w:hAnsi="Arial" w:cs="Arial"/>
        </w:rPr>
        <w:t>W</w:t>
      </w:r>
      <w:r w:rsidR="006125C3">
        <w:rPr>
          <w:rFonts w:ascii="Arial" w:hAnsi="Arial" w:cs="Arial"/>
        </w:rPr>
        <w:t> </w:t>
      </w:r>
      <w:r w:rsidR="006125C3" w:rsidRPr="006125C3">
        <w:rPr>
          <w:rFonts w:ascii="Arial" w:hAnsi="Arial" w:cs="Arial"/>
        </w:rPr>
        <w:t>ślad za dyrektywą 98/83/WE, w rozporządzeniu Ministra Zdrowia z dnia 7 grudnia 2017 r. wskazano m.in. zakresy wartości parametrycznych dla pestycydów (0,10 µg/l – wartość stosuje się do każdego poszczególnego pestycydu) i sumy pestycydów (0,50 µg/l – sumy poszczególnych pestycydów wykrytych i oznaczonych ilościowo w ramach monitoringu).</w:t>
      </w:r>
    </w:p>
    <w:p w14:paraId="77223299" w14:textId="4F6C9653" w:rsidR="00A905AB" w:rsidRPr="00925BCD"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Monitoring jakości wody do spożycia prowadzony jest przez organy Państwowej Inspekcji Sanitarnej w ramach bieżącego nadzoru nad jakością wody jak i przez producentów wody w ramach kontroli wewnętrznej. Podstawą nadzoru nad jakością wody przeznaczonej do spożycia przez ludzi jest ocena zgodności z wymaganiami określonymi w rozporządzeniu Ministra Zdrowia z dnia 7 grudnia 2017 r. w aspekcie zagrożeń zdrowotnych w celu określenia czy spożywana woda jest czysta i bezpieczna dla zdrowia ludzkiego. Realizowany w latach 2018</w:t>
      </w:r>
      <w:r w:rsidRPr="00080FA9">
        <w:rPr>
          <w:rFonts w:ascii="Arial" w:hAnsi="Arial" w:cs="Arial"/>
        </w:rPr>
        <w:t>–</w:t>
      </w:r>
      <w:r w:rsidRPr="00925BCD">
        <w:rPr>
          <w:rFonts w:ascii="Arial" w:hAnsi="Arial" w:cs="Arial"/>
        </w:rPr>
        <w:t>20</w:t>
      </w:r>
      <w:r>
        <w:rPr>
          <w:rFonts w:ascii="Arial" w:hAnsi="Arial" w:cs="Arial"/>
        </w:rPr>
        <w:t>2</w:t>
      </w:r>
      <w:r w:rsidR="009426F1">
        <w:rPr>
          <w:rFonts w:ascii="Arial" w:hAnsi="Arial" w:cs="Arial"/>
        </w:rPr>
        <w:t>2</w:t>
      </w:r>
      <w:r w:rsidRPr="00925BCD">
        <w:rPr>
          <w:rFonts w:ascii="Arial" w:hAnsi="Arial" w:cs="Arial"/>
        </w:rPr>
        <w:t xml:space="preserve"> monitoring odbywał się poprzez regularne badanie wody i dostarczanie informacji niezbędnych do jej oceny. Organy Państwowej Inspekcji Sanitarnej prowadziły badania jakości wody zgodnie z ustalonym planem działania na dany rok. Producenci wody prowadzili natomiast badania na podstawie uzgodnionych z organami Państwowej Inspekcji Sanitarnej harmonogramów pobierania próbek wody, zgodnie z częstotliwością i zakresem określonymi w prawie krajowym. Badania pestycydów w wodzie do spożycia, które </w:t>
      </w:r>
      <w:r w:rsidRPr="00C63166">
        <w:rPr>
          <w:rFonts w:ascii="Arial" w:hAnsi="Arial" w:cs="Arial"/>
        </w:rPr>
        <w:t>obejmują m.in. insektycydy, herbicydy, fungicydy, nematocydy, akarycydy, algicydy, rodentycydy, slimicydy, a także produkty pochodne (m.in. regulatory wzrostu oraz ich pochodne metabolity, a także produkty ich rozkładu i reakcji), są wykonywane jedynie dla pestycydów, których występowania w wodzie</w:t>
      </w:r>
      <w:r w:rsidRPr="00925BCD">
        <w:rPr>
          <w:rFonts w:ascii="Arial" w:hAnsi="Arial" w:cs="Arial"/>
        </w:rPr>
        <w:t xml:space="preserve"> można oczekiwać. Zakres oznaczanych pestycydów w wodzie ustala właściwy państwowy inspektor sanitarny po uwzględnieniu szeregu czynników, w tym stosowanych lokalnie środków ochrony roślin oraz na podstawie prewencyjnej oceny zagrożeń dokonywanej poprzez analizę zanieczyszczeń przenikających do</w:t>
      </w:r>
      <w:r>
        <w:rPr>
          <w:rFonts w:ascii="Arial" w:hAnsi="Arial" w:cs="Arial"/>
        </w:rPr>
        <w:t> </w:t>
      </w:r>
      <w:r w:rsidRPr="00925BCD">
        <w:rPr>
          <w:rFonts w:ascii="Arial" w:hAnsi="Arial" w:cs="Arial"/>
        </w:rPr>
        <w:t>poszczególnych ujęć wodnych, ustalonych na podstawie lokalnych danych o sprzedaży lub stosowaniu środków ochrony roślin. Dane te są pozyskiwane od dystrybutorów, firm lub ośrodków doradztwa rolniczego w zakresie sprzedaży pestycydów. Sprawozdania z badań jakości wody były na bieżąco przekazywane organom Państwowej Inspekcji Sanitarnej, które weryfikowały terminowość ich przekazywania, analizowały wyniki badań jakości wody oraz określały przydatność wody do spożycia.</w:t>
      </w:r>
    </w:p>
    <w:p w14:paraId="75FBFF32" w14:textId="77777777" w:rsidR="00A905AB" w:rsidRDefault="00A905AB" w:rsidP="00A905AB">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latach 2018</w:t>
      </w:r>
      <w:r w:rsidRPr="00080FA9">
        <w:rPr>
          <w:rFonts w:ascii="Arial" w:hAnsi="Arial" w:cs="Arial"/>
        </w:rPr>
        <w:t>–</w:t>
      </w:r>
      <w:r w:rsidRPr="00925BCD">
        <w:rPr>
          <w:rFonts w:ascii="Arial" w:hAnsi="Arial" w:cs="Arial"/>
        </w:rPr>
        <w:t>2019 organy Państwowej Inspekcji Sanitarnej oraz podmioty zaopatrzenia w wodę przeprowadziły badania jakości wody przeznaczonej do spożycia w kierunku oznaczenia pestycydów. W ramach prowadzonego monitoringu jakości wody przeznaczonej do spożycia przez ludzi nie wystąpiły przypadki stwierdzenia przez organy Państwowej Inspekcji Sanitarnej niezgodności normatywów jakości wody w zakresie pestycydów stwarzającej zagrożenie dla zdrowia, które skutkowałyby wydaniem przez organy Państwowej Inspekcji Sanitarnej zgody na odstępstwo od dopuszczalnej wartości pestycydów lub sumy pestycydów w wodzie przeznaczonej do spożycia przez ludzi pobieranej z ujęć podziemnych, czy też ujęć powierzchniowych.</w:t>
      </w:r>
    </w:p>
    <w:p w14:paraId="247F94B7" w14:textId="5A3119D0" w:rsidR="000C6151" w:rsidRDefault="000C6151" w:rsidP="00A905AB">
      <w:pPr>
        <w:pStyle w:val="NormalnyWeb"/>
        <w:tabs>
          <w:tab w:val="left" w:pos="284"/>
        </w:tabs>
        <w:spacing w:beforeAutospacing="0" w:after="120" w:afterAutospacing="0" w:line="360" w:lineRule="auto"/>
        <w:ind w:firstLine="284"/>
        <w:jc w:val="both"/>
        <w:rPr>
          <w:rFonts w:ascii="Arial" w:hAnsi="Arial" w:cs="Arial"/>
        </w:rPr>
      </w:pPr>
      <w:r w:rsidRPr="000C6151">
        <w:rPr>
          <w:rFonts w:ascii="Arial" w:hAnsi="Arial" w:cs="Arial"/>
        </w:rPr>
        <w:t>W latach 2020–2022 w województwie dolnośląskim wystąpiły przekroczenia wartości parametrycznych dla substancji o nazwie chloridazon-desfenyl oraz w zakresie zawartości sumy pestycydów w wodzie przeznaczonej do spożycia przez ludzi dostarczanej przez trzy wodociągi (w</w:t>
      </w:r>
      <w:r w:rsidR="00DE7BB2">
        <w:rPr>
          <w:rFonts w:ascii="Arial" w:hAnsi="Arial" w:cs="Arial"/>
        </w:rPr>
        <w:t> </w:t>
      </w:r>
      <w:r w:rsidRPr="000C6151">
        <w:rPr>
          <w:rFonts w:ascii="Arial" w:hAnsi="Arial" w:cs="Arial"/>
        </w:rPr>
        <w:t xml:space="preserve">powiecie wrocławskim, gmina Długołęka i powiecie wołowskim, gmina Wińsko). Substancja o nazwie chloridazon-decfenyl, jest związkiem który powstaje na drodze zachodzących w roślinach uprawnych oraz w środowisku przemian substancji macierzystej – chloridazonu, herbicydu z grupy pirydazonów. Chloridazon stosowany jest w ochronie wielu upraw, głównie buraków cukrowych i pastewnych, buraka ćwikłowego, cebuli, czosnku, szalotki oraz roślin ozdobnych. W środowisku, w którym pestycyd ten jest stosowany, w zachodzącym procesie degradacji ulega rozkładowi głównie do </w:t>
      </w:r>
      <w:r w:rsidR="004478E2">
        <w:rPr>
          <w:rFonts w:ascii="Arial" w:hAnsi="Arial" w:cs="Arial"/>
        </w:rPr>
        <w:t xml:space="preserve">związku chemicznego </w:t>
      </w:r>
      <w:r w:rsidRPr="000C6151">
        <w:rPr>
          <w:rFonts w:ascii="Arial" w:hAnsi="Arial" w:cs="Arial"/>
        </w:rPr>
        <w:t xml:space="preserve">chloridazon-desfenyl, który w kolejnych zmianach zachodzących w środowisku może prowadzić do </w:t>
      </w:r>
      <w:r w:rsidRPr="000C6151">
        <w:rPr>
          <w:rFonts w:ascii="Arial" w:hAnsi="Arial" w:cs="Arial"/>
        </w:rPr>
        <w:lastRenderedPageBreak/>
        <w:t xml:space="preserve">powstania znacznie mniejszych ilości drugiego metabolitu chloridazonu jakim jest chloridazon-metyl-desfenyl. Zachodzące w środowisku glebowym przemiany, pozbawiają oba metabolity aktywności pestycydu, zwiększając jednocześnie ich trwałość w środowisku, zwiększając rozpuszczalność </w:t>
      </w:r>
      <w:r w:rsidR="00D03691" w:rsidRPr="000C6151">
        <w:rPr>
          <w:rFonts w:ascii="Arial" w:hAnsi="Arial" w:cs="Arial"/>
        </w:rPr>
        <w:t>w</w:t>
      </w:r>
      <w:r w:rsidR="00D03691">
        <w:rPr>
          <w:rFonts w:ascii="Arial" w:hAnsi="Arial" w:cs="Arial"/>
        </w:rPr>
        <w:t> </w:t>
      </w:r>
      <w:r w:rsidRPr="000C6151">
        <w:rPr>
          <w:rFonts w:ascii="Arial" w:hAnsi="Arial" w:cs="Arial"/>
        </w:rPr>
        <w:t>wodzie i mobilność w glebie. Metabolity cechują się znacznym potencjałem przenikania do wód podziemnych, w których stwierdzane bywają często i występują z reguły w stężeniach wielokrotnie wyższych niż substancja macierzysta (chloridazon) i w największym stopniu dotyczy to metabolitu chloridazon-desfenyl.</w:t>
      </w:r>
    </w:p>
    <w:p w14:paraId="08761A86" w14:textId="631B97E7" w:rsidR="00A87557" w:rsidRDefault="00A87557" w:rsidP="00A87557">
      <w:pPr>
        <w:pStyle w:val="NormalnyWeb"/>
        <w:tabs>
          <w:tab w:val="left" w:pos="284"/>
        </w:tabs>
        <w:spacing w:beforeAutospacing="0" w:after="120" w:afterAutospacing="0" w:line="360" w:lineRule="auto"/>
        <w:ind w:firstLine="284"/>
        <w:jc w:val="both"/>
        <w:rPr>
          <w:rFonts w:ascii="Arial" w:hAnsi="Arial" w:cs="Arial"/>
        </w:rPr>
      </w:pPr>
      <w:r w:rsidRPr="0081346A">
        <w:rPr>
          <w:rFonts w:ascii="Arial" w:hAnsi="Arial" w:cs="Arial"/>
          <w:b/>
          <w:bCs/>
        </w:rPr>
        <w:t>W 2020 r.</w:t>
      </w:r>
      <w:r>
        <w:rPr>
          <w:rFonts w:ascii="Arial" w:hAnsi="Arial" w:cs="Arial"/>
        </w:rPr>
        <w:t xml:space="preserve"> w wodzie przeznaczonej do spożycia przez ludzi dostarczanej przez dwa wodociągi sieciowe zlokalizowane w gminie Długołęka, powiat wrocławski stwierdzono przekroczenia wartości parametrycznej metabolitu chloridazon-desfenyl. Badania metabolitu były powtarzane i wykonywane do końca 2020 r., potwierdzając utrzymywanie się podwyższonych wartości stężeń metabolitu chloridazon-desfenyl na mniej więcej stabilnym poziomie tj. 0,111-0,157</w:t>
      </w:r>
      <w:r w:rsidRPr="0048351F">
        <w:rPr>
          <w:rFonts w:ascii="Arial" w:hAnsi="Arial" w:cs="Arial"/>
        </w:rPr>
        <w:t xml:space="preserve"> </w:t>
      </w:r>
      <w:r>
        <w:rPr>
          <w:rFonts w:ascii="Arial" w:hAnsi="Arial" w:cs="Arial"/>
        </w:rPr>
        <w:t>µg/l w przypadku jednego wodociągu oraz 0,8-1,2 µg/l w wodzie dostarczanej przez drugi wodociąg.</w:t>
      </w:r>
      <w:r w:rsidRPr="00C10D9F">
        <w:rPr>
          <w:rFonts w:ascii="Arial" w:hAnsi="Arial" w:cs="Arial"/>
        </w:rPr>
        <w:t xml:space="preserve"> </w:t>
      </w:r>
      <w:r>
        <w:rPr>
          <w:rFonts w:ascii="Arial" w:hAnsi="Arial" w:cs="Arial"/>
        </w:rPr>
        <w:t>Wobec stwierdzonych podwyższonych przekroczeń metabolitu chloridazon-desfenyl w wodzie przeznaczonej do spożycia przez ludzi, w</w:t>
      </w:r>
      <w:r w:rsidR="00AF0ADF">
        <w:rPr>
          <w:rFonts w:ascii="Arial" w:hAnsi="Arial" w:cs="Arial"/>
        </w:rPr>
        <w:t> </w:t>
      </w:r>
      <w:r>
        <w:rPr>
          <w:rFonts w:ascii="Arial" w:hAnsi="Arial" w:cs="Arial"/>
        </w:rPr>
        <w:t>2020</w:t>
      </w:r>
      <w:r w:rsidR="00AF0ADF">
        <w:rPr>
          <w:rFonts w:ascii="Arial" w:hAnsi="Arial" w:cs="Arial"/>
        </w:rPr>
        <w:t> </w:t>
      </w:r>
      <w:r>
        <w:rPr>
          <w:rFonts w:ascii="Arial" w:hAnsi="Arial" w:cs="Arial"/>
        </w:rPr>
        <w:t>r. przez terenowo właściwego państwowego powiatowego inspektora sanitarnego wszczęte zostało postępowanie administracyjne dotyczące udzielenia zgody na odstępstwo od wartości parametrycznej metabolitu chloridazon-desfenyl oraz sumy pestycydów dla obu wodociągów, mające na celu zapewnienie bezpieczeństwa wody dostarczanej konsumentom. Pozyskana została również o</w:t>
      </w:r>
      <w:r w:rsidRPr="002C28BE">
        <w:rPr>
          <w:rFonts w:ascii="Arial" w:hAnsi="Arial" w:cs="Arial"/>
        </w:rPr>
        <w:t>cena wpływu na zdrowie ludzi wartości stężeń metabolitu chloridazon-desfenyl stwierdzanych w</w:t>
      </w:r>
      <w:r>
        <w:rPr>
          <w:rFonts w:ascii="Arial" w:hAnsi="Arial" w:cs="Arial"/>
        </w:rPr>
        <w:t> </w:t>
      </w:r>
      <w:r w:rsidRPr="002C28BE">
        <w:rPr>
          <w:rFonts w:ascii="Arial" w:hAnsi="Arial" w:cs="Arial"/>
        </w:rPr>
        <w:t xml:space="preserve">wodzie do spożycia dostarczanej przez </w:t>
      </w:r>
      <w:r>
        <w:rPr>
          <w:rFonts w:ascii="Arial" w:hAnsi="Arial" w:cs="Arial"/>
        </w:rPr>
        <w:t xml:space="preserve">oba wodociągi, wykonana przez </w:t>
      </w:r>
      <w:r w:rsidRPr="002C28BE">
        <w:rPr>
          <w:rFonts w:ascii="Arial" w:hAnsi="Arial" w:cs="Arial"/>
        </w:rPr>
        <w:t>Narodow</w:t>
      </w:r>
      <w:r>
        <w:rPr>
          <w:rFonts w:ascii="Arial" w:hAnsi="Arial" w:cs="Arial"/>
        </w:rPr>
        <w:t>y</w:t>
      </w:r>
      <w:r w:rsidRPr="002C28BE">
        <w:rPr>
          <w:rFonts w:ascii="Arial" w:hAnsi="Arial" w:cs="Arial"/>
        </w:rPr>
        <w:t xml:space="preserve"> Instytut Zdrowia Publicznego Państwow</w:t>
      </w:r>
      <w:r>
        <w:rPr>
          <w:rFonts w:ascii="Arial" w:hAnsi="Arial" w:cs="Arial"/>
        </w:rPr>
        <w:t>y</w:t>
      </w:r>
      <w:r w:rsidRPr="002C28BE">
        <w:rPr>
          <w:rFonts w:ascii="Arial" w:hAnsi="Arial" w:cs="Arial"/>
        </w:rPr>
        <w:t xml:space="preserve"> Zakład Higieny</w:t>
      </w:r>
      <w:r>
        <w:rPr>
          <w:rFonts w:ascii="Arial" w:hAnsi="Arial" w:cs="Arial"/>
        </w:rPr>
        <w:t xml:space="preserve"> – P</w:t>
      </w:r>
      <w:r w:rsidR="00342A8B">
        <w:rPr>
          <w:rFonts w:ascii="Arial" w:hAnsi="Arial" w:cs="Arial"/>
        </w:rPr>
        <w:t>IB</w:t>
      </w:r>
      <w:r>
        <w:rPr>
          <w:rFonts w:ascii="Arial" w:hAnsi="Arial" w:cs="Arial"/>
        </w:rPr>
        <w:t>. W ekspertyzie Instytutu stwierdzono, iż wartości stężeń metabolitu chloridazonu-desfenyl</w:t>
      </w:r>
      <w:r w:rsidR="00D70E8A">
        <w:rPr>
          <w:rFonts w:ascii="Arial" w:hAnsi="Arial" w:cs="Arial"/>
        </w:rPr>
        <w:t>u</w:t>
      </w:r>
      <w:r>
        <w:rPr>
          <w:rFonts w:ascii="Arial" w:hAnsi="Arial" w:cs="Arial"/>
        </w:rPr>
        <w:t xml:space="preserve"> w </w:t>
      </w:r>
      <w:r w:rsidRPr="002C28BE">
        <w:rPr>
          <w:rFonts w:ascii="Arial" w:hAnsi="Arial" w:cs="Arial"/>
        </w:rPr>
        <w:t>wod</w:t>
      </w:r>
      <w:r>
        <w:rPr>
          <w:rFonts w:ascii="Arial" w:hAnsi="Arial" w:cs="Arial"/>
        </w:rPr>
        <w:t>zie z obu wodociągów nie stwarzają zagrożenia dla zdrowia ludzi</w:t>
      </w:r>
      <w:r w:rsidRPr="002C28BE">
        <w:rPr>
          <w:rFonts w:ascii="Arial" w:hAnsi="Arial" w:cs="Arial"/>
        </w:rPr>
        <w:t xml:space="preserve"> i zaopatrzenie w wodę może być kontynuowane na dotychczasowych zasadach</w:t>
      </w:r>
      <w:r>
        <w:rPr>
          <w:rFonts w:ascii="Arial" w:hAnsi="Arial" w:cs="Arial"/>
        </w:rPr>
        <w:t xml:space="preserve">. </w:t>
      </w:r>
      <w:r w:rsidRPr="00F60ECA">
        <w:rPr>
          <w:rFonts w:ascii="Arial" w:hAnsi="Arial" w:cs="Arial"/>
        </w:rPr>
        <w:t>W wyniku przeprowadzon</w:t>
      </w:r>
      <w:r>
        <w:rPr>
          <w:rFonts w:ascii="Arial" w:hAnsi="Arial" w:cs="Arial"/>
        </w:rPr>
        <w:t>ej przez terenowo właściwego państwowego powiatowego inspektora sanitarnego</w:t>
      </w:r>
      <w:r w:rsidRPr="00F60ECA">
        <w:rPr>
          <w:rFonts w:ascii="Arial" w:hAnsi="Arial" w:cs="Arial"/>
        </w:rPr>
        <w:t xml:space="preserve"> ocen</w:t>
      </w:r>
      <w:r>
        <w:rPr>
          <w:rFonts w:ascii="Arial" w:hAnsi="Arial" w:cs="Arial"/>
        </w:rPr>
        <w:t>y</w:t>
      </w:r>
      <w:r w:rsidRPr="00F60ECA">
        <w:rPr>
          <w:rFonts w:ascii="Arial" w:hAnsi="Arial" w:cs="Arial"/>
        </w:rPr>
        <w:t xml:space="preserve"> </w:t>
      </w:r>
      <w:r>
        <w:rPr>
          <w:rFonts w:ascii="Arial" w:hAnsi="Arial" w:cs="Arial"/>
        </w:rPr>
        <w:t xml:space="preserve">bezpieczeństwa zdrowotnego wody </w:t>
      </w:r>
      <w:r w:rsidRPr="009220B3">
        <w:rPr>
          <w:rFonts w:ascii="Arial" w:hAnsi="Arial" w:cs="Arial"/>
          <w:b/>
          <w:bCs/>
        </w:rPr>
        <w:t>w 2021 r.</w:t>
      </w:r>
      <w:r>
        <w:rPr>
          <w:rFonts w:ascii="Arial" w:hAnsi="Arial" w:cs="Arial"/>
        </w:rPr>
        <w:t xml:space="preserve"> oraz zgodnie z </w:t>
      </w:r>
      <w:r w:rsidR="003B34EE">
        <w:rPr>
          <w:rFonts w:ascii="Arial" w:hAnsi="Arial" w:cs="Arial"/>
        </w:rPr>
        <w:t>przepisami</w:t>
      </w:r>
      <w:r>
        <w:rPr>
          <w:rFonts w:ascii="Arial" w:hAnsi="Arial" w:cs="Arial"/>
        </w:rPr>
        <w:t xml:space="preserve"> § 28 rozporządzenia Ministra Zdrowia z dnia 7 grudnia 2017 r.</w:t>
      </w:r>
      <w:r w:rsidRPr="0024094D">
        <w:rPr>
          <w:rFonts w:ascii="Arial" w:hAnsi="Arial" w:cs="Arial"/>
        </w:rPr>
        <w:t xml:space="preserve"> </w:t>
      </w:r>
      <w:r w:rsidRPr="00925BCD">
        <w:rPr>
          <w:rFonts w:ascii="Arial" w:hAnsi="Arial" w:cs="Arial"/>
        </w:rPr>
        <w:t>w sprawie jakości wody przeznaczonej do spożycia przez ludzi</w:t>
      </w:r>
      <w:r>
        <w:rPr>
          <w:rFonts w:ascii="Arial" w:hAnsi="Arial" w:cs="Arial"/>
        </w:rPr>
        <w:t>,</w:t>
      </w:r>
      <w:r w:rsidRPr="00F60ECA">
        <w:rPr>
          <w:rFonts w:ascii="Arial" w:hAnsi="Arial" w:cs="Arial"/>
        </w:rPr>
        <w:t xml:space="preserve"> wyda</w:t>
      </w:r>
      <w:r>
        <w:rPr>
          <w:rFonts w:ascii="Arial" w:hAnsi="Arial" w:cs="Arial"/>
        </w:rPr>
        <w:t>ne zostały</w:t>
      </w:r>
      <w:r w:rsidRPr="00F60ECA">
        <w:rPr>
          <w:rFonts w:ascii="Arial" w:hAnsi="Arial" w:cs="Arial"/>
        </w:rPr>
        <w:t xml:space="preserve"> decyzj</w:t>
      </w:r>
      <w:r>
        <w:rPr>
          <w:rFonts w:ascii="Arial" w:hAnsi="Arial" w:cs="Arial"/>
        </w:rPr>
        <w:t>e</w:t>
      </w:r>
      <w:r w:rsidRPr="00F60ECA">
        <w:rPr>
          <w:rFonts w:ascii="Arial" w:hAnsi="Arial" w:cs="Arial"/>
        </w:rPr>
        <w:t xml:space="preserve"> wyrażając</w:t>
      </w:r>
      <w:r>
        <w:rPr>
          <w:rFonts w:ascii="Arial" w:hAnsi="Arial" w:cs="Arial"/>
        </w:rPr>
        <w:t>e</w:t>
      </w:r>
      <w:r w:rsidRPr="00F60ECA">
        <w:rPr>
          <w:rFonts w:ascii="Arial" w:hAnsi="Arial" w:cs="Arial"/>
        </w:rPr>
        <w:t xml:space="preserve"> zgodę na odstępstwo</w:t>
      </w:r>
      <w:r>
        <w:rPr>
          <w:rFonts w:ascii="Arial" w:hAnsi="Arial" w:cs="Arial"/>
        </w:rPr>
        <w:t xml:space="preserve"> od </w:t>
      </w:r>
      <w:r w:rsidRPr="00F60ECA">
        <w:rPr>
          <w:rFonts w:ascii="Arial" w:hAnsi="Arial" w:cs="Arial"/>
        </w:rPr>
        <w:t xml:space="preserve">wartości parametrycznych dla </w:t>
      </w:r>
      <w:r>
        <w:rPr>
          <w:rFonts w:ascii="Arial" w:hAnsi="Arial" w:cs="Arial"/>
        </w:rPr>
        <w:t>parametru</w:t>
      </w:r>
      <w:r w:rsidRPr="00F60ECA">
        <w:rPr>
          <w:rFonts w:ascii="Arial" w:hAnsi="Arial" w:cs="Arial"/>
        </w:rPr>
        <w:t xml:space="preserve"> chloridazon-desfenyl oraz w zakresie zawartości sumy pestycydów</w:t>
      </w:r>
      <w:r>
        <w:rPr>
          <w:rFonts w:ascii="Arial" w:hAnsi="Arial" w:cs="Arial"/>
        </w:rPr>
        <w:t xml:space="preserve"> w terminie do marca 2024</w:t>
      </w:r>
      <w:r w:rsidR="00F5134C">
        <w:rPr>
          <w:rFonts w:ascii="Arial" w:hAnsi="Arial" w:cs="Arial"/>
        </w:rPr>
        <w:t> </w:t>
      </w:r>
      <w:r>
        <w:rPr>
          <w:rFonts w:ascii="Arial" w:hAnsi="Arial" w:cs="Arial"/>
        </w:rPr>
        <w:t xml:space="preserve">r. dla dwóch wodociągów. W decyzjach określone zostały m.in. </w:t>
      </w:r>
      <w:r w:rsidRPr="00F60ECA">
        <w:rPr>
          <w:rFonts w:ascii="Arial" w:hAnsi="Arial" w:cs="Arial"/>
        </w:rPr>
        <w:t>maksymaln</w:t>
      </w:r>
      <w:r>
        <w:rPr>
          <w:rFonts w:ascii="Arial" w:hAnsi="Arial" w:cs="Arial"/>
        </w:rPr>
        <w:t>e</w:t>
      </w:r>
      <w:r w:rsidRPr="00F60ECA">
        <w:rPr>
          <w:rFonts w:ascii="Arial" w:hAnsi="Arial" w:cs="Arial"/>
        </w:rPr>
        <w:t xml:space="preserve"> wartoś</w:t>
      </w:r>
      <w:r>
        <w:rPr>
          <w:rFonts w:ascii="Arial" w:hAnsi="Arial" w:cs="Arial"/>
        </w:rPr>
        <w:t>ci</w:t>
      </w:r>
      <w:r w:rsidRPr="00F60ECA">
        <w:rPr>
          <w:rFonts w:ascii="Arial" w:hAnsi="Arial" w:cs="Arial"/>
        </w:rPr>
        <w:t xml:space="preserve"> parametr</w:t>
      </w:r>
      <w:r>
        <w:rPr>
          <w:rFonts w:ascii="Arial" w:hAnsi="Arial" w:cs="Arial"/>
        </w:rPr>
        <w:t>ów</w:t>
      </w:r>
      <w:r w:rsidRPr="00F60ECA">
        <w:rPr>
          <w:rFonts w:ascii="Arial" w:hAnsi="Arial" w:cs="Arial"/>
        </w:rPr>
        <w:t xml:space="preserve">, na jaką pozwala odstępstwo, termin obowiązywania zgody </w:t>
      </w:r>
      <w:r>
        <w:rPr>
          <w:rFonts w:ascii="Arial" w:hAnsi="Arial" w:cs="Arial"/>
        </w:rPr>
        <w:t xml:space="preserve">oraz </w:t>
      </w:r>
      <w:r w:rsidRPr="00F60ECA">
        <w:rPr>
          <w:rFonts w:ascii="Arial" w:hAnsi="Arial" w:cs="Arial"/>
        </w:rPr>
        <w:t>warunki, jakie mają być spełnione w</w:t>
      </w:r>
      <w:r w:rsidR="00F5134C">
        <w:rPr>
          <w:rFonts w:ascii="Arial" w:hAnsi="Arial" w:cs="Arial"/>
        </w:rPr>
        <w:t> </w:t>
      </w:r>
      <w:r w:rsidRPr="00F60ECA">
        <w:rPr>
          <w:rFonts w:ascii="Arial" w:hAnsi="Arial" w:cs="Arial"/>
        </w:rPr>
        <w:t>trakcie obowiązywania zgody na odstępstwo, z uwzględnieniem bezpieczeństwa zdrowotnego konsumentów.</w:t>
      </w:r>
      <w:r>
        <w:rPr>
          <w:rFonts w:ascii="Arial" w:hAnsi="Arial" w:cs="Arial"/>
        </w:rPr>
        <w:t xml:space="preserve"> </w:t>
      </w:r>
      <w:r w:rsidRPr="000D4122">
        <w:rPr>
          <w:rFonts w:ascii="Arial" w:hAnsi="Arial" w:cs="Arial"/>
        </w:rPr>
        <w:t xml:space="preserve">Wyniki badań przeprowadzonych w 2021 r. potwierdziły utrzymywanie się przekroczeń zarówno dla ww. metabolitu w zakresie 0,150-0,159 µg/l </w:t>
      </w:r>
      <w:r>
        <w:rPr>
          <w:rFonts w:ascii="Arial" w:hAnsi="Arial" w:cs="Arial"/>
        </w:rPr>
        <w:t>(suma pestycydów wykazywała zgodność z</w:t>
      </w:r>
      <w:r w:rsidR="00F5134C">
        <w:rPr>
          <w:rFonts w:ascii="Arial" w:hAnsi="Arial" w:cs="Arial"/>
        </w:rPr>
        <w:t> </w:t>
      </w:r>
      <w:r>
        <w:rPr>
          <w:rFonts w:ascii="Arial" w:hAnsi="Arial" w:cs="Arial"/>
        </w:rPr>
        <w:t xml:space="preserve">normatywem) </w:t>
      </w:r>
      <w:r w:rsidRPr="000D4122">
        <w:rPr>
          <w:rFonts w:ascii="Arial" w:hAnsi="Arial" w:cs="Arial"/>
        </w:rPr>
        <w:t xml:space="preserve">w przypadku jednego wodociągu oraz </w:t>
      </w:r>
      <w:r>
        <w:rPr>
          <w:rFonts w:ascii="Arial" w:hAnsi="Arial" w:cs="Arial"/>
        </w:rPr>
        <w:t xml:space="preserve">w zakresie </w:t>
      </w:r>
      <w:r w:rsidRPr="000D4122">
        <w:rPr>
          <w:rFonts w:ascii="Arial" w:hAnsi="Arial" w:cs="Arial"/>
        </w:rPr>
        <w:t>0,714-1,26 µg/l i sumy pestycydów w</w:t>
      </w:r>
      <w:r w:rsidR="00F5134C">
        <w:rPr>
          <w:rFonts w:ascii="Arial" w:hAnsi="Arial" w:cs="Arial"/>
        </w:rPr>
        <w:t> </w:t>
      </w:r>
      <w:r w:rsidRPr="000D4122">
        <w:rPr>
          <w:rFonts w:ascii="Arial" w:hAnsi="Arial" w:cs="Arial"/>
        </w:rPr>
        <w:t xml:space="preserve">zakresie 1,01-1,38 µg/l w wodzie dostarczanej przez drugi wodociąg. W badanych próbkach wody nie wykryto jednocześnie substancji macierzystej powyższego metabolitu – chloridazonu. </w:t>
      </w:r>
      <w:r>
        <w:rPr>
          <w:rFonts w:ascii="Arial" w:hAnsi="Arial" w:cs="Arial"/>
        </w:rPr>
        <w:t xml:space="preserve">Wyniki </w:t>
      </w:r>
      <w:r w:rsidRPr="000D4122">
        <w:rPr>
          <w:rFonts w:ascii="Arial" w:hAnsi="Arial" w:cs="Arial"/>
        </w:rPr>
        <w:t>badań</w:t>
      </w:r>
      <w:r>
        <w:rPr>
          <w:rFonts w:ascii="Arial" w:hAnsi="Arial" w:cs="Arial"/>
        </w:rPr>
        <w:t xml:space="preserve"> </w:t>
      </w:r>
      <w:r w:rsidRPr="000D4122">
        <w:rPr>
          <w:rFonts w:ascii="Arial" w:hAnsi="Arial" w:cs="Arial"/>
        </w:rPr>
        <w:t xml:space="preserve">przeprowadzonych </w:t>
      </w:r>
      <w:r w:rsidRPr="00A6640D">
        <w:rPr>
          <w:rFonts w:ascii="Arial" w:hAnsi="Arial" w:cs="Arial"/>
          <w:b/>
          <w:bCs/>
        </w:rPr>
        <w:t>w 2022 r.</w:t>
      </w:r>
      <w:r w:rsidRPr="000D4122">
        <w:rPr>
          <w:rFonts w:ascii="Arial" w:hAnsi="Arial" w:cs="Arial"/>
        </w:rPr>
        <w:t xml:space="preserve"> </w:t>
      </w:r>
      <w:r>
        <w:rPr>
          <w:rFonts w:ascii="Arial" w:hAnsi="Arial" w:cs="Arial"/>
        </w:rPr>
        <w:t xml:space="preserve">wskazały na podwyższoną zawartość metabolitu o nazwie chloridazon-desfenyl w wodzie dostarczanej przez dwa wodociągi, gdzie maksymalna oznaczona wartość tego parametru w wodzie wynosiła 0,174 </w:t>
      </w:r>
      <w:r w:rsidRPr="000D4122">
        <w:rPr>
          <w:rFonts w:ascii="Arial" w:hAnsi="Arial" w:cs="Arial"/>
        </w:rPr>
        <w:t xml:space="preserve">µg/l </w:t>
      </w:r>
      <w:r>
        <w:rPr>
          <w:rFonts w:ascii="Arial" w:hAnsi="Arial" w:cs="Arial"/>
        </w:rPr>
        <w:t xml:space="preserve">(suma pestycydów wykazywała zgodność z normatywem) </w:t>
      </w:r>
      <w:r w:rsidRPr="000D4122">
        <w:rPr>
          <w:rFonts w:ascii="Arial" w:hAnsi="Arial" w:cs="Arial"/>
        </w:rPr>
        <w:t>w</w:t>
      </w:r>
      <w:r w:rsidR="00F5134C">
        <w:rPr>
          <w:rFonts w:ascii="Arial" w:hAnsi="Arial" w:cs="Arial"/>
        </w:rPr>
        <w:t> </w:t>
      </w:r>
      <w:r w:rsidRPr="000D4122">
        <w:rPr>
          <w:rFonts w:ascii="Arial" w:hAnsi="Arial" w:cs="Arial"/>
        </w:rPr>
        <w:t>przypadku jednego wodociągu oraz 0,7</w:t>
      </w:r>
      <w:r>
        <w:rPr>
          <w:rFonts w:ascii="Arial" w:hAnsi="Arial" w:cs="Arial"/>
        </w:rPr>
        <w:t xml:space="preserve">68 </w:t>
      </w:r>
      <w:r w:rsidRPr="000D4122">
        <w:rPr>
          <w:rFonts w:ascii="Arial" w:hAnsi="Arial" w:cs="Arial"/>
        </w:rPr>
        <w:t>µg/l</w:t>
      </w:r>
      <w:r>
        <w:rPr>
          <w:rFonts w:ascii="Arial" w:hAnsi="Arial" w:cs="Arial"/>
        </w:rPr>
        <w:t xml:space="preserve"> (maksymalna oznaczona wartość dla </w:t>
      </w:r>
      <w:r w:rsidRPr="000D4122">
        <w:rPr>
          <w:rFonts w:ascii="Arial" w:hAnsi="Arial" w:cs="Arial"/>
        </w:rPr>
        <w:t>sum</w:t>
      </w:r>
      <w:r>
        <w:rPr>
          <w:rFonts w:ascii="Arial" w:hAnsi="Arial" w:cs="Arial"/>
        </w:rPr>
        <w:t>y</w:t>
      </w:r>
      <w:r w:rsidRPr="000D4122">
        <w:rPr>
          <w:rFonts w:ascii="Arial" w:hAnsi="Arial" w:cs="Arial"/>
        </w:rPr>
        <w:t xml:space="preserve"> </w:t>
      </w:r>
      <w:r w:rsidRPr="000D4122">
        <w:rPr>
          <w:rFonts w:ascii="Arial" w:hAnsi="Arial" w:cs="Arial"/>
        </w:rPr>
        <w:lastRenderedPageBreak/>
        <w:t>pestycydów</w:t>
      </w:r>
      <w:r>
        <w:rPr>
          <w:rFonts w:ascii="Arial" w:hAnsi="Arial" w:cs="Arial"/>
        </w:rPr>
        <w:t xml:space="preserve"> wynosiła 0,87</w:t>
      </w:r>
      <w:r w:rsidRPr="000D4122">
        <w:rPr>
          <w:rFonts w:ascii="Arial" w:hAnsi="Arial" w:cs="Arial"/>
        </w:rPr>
        <w:t xml:space="preserve"> µg/l</w:t>
      </w:r>
      <w:r>
        <w:rPr>
          <w:rFonts w:ascii="Arial" w:hAnsi="Arial" w:cs="Arial"/>
        </w:rPr>
        <w:t>)</w:t>
      </w:r>
      <w:r w:rsidRPr="000D4122">
        <w:rPr>
          <w:rFonts w:ascii="Arial" w:hAnsi="Arial" w:cs="Arial"/>
        </w:rPr>
        <w:t xml:space="preserve"> w wodzie dostarczanej przez drugi wodociąg.</w:t>
      </w:r>
      <w:r>
        <w:rPr>
          <w:rFonts w:ascii="Arial" w:hAnsi="Arial" w:cs="Arial"/>
        </w:rPr>
        <w:t xml:space="preserve"> </w:t>
      </w:r>
      <w:r w:rsidRPr="000D4122">
        <w:rPr>
          <w:rFonts w:ascii="Arial" w:hAnsi="Arial" w:cs="Arial"/>
        </w:rPr>
        <w:t>Podwyższone poziomy chloridazon-desfenylu stwierdzano także w wodzie surowej pobranej z poszczególnych studni na obu ujęciach.</w:t>
      </w:r>
    </w:p>
    <w:p w14:paraId="35E43AC1" w14:textId="52B8C012" w:rsidR="00A87557" w:rsidRDefault="00A87557" w:rsidP="00A87557">
      <w:pPr>
        <w:pStyle w:val="NormalnyWeb"/>
        <w:tabs>
          <w:tab w:val="left" w:pos="284"/>
        </w:tabs>
        <w:spacing w:beforeAutospacing="0" w:after="120" w:afterAutospacing="0" w:line="360" w:lineRule="auto"/>
        <w:ind w:firstLine="284"/>
        <w:jc w:val="both"/>
        <w:rPr>
          <w:rFonts w:ascii="Arial" w:hAnsi="Arial" w:cs="Arial"/>
        </w:rPr>
      </w:pPr>
      <w:r w:rsidRPr="003B2DB8">
        <w:rPr>
          <w:rFonts w:ascii="Arial" w:hAnsi="Arial" w:cs="Arial"/>
          <w:b/>
          <w:bCs/>
        </w:rPr>
        <w:t>W 2021 r.</w:t>
      </w:r>
      <w:r w:rsidRPr="003D7D63">
        <w:rPr>
          <w:rFonts w:ascii="Arial" w:hAnsi="Arial" w:cs="Arial"/>
        </w:rPr>
        <w:t xml:space="preserve"> </w:t>
      </w:r>
      <w:r>
        <w:rPr>
          <w:rFonts w:ascii="Arial" w:hAnsi="Arial" w:cs="Arial"/>
        </w:rPr>
        <w:t xml:space="preserve">w wodzie przeznaczonej do spożycia przez ludzi dostarczanej przez wodociąg publiczny zlokalizowany </w:t>
      </w:r>
      <w:r w:rsidRPr="006E616A">
        <w:rPr>
          <w:rFonts w:ascii="Arial" w:hAnsi="Arial" w:cs="Arial"/>
        </w:rPr>
        <w:t>w gmin</w:t>
      </w:r>
      <w:r>
        <w:rPr>
          <w:rFonts w:ascii="Arial" w:hAnsi="Arial" w:cs="Arial"/>
        </w:rPr>
        <w:t>ie</w:t>
      </w:r>
      <w:r w:rsidRPr="006E616A">
        <w:rPr>
          <w:rFonts w:ascii="Arial" w:hAnsi="Arial" w:cs="Arial"/>
        </w:rPr>
        <w:t xml:space="preserve"> </w:t>
      </w:r>
      <w:r>
        <w:rPr>
          <w:rFonts w:ascii="Arial" w:hAnsi="Arial" w:cs="Arial"/>
        </w:rPr>
        <w:t>Wińsko</w:t>
      </w:r>
      <w:r w:rsidRPr="006E616A">
        <w:rPr>
          <w:rFonts w:ascii="Arial" w:hAnsi="Arial" w:cs="Arial"/>
        </w:rPr>
        <w:t>, powi</w:t>
      </w:r>
      <w:r>
        <w:rPr>
          <w:rFonts w:ascii="Arial" w:hAnsi="Arial" w:cs="Arial"/>
        </w:rPr>
        <w:t>at</w:t>
      </w:r>
      <w:r w:rsidRPr="006E616A">
        <w:rPr>
          <w:rFonts w:ascii="Arial" w:hAnsi="Arial" w:cs="Arial"/>
        </w:rPr>
        <w:t xml:space="preserve"> wołowski</w:t>
      </w:r>
      <w:r>
        <w:rPr>
          <w:rFonts w:ascii="Arial" w:hAnsi="Arial" w:cs="Arial"/>
        </w:rPr>
        <w:t xml:space="preserve"> stwierdzono również przekroczenia wartości parametrycznej metabolitu chloridazon-desfenyl</w:t>
      </w:r>
      <w:r w:rsidRPr="006E616A">
        <w:rPr>
          <w:rFonts w:ascii="Arial" w:hAnsi="Arial" w:cs="Arial"/>
        </w:rPr>
        <w:t xml:space="preserve"> </w:t>
      </w:r>
      <w:r>
        <w:rPr>
          <w:rFonts w:ascii="Arial" w:hAnsi="Arial" w:cs="Arial"/>
        </w:rPr>
        <w:t>w</w:t>
      </w:r>
      <w:r w:rsidR="00822004">
        <w:rPr>
          <w:rFonts w:ascii="Arial" w:hAnsi="Arial" w:cs="Arial"/>
        </w:rPr>
        <w:t xml:space="preserve"> </w:t>
      </w:r>
      <w:r>
        <w:rPr>
          <w:rFonts w:ascii="Arial" w:hAnsi="Arial" w:cs="Arial"/>
        </w:rPr>
        <w:t>zakresie 0,473-1,71</w:t>
      </w:r>
      <w:r w:rsidRPr="00A33936">
        <w:rPr>
          <w:rFonts w:ascii="Arial" w:hAnsi="Arial" w:cs="Arial"/>
        </w:rPr>
        <w:t xml:space="preserve"> </w:t>
      </w:r>
      <w:r>
        <w:rPr>
          <w:rFonts w:ascii="Arial" w:hAnsi="Arial" w:cs="Arial"/>
        </w:rPr>
        <w:t>µg/l. W związku z</w:t>
      </w:r>
      <w:r w:rsidR="0005574A">
        <w:rPr>
          <w:rFonts w:ascii="Arial" w:hAnsi="Arial" w:cs="Arial"/>
        </w:rPr>
        <w:t> </w:t>
      </w:r>
      <w:r>
        <w:rPr>
          <w:rFonts w:ascii="Arial" w:hAnsi="Arial" w:cs="Arial"/>
        </w:rPr>
        <w:t xml:space="preserve">przekroczeniem dostawca wody wystąpił do terenowo właściwego państwowego powiatowego inspektora sanitarnego o  udzielenie zgody na odstępstwo od wartości parametrycznej dla metabolitu </w:t>
      </w:r>
      <w:r w:rsidRPr="006E616A">
        <w:rPr>
          <w:rFonts w:ascii="Arial" w:hAnsi="Arial" w:cs="Arial"/>
        </w:rPr>
        <w:t>chloridazon-desfenyl i sum</w:t>
      </w:r>
      <w:r>
        <w:rPr>
          <w:rFonts w:ascii="Arial" w:hAnsi="Arial" w:cs="Arial"/>
        </w:rPr>
        <w:t>y</w:t>
      </w:r>
      <w:r w:rsidRPr="006E616A">
        <w:rPr>
          <w:rFonts w:ascii="Arial" w:hAnsi="Arial" w:cs="Arial"/>
        </w:rPr>
        <w:t xml:space="preserve"> pestycydów</w:t>
      </w:r>
      <w:r>
        <w:rPr>
          <w:rFonts w:ascii="Arial" w:hAnsi="Arial" w:cs="Arial"/>
        </w:rPr>
        <w:t xml:space="preserve"> dla wodociągu zbiorowego zaopatrzenia zgodnie z §</w:t>
      </w:r>
      <w:r w:rsidR="00BE1E21">
        <w:rPr>
          <w:rFonts w:ascii="Arial" w:hAnsi="Arial" w:cs="Arial"/>
        </w:rPr>
        <w:t> </w:t>
      </w:r>
      <w:r>
        <w:rPr>
          <w:rFonts w:ascii="Arial" w:hAnsi="Arial" w:cs="Arial"/>
        </w:rPr>
        <w:t>28 rozporządzenia Ministra Zdrowia z dnia 7 grudnia 2017 r.</w:t>
      </w:r>
      <w:r w:rsidRPr="0024094D">
        <w:rPr>
          <w:rFonts w:ascii="Arial" w:hAnsi="Arial" w:cs="Arial"/>
        </w:rPr>
        <w:t xml:space="preserve"> </w:t>
      </w:r>
      <w:r w:rsidRPr="00925BCD">
        <w:rPr>
          <w:rFonts w:ascii="Arial" w:hAnsi="Arial" w:cs="Arial"/>
        </w:rPr>
        <w:t>w sprawie jakości wody przeznaczonej do spożycia przez ludzi</w:t>
      </w:r>
      <w:r>
        <w:rPr>
          <w:rFonts w:ascii="Arial" w:hAnsi="Arial" w:cs="Arial"/>
        </w:rPr>
        <w:t xml:space="preserve">. </w:t>
      </w:r>
      <w:r w:rsidRPr="00F60ECA">
        <w:rPr>
          <w:rFonts w:ascii="Arial" w:hAnsi="Arial" w:cs="Arial"/>
        </w:rPr>
        <w:t>W wyniku przeprowadzon</w:t>
      </w:r>
      <w:r>
        <w:rPr>
          <w:rFonts w:ascii="Arial" w:hAnsi="Arial" w:cs="Arial"/>
        </w:rPr>
        <w:t>ej przez terenowo właściwego państwowego powiatowego inspektora sanitarnego</w:t>
      </w:r>
      <w:r w:rsidRPr="00F60ECA">
        <w:rPr>
          <w:rFonts w:ascii="Arial" w:hAnsi="Arial" w:cs="Arial"/>
        </w:rPr>
        <w:t xml:space="preserve"> ocen</w:t>
      </w:r>
      <w:r>
        <w:rPr>
          <w:rFonts w:ascii="Arial" w:hAnsi="Arial" w:cs="Arial"/>
        </w:rPr>
        <w:t>y</w:t>
      </w:r>
      <w:r w:rsidRPr="00F60ECA">
        <w:rPr>
          <w:rFonts w:ascii="Arial" w:hAnsi="Arial" w:cs="Arial"/>
        </w:rPr>
        <w:t xml:space="preserve"> </w:t>
      </w:r>
      <w:r>
        <w:rPr>
          <w:rFonts w:ascii="Arial" w:hAnsi="Arial" w:cs="Arial"/>
        </w:rPr>
        <w:t xml:space="preserve">bezpieczeństwa zdrowotnego wody </w:t>
      </w:r>
      <w:r w:rsidRPr="002D3038">
        <w:rPr>
          <w:rFonts w:ascii="Arial" w:hAnsi="Arial" w:cs="Arial"/>
          <w:b/>
          <w:bCs/>
        </w:rPr>
        <w:t>w 2022</w:t>
      </w:r>
      <w:r w:rsidR="0005574A" w:rsidRPr="002D3038">
        <w:rPr>
          <w:rFonts w:ascii="Arial" w:hAnsi="Arial" w:cs="Arial"/>
          <w:b/>
          <w:bCs/>
        </w:rPr>
        <w:t> </w:t>
      </w:r>
      <w:r w:rsidRPr="002D3038">
        <w:rPr>
          <w:rFonts w:ascii="Arial" w:hAnsi="Arial" w:cs="Arial"/>
          <w:b/>
          <w:bCs/>
        </w:rPr>
        <w:t>r.</w:t>
      </w:r>
      <w:r>
        <w:rPr>
          <w:rFonts w:ascii="Arial" w:hAnsi="Arial" w:cs="Arial"/>
        </w:rPr>
        <w:t xml:space="preserve"> </w:t>
      </w:r>
      <w:r w:rsidRPr="00F60ECA">
        <w:rPr>
          <w:rFonts w:ascii="Arial" w:hAnsi="Arial" w:cs="Arial"/>
        </w:rPr>
        <w:t>wyda</w:t>
      </w:r>
      <w:r>
        <w:rPr>
          <w:rFonts w:ascii="Arial" w:hAnsi="Arial" w:cs="Arial"/>
        </w:rPr>
        <w:t>na została</w:t>
      </w:r>
      <w:r w:rsidRPr="00F60ECA">
        <w:rPr>
          <w:rFonts w:ascii="Arial" w:hAnsi="Arial" w:cs="Arial"/>
        </w:rPr>
        <w:t xml:space="preserve"> decyzj</w:t>
      </w:r>
      <w:r>
        <w:rPr>
          <w:rFonts w:ascii="Arial" w:hAnsi="Arial" w:cs="Arial"/>
        </w:rPr>
        <w:t>a</w:t>
      </w:r>
      <w:r w:rsidRPr="00F60ECA">
        <w:rPr>
          <w:rFonts w:ascii="Arial" w:hAnsi="Arial" w:cs="Arial"/>
        </w:rPr>
        <w:t xml:space="preserve"> wyrażając</w:t>
      </w:r>
      <w:r>
        <w:rPr>
          <w:rFonts w:ascii="Arial" w:hAnsi="Arial" w:cs="Arial"/>
        </w:rPr>
        <w:t>a</w:t>
      </w:r>
      <w:r w:rsidRPr="00F60ECA">
        <w:rPr>
          <w:rFonts w:ascii="Arial" w:hAnsi="Arial" w:cs="Arial"/>
        </w:rPr>
        <w:t xml:space="preserve"> zgodę na odstępstwo</w:t>
      </w:r>
      <w:r>
        <w:rPr>
          <w:rFonts w:ascii="Arial" w:hAnsi="Arial" w:cs="Arial"/>
        </w:rPr>
        <w:t xml:space="preserve"> od </w:t>
      </w:r>
      <w:r w:rsidRPr="00F60ECA">
        <w:rPr>
          <w:rFonts w:ascii="Arial" w:hAnsi="Arial" w:cs="Arial"/>
        </w:rPr>
        <w:t xml:space="preserve">wartości parametrycznych dla </w:t>
      </w:r>
      <w:r>
        <w:rPr>
          <w:rFonts w:ascii="Arial" w:hAnsi="Arial" w:cs="Arial"/>
        </w:rPr>
        <w:t>parametru</w:t>
      </w:r>
      <w:r w:rsidRPr="00F60ECA">
        <w:rPr>
          <w:rFonts w:ascii="Arial" w:hAnsi="Arial" w:cs="Arial"/>
        </w:rPr>
        <w:t xml:space="preserve"> chloridazon-desfenyl oraz w zakresie zawartości sumy pestycydów</w:t>
      </w:r>
      <w:r>
        <w:rPr>
          <w:rFonts w:ascii="Arial" w:hAnsi="Arial" w:cs="Arial"/>
        </w:rPr>
        <w:t xml:space="preserve"> w terminie do kwietnia 2025</w:t>
      </w:r>
      <w:r w:rsidR="00822004">
        <w:rPr>
          <w:rFonts w:ascii="Arial" w:hAnsi="Arial" w:cs="Arial"/>
        </w:rPr>
        <w:t> </w:t>
      </w:r>
      <w:r>
        <w:rPr>
          <w:rFonts w:ascii="Arial" w:hAnsi="Arial" w:cs="Arial"/>
        </w:rPr>
        <w:t>r.</w:t>
      </w:r>
      <w:r w:rsidRPr="00654EE4">
        <w:rPr>
          <w:rFonts w:ascii="Arial" w:hAnsi="Arial" w:cs="Arial"/>
        </w:rPr>
        <w:t xml:space="preserve"> </w:t>
      </w:r>
      <w:r>
        <w:rPr>
          <w:rFonts w:ascii="Arial" w:hAnsi="Arial" w:cs="Arial"/>
        </w:rPr>
        <w:t>W</w:t>
      </w:r>
      <w:r w:rsidR="0005574A">
        <w:rPr>
          <w:rFonts w:ascii="Arial" w:hAnsi="Arial" w:cs="Arial"/>
        </w:rPr>
        <w:t> </w:t>
      </w:r>
      <w:r>
        <w:rPr>
          <w:rFonts w:ascii="Arial" w:hAnsi="Arial" w:cs="Arial"/>
        </w:rPr>
        <w:t xml:space="preserve">decyzji określona została m.in. </w:t>
      </w:r>
      <w:r w:rsidRPr="00F60ECA">
        <w:rPr>
          <w:rFonts w:ascii="Arial" w:hAnsi="Arial" w:cs="Arial"/>
        </w:rPr>
        <w:t>maksymaln</w:t>
      </w:r>
      <w:r>
        <w:rPr>
          <w:rFonts w:ascii="Arial" w:hAnsi="Arial" w:cs="Arial"/>
        </w:rPr>
        <w:t>a</w:t>
      </w:r>
      <w:r w:rsidRPr="00F60ECA">
        <w:rPr>
          <w:rFonts w:ascii="Arial" w:hAnsi="Arial" w:cs="Arial"/>
        </w:rPr>
        <w:t xml:space="preserve"> wartość parametru, na jaką pozwala odstępstwo, termin obowiązywania zgody </w:t>
      </w:r>
      <w:r>
        <w:rPr>
          <w:rFonts w:ascii="Arial" w:hAnsi="Arial" w:cs="Arial"/>
        </w:rPr>
        <w:t xml:space="preserve">oraz </w:t>
      </w:r>
      <w:r w:rsidRPr="00F60ECA">
        <w:rPr>
          <w:rFonts w:ascii="Arial" w:hAnsi="Arial" w:cs="Arial"/>
        </w:rPr>
        <w:t>warunki, jakie mają być spełnione w trakcie obowiązywania zgody na odstępstwo, z uwzględnieniem bezpieczeństwa zdrowotnego konsumentów.</w:t>
      </w:r>
      <w:r>
        <w:rPr>
          <w:rFonts w:ascii="Arial" w:hAnsi="Arial" w:cs="Arial"/>
        </w:rPr>
        <w:t xml:space="preserve"> Maksymalna oznaczona wartość w latach 2021-2022 chloridazonu-desfenylu w wodzie produkowanej przez wodociąg wynosiła 1,71 µg/l (najwyższe dopuszczalne stężenie określone w decyzji wynosi 2 µg/l). </w:t>
      </w:r>
    </w:p>
    <w:p w14:paraId="1CAA647C" w14:textId="77777777" w:rsidR="00056846" w:rsidRPr="00925BCD" w:rsidRDefault="00E54725">
      <w:pPr>
        <w:pStyle w:val="Nagwek2"/>
        <w:jc w:val="both"/>
        <w:rPr>
          <w:i w:val="0"/>
          <w:sz w:val="20"/>
          <w:szCs w:val="20"/>
        </w:rPr>
      </w:pPr>
      <w:bookmarkStart w:id="45" w:name="_Toc161744879"/>
      <w:r w:rsidRPr="00925BCD">
        <w:rPr>
          <w:i w:val="0"/>
          <w:sz w:val="20"/>
          <w:szCs w:val="20"/>
        </w:rPr>
        <w:t>Zadanie 3. Badanie wpływu chemicznej ochrony roślin na stan wód powierzchniowych</w:t>
      </w:r>
      <w:bookmarkEnd w:id="45"/>
      <w:r w:rsidRPr="00925BCD">
        <w:rPr>
          <w:i w:val="0"/>
          <w:sz w:val="20"/>
          <w:szCs w:val="20"/>
        </w:rPr>
        <w:t xml:space="preserve"> </w:t>
      </w:r>
    </w:p>
    <w:p w14:paraId="4FDDB014" w14:textId="506D7388"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Państwowy monitoring wód powierzchniowych, podziemnych i osadów dennych koncentruje się na zbieraniu danych o stanie jednolitych części wód powierzchniowych w celu wydawania wieloaspektowych i kompleksowych ocen między innymi na potrzeby wypełnienia celów planistycznych w gospodarowaniu wodami. Monitoring ten, ze względu na ograniczone spektrum badanych substancji wynikające z uwarunkowań prawnych, nie obejmuje stosowanych </w:t>
      </w:r>
      <w:r w:rsidR="006763DD">
        <w:rPr>
          <w:rFonts w:ascii="Arial" w:hAnsi="Arial" w:cs="Arial"/>
        </w:rPr>
        <w:t xml:space="preserve">obecnie </w:t>
      </w:r>
      <w:r w:rsidRPr="00925BCD">
        <w:rPr>
          <w:rFonts w:ascii="Arial" w:hAnsi="Arial" w:cs="Arial"/>
        </w:rPr>
        <w:t xml:space="preserve">środków ochrony roślin. </w:t>
      </w:r>
    </w:p>
    <w:p w14:paraId="06B8D09A"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 tego powodu monitoring ten został uzupełniany przez monitoring obejmujący jak największą liczbę substancji czynnych, występujących obecnie w środkach ochrony roślin. </w:t>
      </w:r>
    </w:p>
    <w:p w14:paraId="7B27558B" w14:textId="403EEAF1"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prowadzony był w ramach programów wieloletnich monitoring pozostałości środków ochrony roślin w wodach powierzchniowych przez Instytut Ochrony Roślin – PIB oraz Instytut Ogrodnictwa </w:t>
      </w:r>
      <w:r w:rsidR="0046312A" w:rsidRPr="00925BCD">
        <w:rPr>
          <w:rFonts w:ascii="Arial" w:hAnsi="Arial" w:cs="Arial"/>
        </w:rPr>
        <w:t xml:space="preserve">– </w:t>
      </w:r>
      <w:r w:rsidR="0046312A">
        <w:rPr>
          <w:rFonts w:ascii="Arial" w:hAnsi="Arial" w:cs="Arial"/>
        </w:rPr>
        <w:t xml:space="preserve">PIB </w:t>
      </w:r>
      <w:r w:rsidRPr="00925BCD">
        <w:rPr>
          <w:rFonts w:ascii="Arial" w:hAnsi="Arial" w:cs="Arial"/>
        </w:rPr>
        <w:t>we współpracy z wojewódzkimi inspektoratami ochrony środowiska.</w:t>
      </w:r>
    </w:p>
    <w:p w14:paraId="2F09BF24" w14:textId="77777777"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bookmarkStart w:id="46" w:name="_Toc3465052"/>
      <w:bookmarkStart w:id="47" w:name="_Toc3465051"/>
      <w:r w:rsidRPr="00925BCD">
        <w:rPr>
          <w:rFonts w:ascii="Arial" w:hAnsi="Arial" w:cs="Arial"/>
          <w:b/>
          <w:bCs/>
          <w:i/>
        </w:rPr>
        <w:t>Badania prowadzone w ramach programu wieloletniego Instytutu Ochrony Roślin – PIB pn. Ochrona roślin uprawnych z uwzględnieniem bezpieczeństwa żywności oraz ograniczenia strat w plonach i zagrożeń dla zdrowia ludzi, zwierząt domowych i środowiska”.</w:t>
      </w:r>
      <w:bookmarkEnd w:id="46"/>
      <w:r w:rsidRPr="00925BCD">
        <w:rPr>
          <w:rFonts w:ascii="Arial" w:hAnsi="Arial" w:cs="Arial"/>
          <w:b/>
          <w:bCs/>
          <w:i/>
        </w:rPr>
        <w:t xml:space="preserve">  </w:t>
      </w:r>
    </w:p>
    <w:p w14:paraId="23F6957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badano pozostałości środków ochrony roślin w próbkach wód powierzchniowych pobieranych w trzech punktach pomiarowo-kontrolnych (ppk) zlokalizowanych na rzece Warcie oraz w próbkach z rzek wchodzących w skład jej zlewni. Na rzece Warcie wyznaczono następujące ppk, licząc z biegiem rzeki, lokalizacje w Biechowach, Kawczach i Mściszewie. W przypadku zlewni Warty wytypowano siedem ppk tj. lewobrzeżne dopływy Warty: Prosna, Lutynia i Mogielnica, prawobrzeżne </w:t>
      </w:r>
      <w:r w:rsidRPr="00925BCD">
        <w:rPr>
          <w:rFonts w:ascii="Arial" w:hAnsi="Arial" w:cs="Arial"/>
        </w:rPr>
        <w:lastRenderedPageBreak/>
        <w:t xml:space="preserve">dopływy Warty: Moskawa i Trojanka oraz dopływ Noteci – Gwda i dopływ Obry – Dojca. </w:t>
      </w:r>
    </w:p>
    <w:p w14:paraId="45D15B83" w14:textId="77777777" w:rsidR="00056846" w:rsidRPr="00925BCD" w:rsidRDefault="00E54725">
      <w:pPr>
        <w:pStyle w:val="NormalnyWeb"/>
        <w:tabs>
          <w:tab w:val="left" w:pos="284"/>
        </w:tabs>
        <w:spacing w:before="280" w:after="120"/>
        <w:ind w:firstLine="284"/>
        <w:jc w:val="center"/>
        <w:rPr>
          <w:rFonts w:ascii="Arial" w:hAnsi="Arial" w:cs="Arial"/>
        </w:rPr>
      </w:pPr>
      <w:r w:rsidRPr="00925BCD">
        <w:rPr>
          <w:noProof/>
        </w:rPr>
        <w:drawing>
          <wp:inline distT="0" distB="0" distL="0" distR="0" wp14:anchorId="1B62392E" wp14:editId="0BEF66D3">
            <wp:extent cx="2745428" cy="2592126"/>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6"/>
                    <pic:cNvPicPr>
                      <a:picLocks noChangeAspect="1" noChangeArrowheads="1"/>
                    </pic:cNvPicPr>
                  </pic:nvPicPr>
                  <pic:blipFill>
                    <a:blip r:embed="rId12"/>
                    <a:stretch>
                      <a:fillRect/>
                    </a:stretch>
                  </pic:blipFill>
                  <pic:spPr bwMode="auto">
                    <a:xfrm>
                      <a:off x="0" y="0"/>
                      <a:ext cx="2779335" cy="2624140"/>
                    </a:xfrm>
                    <a:prstGeom prst="rect">
                      <a:avLst/>
                    </a:prstGeom>
                  </pic:spPr>
                </pic:pic>
              </a:graphicData>
            </a:graphic>
          </wp:inline>
        </w:drawing>
      </w:r>
    </w:p>
    <w:p w14:paraId="0BB0838A" w14:textId="3B697BA4"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na obecność pozostałości środków ochrony roślin przebadano łącznie 91 próbek wód, w tym 85 próbek wód powierzchniowych pobranych z wielkopolskich rzek oraz 6 próbek wód podziemnych.</w:t>
      </w:r>
    </w:p>
    <w:p w14:paraId="0DB2FB89"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Próbki wód do badań pozostałości środków ochrony roślin z wszystkich wyznaczonych punktów pomiarowo-kontrolnych pobierano raz w miesiącu, od kwietnia do listopada (w niektórych ppk do grudnia). Ogółem wykryto 42 substancje z 139 poszukiwanych, w tym 17 herbicydów, 14 fungicydów, 9 insektycydów, 1 regulator wzrostu roślin i 1 metabolit. Maksymalna liczba substancji wykryta w pojedynczej próbce została odnotowana dla rzeki Lutyni w maju i było ich w sumie 26. W odniesieniu do rozporządzenia Ministra Zdrowia z dnia 7 grudnia 2017 r. w sprawie jakości wody przeznaczonej do spożycia przez ludzi (Dz.U. poz. 2294), dwudziestosześciokrotnie wykryto pozostałości środków ochrony roślin powyżej dopuszczalnej wartości 0,1 µg/L dla pojedynczego związku, lecz dotyczyły one 8 próbek wód pobranych z dopływów oraz jednej z rzeki Warty. W przypadku 4 próbek (1×Lutynia, 1×Moskawa, 1×Mogielnica i 1×Warta) suma wszystkich pozostałości znalezionych w pojedynczej próbce była wyższa od dopuszczalnej wynoszącej 0,5 µg/L. W pozostałych przypadkach wody rzeki Warty oraz zlewni pozostałych rzek spełniały bardzo rygorystyczne wymagania dla wody pitnej w zakresie pozostałości środków ochrony roślin. Zestawiając wyniki badań w odniesieniu do rozporządzenia Ministra Środowiska z dnia 27 listopada 2002 r. w sprawie wymagań, jakim powinny odpowiadać wody powierzchniowe wykorzystywane do zaopatrzenia ludności w wodę przeznaczoną do spożycia (Dz. U. poz. 1728) zaledwie 3 próbki z wszystkich pobranych nie mieściły się w najwyższej klasie A1 dla wód surowych zdatnych do uzdatnienia dla celów gospodarczych, co oznacza, że 96,5 % przeanalizowanych próbek wielkopolskich wód spełniało wymagania klasy A1. W żadnej z próbek wód podziemnych nie znaleziono pozostałości środków ochrony roślin powyżej dolnej granicy oznaczalności.</w:t>
      </w:r>
    </w:p>
    <w:p w14:paraId="2668654D" w14:textId="77777777" w:rsidR="00056846" w:rsidRPr="00925BCD" w:rsidRDefault="00AA0BA3"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Uchwałą nr 155/2018 Rady Ministrów z dnia 16 października 2018 r. zmieniającą uchwałę w sprawie ustanowienia programu wieloletniego pod nazwą „Ochrona roślin uprawnych z</w:t>
      </w:r>
      <w:r w:rsidR="009C7B7A" w:rsidRPr="00925BCD">
        <w:rPr>
          <w:rFonts w:ascii="Arial" w:hAnsi="Arial" w:cs="Arial"/>
        </w:rPr>
        <w:t> </w:t>
      </w:r>
      <w:r w:rsidRPr="00925BCD">
        <w:rPr>
          <w:rFonts w:ascii="Arial" w:hAnsi="Arial" w:cs="Arial"/>
        </w:rPr>
        <w:t xml:space="preserve">uwzględnieniem bezpieczeństwa żywności oraz ograniczenia strat w plonach i zagrożeń dla zdrowia </w:t>
      </w:r>
      <w:r w:rsidRPr="00925BCD">
        <w:rPr>
          <w:rFonts w:ascii="Arial" w:hAnsi="Arial" w:cs="Arial"/>
        </w:rPr>
        <w:lastRenderedPageBreak/>
        <w:t>ludzi, zwierząt domowych i środowiska” zwiększono od 2019 r., do 450 liczbę próbek pobieranych do analiz w ramach monitoringu wód.</w:t>
      </w:r>
    </w:p>
    <w:p w14:paraId="0E030D19"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b/>
          <w:sz w:val="20"/>
          <w:szCs w:val="20"/>
        </w:rPr>
        <w:t>W 2019 r.</w:t>
      </w:r>
      <w:r w:rsidRPr="00A533BA">
        <w:rPr>
          <w:rFonts w:ascii="Arial" w:hAnsi="Arial" w:cs="Arial"/>
          <w:sz w:val="20"/>
          <w:szCs w:val="20"/>
        </w:rPr>
        <w:t xml:space="preserve"> badaniami na obecność pozostałości środków ochrony roślin w wodach powierzchniowych i podziemnych został objęty cały obszar Polski. We współpracy z Głównym Inspektoratem Ochrony Środowiska oraz wojewódzkimi inspektoratami ochrony środowiska, wytypowano w 13 województwach tj. dolnośląskim, kujawsko-pomorskim, lubelskim, lubuskim, małopolskim, opolskim, podkarpackim, podlaskim, pomorskim, śląskim, świętokrzyskim, warmińsko-mazurskim i zachodnio-pomorskim po 5</w:t>
      </w:r>
      <w:r w:rsidR="009C7B7A" w:rsidRPr="00A533BA">
        <w:rPr>
          <w:rFonts w:ascii="Arial" w:hAnsi="Arial" w:cs="Arial"/>
          <w:sz w:val="20"/>
          <w:szCs w:val="20"/>
        </w:rPr>
        <w:t> </w:t>
      </w:r>
      <w:r w:rsidRPr="00A533BA">
        <w:rPr>
          <w:rFonts w:ascii="Arial" w:hAnsi="Arial" w:cs="Arial"/>
          <w:sz w:val="20"/>
          <w:szCs w:val="20"/>
        </w:rPr>
        <w:t>punktów pomiarowo-kontrolnych (ppk) zlokalizowanych w zlewniach rzek na obszarze tych województw, z których w jednomiesięcznych odstępach czasu, od maja do października, pobierano próbki do badań. W województwie wielkopolskim wybrano 11 ppk, z czego część z nich była objęta kontynuacją badań z lat ubiegłych (5 ppk) i uzupełniono je punktami dodatkowymi (6 ppk). Łącznie do badań monitoringowych wód powierzchniowych wytypowano 76 ppk z terenu całej Polski.</w:t>
      </w:r>
    </w:p>
    <w:p w14:paraId="261A2E8F" w14:textId="77777777" w:rsidR="00000CDD" w:rsidRPr="00A533BA" w:rsidRDefault="00000CDD" w:rsidP="009C7B7A">
      <w:pPr>
        <w:tabs>
          <w:tab w:val="left" w:pos="284"/>
        </w:tabs>
        <w:suppressAutoHyphens/>
        <w:autoSpaceDN w:val="0"/>
        <w:spacing w:after="120" w:line="360" w:lineRule="auto"/>
        <w:ind w:firstLine="284"/>
        <w:jc w:val="both"/>
        <w:textAlignment w:val="baseline"/>
        <w:rPr>
          <w:rFonts w:ascii="Arial" w:hAnsi="Arial" w:cs="Arial"/>
          <w:sz w:val="20"/>
          <w:szCs w:val="20"/>
        </w:rPr>
      </w:pPr>
      <w:r w:rsidRPr="00A533BA">
        <w:rPr>
          <w:rFonts w:ascii="Arial" w:hAnsi="Arial" w:cs="Arial"/>
          <w:sz w:val="20"/>
          <w:szCs w:val="20"/>
        </w:rPr>
        <w:t>W 2019 r. przebadano 452 próbki wód powierzchniowych oraz 9 próbek wód podziemnych. Ogółem wykryto 71 substancji z 270 poszukiwanych, w tym 31 herbicydów, 26 fungicydów, 12 insektycydów i</w:t>
      </w:r>
      <w:r w:rsidR="009C7B7A" w:rsidRPr="00A533BA">
        <w:rPr>
          <w:rFonts w:ascii="Arial" w:hAnsi="Arial" w:cs="Arial"/>
          <w:sz w:val="20"/>
          <w:szCs w:val="20"/>
        </w:rPr>
        <w:t> </w:t>
      </w:r>
      <w:r w:rsidRPr="00A533BA">
        <w:rPr>
          <w:rFonts w:ascii="Arial" w:hAnsi="Arial" w:cs="Arial"/>
          <w:sz w:val="20"/>
          <w:szCs w:val="20"/>
        </w:rPr>
        <w:t>2</w:t>
      </w:r>
      <w:r w:rsidR="009C7B7A" w:rsidRPr="00A533BA">
        <w:rPr>
          <w:rFonts w:ascii="Arial" w:hAnsi="Arial" w:cs="Arial"/>
          <w:sz w:val="20"/>
          <w:szCs w:val="20"/>
        </w:rPr>
        <w:t> </w:t>
      </w:r>
      <w:r w:rsidRPr="00A533BA">
        <w:rPr>
          <w:rFonts w:ascii="Arial" w:hAnsi="Arial" w:cs="Arial"/>
          <w:sz w:val="20"/>
          <w:szCs w:val="20"/>
        </w:rPr>
        <w:t>metabolity.</w:t>
      </w:r>
    </w:p>
    <w:p w14:paraId="5578D972" w14:textId="77777777" w:rsidR="00000CDD" w:rsidRPr="00925BCD" w:rsidRDefault="00000CDD" w:rsidP="009C7B7A">
      <w:pPr>
        <w:tabs>
          <w:tab w:val="left" w:pos="284"/>
        </w:tabs>
        <w:suppressAutoHyphens/>
        <w:autoSpaceDN w:val="0"/>
        <w:spacing w:before="120" w:after="120" w:line="360" w:lineRule="auto"/>
        <w:ind w:firstLine="284"/>
        <w:jc w:val="center"/>
        <w:textAlignment w:val="baseline"/>
      </w:pPr>
      <w:r w:rsidRPr="00925BCD">
        <w:rPr>
          <w:noProof/>
          <w:lang w:eastAsia="pl-PL"/>
        </w:rPr>
        <w:drawing>
          <wp:inline distT="0" distB="0" distL="0" distR="0" wp14:anchorId="6571968C" wp14:editId="51A960DC">
            <wp:extent cx="4635611" cy="312368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stretch>
                      <a:fillRect/>
                    </a:stretch>
                  </pic:blipFill>
                  <pic:spPr bwMode="auto">
                    <a:xfrm>
                      <a:off x="0" y="0"/>
                      <a:ext cx="4646501" cy="3131019"/>
                    </a:xfrm>
                    <a:prstGeom prst="rect">
                      <a:avLst/>
                    </a:prstGeom>
                  </pic:spPr>
                </pic:pic>
              </a:graphicData>
            </a:graphic>
          </wp:inline>
        </w:drawing>
      </w:r>
    </w:p>
    <w:p w14:paraId="183ADEC8" w14:textId="77777777" w:rsidR="00000CDD" w:rsidRPr="00925BCD" w:rsidRDefault="00000CDD" w:rsidP="00000CDD">
      <w:pPr>
        <w:tabs>
          <w:tab w:val="left" w:pos="284"/>
        </w:tabs>
        <w:suppressAutoHyphens/>
        <w:autoSpaceDN w:val="0"/>
        <w:spacing w:before="120" w:after="120" w:line="360" w:lineRule="auto"/>
        <w:ind w:firstLine="284"/>
        <w:jc w:val="center"/>
        <w:textAlignment w:val="baseline"/>
      </w:pPr>
      <w:r w:rsidRPr="00925BCD">
        <w:rPr>
          <w:rFonts w:ascii="Arial" w:hAnsi="Arial" w:cs="Arial"/>
          <w:i/>
          <w:iCs/>
          <w:sz w:val="18"/>
          <w:szCs w:val="18"/>
        </w:rPr>
        <w:t>Lokalizacja punktów pomiarowo-kontrolnych w 2019 r. na mapie Polski</w:t>
      </w:r>
    </w:p>
    <w:p w14:paraId="25815581"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Maksymalna liczba substancji wykryta w 2019 r. w pojedynczej próbce została odnotowana dla rzeki Mogielnicy ppk Wojnowice, woj. wielkopolskie w maju i było ich 20 na łączną sumę stężeń 11,628 µg/L. Spośród dużych rzek najwięcej substancji czynnych oznaczono w Wiśle ppk Jankowice w sierpniu, woj. małopolskie – 16 związków, w tym 7 w stężeniu powyżej 0,1 µg/L, a suma wszystkich wykrytych pozostałości w tej próbce wyniosła 2,077 µg/L. Należy zaznaczyć, że w 2019 r. zaobserwowano stosunkowo wysokie poziomy pozostałości pestycydów we wszystkich największych rzekach Polski.</w:t>
      </w:r>
    </w:p>
    <w:p w14:paraId="6DBA0E34" w14:textId="3C78E594"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 xml:space="preserve">W odniesieniu do Rozporządzenia Ministra Zdrowia z dnia 7 grudnia 2017 r. w sprawie jakości wody przeznaczonej do spożycia przez ludzi (Dz. U. poz. 2294) 185 oznaczeń pojedynczej substancji </w:t>
      </w:r>
      <w:r w:rsidRPr="00A533BA">
        <w:rPr>
          <w:rFonts w:ascii="Arial" w:hAnsi="Arial" w:cs="Arial"/>
          <w:sz w:val="20"/>
          <w:szCs w:val="20"/>
        </w:rPr>
        <w:lastRenderedPageBreak/>
        <w:t>z</w:t>
      </w:r>
      <w:r w:rsidR="009C7B7A" w:rsidRPr="00A533BA">
        <w:rPr>
          <w:rFonts w:ascii="Arial" w:hAnsi="Arial" w:cs="Arial"/>
          <w:sz w:val="20"/>
          <w:szCs w:val="20"/>
        </w:rPr>
        <w:t> </w:t>
      </w:r>
      <w:r w:rsidRPr="00A533BA">
        <w:rPr>
          <w:rFonts w:ascii="Arial" w:hAnsi="Arial" w:cs="Arial"/>
          <w:sz w:val="20"/>
          <w:szCs w:val="20"/>
        </w:rPr>
        <w:t>wszystkich 768 potwierdzonych oznaczeń tj. 24,1% przekraczało graniczną wartość 0,1 µg/L. Natomiast w przypadku drugiej części wymagań dotyczących sumy wszystkich wykrytych substancji w</w:t>
      </w:r>
      <w:r w:rsidR="009C7B7A" w:rsidRPr="00A533BA">
        <w:rPr>
          <w:rFonts w:ascii="Arial" w:hAnsi="Arial" w:cs="Arial"/>
          <w:sz w:val="20"/>
          <w:szCs w:val="20"/>
        </w:rPr>
        <w:t> </w:t>
      </w:r>
      <w:r w:rsidRPr="00A533BA">
        <w:rPr>
          <w:rFonts w:ascii="Arial" w:hAnsi="Arial" w:cs="Arial"/>
          <w:sz w:val="20"/>
          <w:szCs w:val="20"/>
        </w:rPr>
        <w:t xml:space="preserve">pojedynczej próbce wody 38 próbek wód z pozyskanych 452 czyli 8,4% wszystkich było wyższe od dopuszczalnej wynoszącej 0,5 µg/L. Ze względu na bardzo małe opady w różnych rejonach kraju i brak przepływu w ciekach, w niektórych terminach, niemożliwe było pozyskanie próbek do badań. Najmniej substancji czynnych środków ochrony roślin </w:t>
      </w:r>
      <w:r w:rsidR="0018569E" w:rsidRPr="00A533BA">
        <w:rPr>
          <w:rFonts w:ascii="Arial" w:hAnsi="Arial" w:cs="Arial"/>
          <w:sz w:val="20"/>
          <w:szCs w:val="20"/>
        </w:rPr>
        <w:t xml:space="preserve">stwierdzono </w:t>
      </w:r>
      <w:r w:rsidRPr="00A533BA">
        <w:rPr>
          <w:rFonts w:ascii="Arial" w:hAnsi="Arial" w:cs="Arial"/>
          <w:sz w:val="20"/>
          <w:szCs w:val="20"/>
        </w:rPr>
        <w:t xml:space="preserve">w </w:t>
      </w:r>
      <w:r w:rsidR="0018569E" w:rsidRPr="00A533BA">
        <w:rPr>
          <w:rFonts w:ascii="Arial" w:hAnsi="Arial" w:cs="Arial"/>
          <w:sz w:val="20"/>
          <w:szCs w:val="20"/>
        </w:rPr>
        <w:t xml:space="preserve">wyniku </w:t>
      </w:r>
      <w:r w:rsidRPr="00A533BA">
        <w:rPr>
          <w:rFonts w:ascii="Arial" w:hAnsi="Arial" w:cs="Arial"/>
          <w:sz w:val="20"/>
          <w:szCs w:val="20"/>
        </w:rPr>
        <w:t>analiz próbek wód z woj. pomorskiego, następnie lubuskiego i lubelskiego, z kolei najwięcej różnych substancji czynnych wykryto w</w:t>
      </w:r>
      <w:r w:rsidR="009C7B7A" w:rsidRPr="00A533BA">
        <w:rPr>
          <w:rFonts w:ascii="Arial" w:hAnsi="Arial" w:cs="Arial"/>
          <w:sz w:val="20"/>
          <w:szCs w:val="20"/>
        </w:rPr>
        <w:t> </w:t>
      </w:r>
      <w:r w:rsidRPr="00A533BA">
        <w:rPr>
          <w:rFonts w:ascii="Arial" w:hAnsi="Arial" w:cs="Arial"/>
          <w:sz w:val="20"/>
          <w:szCs w:val="20"/>
        </w:rPr>
        <w:t>wytypowanych do badań zlewniach rzek województw wielkopolskiego, dolnośląskiego i</w:t>
      </w:r>
      <w:r w:rsidR="009C7B7A" w:rsidRPr="00A533BA">
        <w:rPr>
          <w:rFonts w:ascii="Arial" w:hAnsi="Arial" w:cs="Arial"/>
          <w:sz w:val="20"/>
          <w:szCs w:val="20"/>
        </w:rPr>
        <w:t> </w:t>
      </w:r>
      <w:r w:rsidRPr="00A533BA">
        <w:rPr>
          <w:rFonts w:ascii="Arial" w:hAnsi="Arial" w:cs="Arial"/>
          <w:sz w:val="20"/>
          <w:szCs w:val="20"/>
        </w:rPr>
        <w:t>małopolskiego. W trzech punktach pomiarowo-kontrolnych tj. rzeka Wieprz ppk Dworzyska województwo lubelskie, rzeka Biała Przemsza ppk Klucze województwo małopolskie oraz w rzece Czadeczce ppk Istebna Jaworzynka województwo śląskie w żadnym z terminów poboru próbek nie wykryto pozostałości poszukiwanych środków ochrony roślin na poziomie wyższym od dolnej granicy oznaczalności. W żadnej z próbek wód podziemnych nie znaleziono pozostałości środków ochrony roślin powyżej dolnej granicy oznaczalności.</w:t>
      </w:r>
    </w:p>
    <w:p w14:paraId="4D956966" w14:textId="7C77B3FC" w:rsidR="00E760CA" w:rsidRDefault="00000CDD" w:rsidP="009C7B7A">
      <w:pPr>
        <w:tabs>
          <w:tab w:val="left" w:pos="284"/>
        </w:tabs>
        <w:suppressAutoHyphens/>
        <w:autoSpaceDN w:val="0"/>
        <w:spacing w:after="120" w:line="360" w:lineRule="auto"/>
        <w:ind w:firstLine="284"/>
        <w:jc w:val="both"/>
        <w:textAlignment w:val="baseline"/>
        <w:rPr>
          <w:rFonts w:ascii="Arial" w:hAnsi="Arial" w:cs="Arial"/>
        </w:rPr>
      </w:pPr>
      <w:r w:rsidRPr="00A533BA">
        <w:rPr>
          <w:rFonts w:ascii="Arial" w:hAnsi="Arial" w:cs="Arial"/>
          <w:sz w:val="20"/>
          <w:szCs w:val="20"/>
        </w:rPr>
        <w:t xml:space="preserve">Zestawiając wyniki badań w odniesieniu do rozporządzenia </w:t>
      </w:r>
      <w:bookmarkStart w:id="48" w:name="_Hlk93308603"/>
      <w:r w:rsidRPr="00A533BA">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 U. poz. 1747)</w:t>
      </w:r>
      <w:bookmarkEnd w:id="48"/>
      <w:r w:rsidRPr="00A533BA">
        <w:rPr>
          <w:rFonts w:ascii="Arial" w:hAnsi="Arial" w:cs="Arial"/>
          <w:sz w:val="20"/>
          <w:szCs w:val="20"/>
        </w:rPr>
        <w:t xml:space="preserve"> 429 próbek (94,9% wszystkich) spełniało wymagania dla najwyższej kategorii czystości wód powierzchniowych, 17 próbek (3,8%) klasyfikowało się w kategorii A2, 2 próbki (0,4%) w</w:t>
      </w:r>
      <w:r w:rsidR="00F64BB0">
        <w:rPr>
          <w:rFonts w:ascii="Arial" w:hAnsi="Arial" w:cs="Arial"/>
          <w:sz w:val="20"/>
          <w:szCs w:val="20"/>
        </w:rPr>
        <w:t> </w:t>
      </w:r>
      <w:r w:rsidRPr="00A533BA">
        <w:rPr>
          <w:rFonts w:ascii="Arial" w:hAnsi="Arial" w:cs="Arial"/>
          <w:sz w:val="20"/>
          <w:szCs w:val="20"/>
        </w:rPr>
        <w:t>kategorii A3 oraz 4 próbki (0,9%) wykraczało poza wymagania kwalifikacji (suma pozostałości powyżej 5 µg/L).</w:t>
      </w:r>
    </w:p>
    <w:p w14:paraId="644980A3" w14:textId="1FF10ECF"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AD3D8F">
        <w:rPr>
          <w:rFonts w:ascii="Arial" w:hAnsi="Arial" w:cs="Arial"/>
          <w:b/>
          <w:bCs/>
          <w:sz w:val="20"/>
          <w:szCs w:val="20"/>
        </w:rPr>
        <w:t>W 2020 r</w:t>
      </w:r>
      <w:r w:rsidR="00A533BA" w:rsidRPr="00AD3D8F">
        <w:rPr>
          <w:rFonts w:ascii="Arial" w:hAnsi="Arial" w:cs="Arial"/>
          <w:b/>
          <w:bCs/>
          <w:sz w:val="20"/>
          <w:szCs w:val="20"/>
        </w:rPr>
        <w:t>.</w:t>
      </w:r>
      <w:r w:rsidR="00A533BA">
        <w:rPr>
          <w:rFonts w:ascii="Arial" w:hAnsi="Arial" w:cs="Arial"/>
          <w:sz w:val="20"/>
          <w:szCs w:val="20"/>
        </w:rPr>
        <w:t xml:space="preserve"> kontynuowan</w:t>
      </w:r>
      <w:r w:rsidR="00BF6133">
        <w:rPr>
          <w:rFonts w:ascii="Arial" w:hAnsi="Arial" w:cs="Arial"/>
          <w:sz w:val="20"/>
          <w:szCs w:val="20"/>
        </w:rPr>
        <w:t>o</w:t>
      </w:r>
      <w:r w:rsidR="00A533BA">
        <w:rPr>
          <w:rFonts w:ascii="Arial" w:hAnsi="Arial" w:cs="Arial"/>
          <w:sz w:val="20"/>
          <w:szCs w:val="20"/>
        </w:rPr>
        <w:t xml:space="preserve"> bad</w:t>
      </w:r>
      <w:r w:rsidR="00AD3D8F">
        <w:rPr>
          <w:rFonts w:ascii="Arial" w:hAnsi="Arial" w:cs="Arial"/>
          <w:sz w:val="20"/>
          <w:szCs w:val="20"/>
        </w:rPr>
        <w:t>a</w:t>
      </w:r>
      <w:r w:rsidR="00A533BA">
        <w:rPr>
          <w:rFonts w:ascii="Arial" w:hAnsi="Arial" w:cs="Arial"/>
          <w:sz w:val="20"/>
          <w:szCs w:val="20"/>
        </w:rPr>
        <w:t xml:space="preserve">nia </w:t>
      </w:r>
      <w:r w:rsidRPr="00125F0E">
        <w:rPr>
          <w:rFonts w:ascii="Arial" w:hAnsi="Arial" w:cs="Arial"/>
          <w:sz w:val="20"/>
          <w:szCs w:val="20"/>
        </w:rPr>
        <w:t>na obecność pozostałości środków ochrony roślin w wodach powierzchniowych i podziemnych</w:t>
      </w:r>
      <w:r w:rsidR="00AD3D8F">
        <w:rPr>
          <w:rFonts w:ascii="Arial" w:hAnsi="Arial" w:cs="Arial"/>
          <w:sz w:val="20"/>
          <w:szCs w:val="20"/>
        </w:rPr>
        <w:t>. Podobnie</w:t>
      </w:r>
      <w:r w:rsidRPr="00125F0E">
        <w:rPr>
          <w:rFonts w:ascii="Arial" w:hAnsi="Arial" w:cs="Arial"/>
          <w:sz w:val="20"/>
          <w:szCs w:val="20"/>
        </w:rPr>
        <w:t xml:space="preserve"> wytypowano w 13 województwach po 5 punktów pomiarowo-kontrolnych (ppk) zlokalizowanych w zlewniach rzek na obszarze tych województw, z</w:t>
      </w:r>
      <w:r w:rsidR="00F64BB0">
        <w:rPr>
          <w:rFonts w:ascii="Arial" w:hAnsi="Arial" w:cs="Arial"/>
          <w:sz w:val="20"/>
          <w:szCs w:val="20"/>
        </w:rPr>
        <w:t> </w:t>
      </w:r>
      <w:r w:rsidRPr="00125F0E">
        <w:rPr>
          <w:rFonts w:ascii="Arial" w:hAnsi="Arial" w:cs="Arial"/>
          <w:sz w:val="20"/>
          <w:szCs w:val="20"/>
        </w:rPr>
        <w:t>których w jednomiesięcznych odstępach czasu, od kwietnia do października, pobierano próbki do badań. W województwie wielkopolskim wybrano 8 ppk, które były monitorowane również w latach ubiegłych. Ponadto wytypowano, pobrano i przeanalizowano na obecność pestycydów próbki wód podziemnych w trzech terminach – wiosennym, letnim i jesiennym. Objęto badaniami trzy punkty o</w:t>
      </w:r>
      <w:r w:rsidR="00F64BB0">
        <w:rPr>
          <w:rFonts w:ascii="Arial" w:hAnsi="Arial" w:cs="Arial"/>
          <w:sz w:val="20"/>
          <w:szCs w:val="20"/>
        </w:rPr>
        <w:t> </w:t>
      </w:r>
      <w:r w:rsidRPr="00125F0E">
        <w:rPr>
          <w:rFonts w:ascii="Arial" w:hAnsi="Arial" w:cs="Arial"/>
          <w:sz w:val="20"/>
          <w:szCs w:val="20"/>
        </w:rPr>
        <w:t>różnej charakterystyce: naturalne źródło w Łopiennie (powiat gnieźnieński, gmina Mieleszyn), studnię hydroforową o głębokości 55 m w Buku (powiat nowotomyski, gmina Buk) oraz studnię gospodarczą o</w:t>
      </w:r>
      <w:r w:rsidR="00F64BB0">
        <w:rPr>
          <w:rFonts w:ascii="Arial" w:hAnsi="Arial" w:cs="Arial"/>
          <w:sz w:val="20"/>
          <w:szCs w:val="20"/>
        </w:rPr>
        <w:t> </w:t>
      </w:r>
      <w:r w:rsidRPr="00125F0E">
        <w:rPr>
          <w:rFonts w:ascii="Arial" w:hAnsi="Arial" w:cs="Arial"/>
          <w:sz w:val="20"/>
          <w:szCs w:val="20"/>
        </w:rPr>
        <w:t>głębokości 12 m w miejscowości Witkowo (powiat gnieźnieński, gmina Witkowo). W sumie do badań monitoringowych wód powierzchniowych wytypowano 73 ppk z terenu całej Polski oraz 3 punkty wód podziemnych. Łącznie w 2020 r. przebadano 483 próbki wód powierzchniowych oraz 9 próbek wód podziemnych. Próbki do badań pobierali pracownicy wojewódzkich inspektoratów ochrony środowiska oraz ich delegatur w ramach planowego monitoringu wód powierzchniowych poszczególnych województw.</w:t>
      </w:r>
    </w:p>
    <w:p w14:paraId="72D8E95E"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lastRenderedPageBreak/>
        <w:drawing>
          <wp:inline distT="0" distB="0" distL="0" distR="0" wp14:anchorId="42B2381E" wp14:editId="7C9AEBEC">
            <wp:extent cx="4001415" cy="3084494"/>
            <wp:effectExtent l="0" t="0" r="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5441" cy="3095306"/>
                    </a:xfrm>
                    <a:prstGeom prst="rect">
                      <a:avLst/>
                    </a:prstGeom>
                    <a:noFill/>
                    <a:ln>
                      <a:noFill/>
                    </a:ln>
                  </pic:spPr>
                </pic:pic>
              </a:graphicData>
            </a:graphic>
          </wp:inline>
        </w:drawing>
      </w:r>
    </w:p>
    <w:p w14:paraId="067DBA88"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i/>
          <w:iCs/>
          <w:sz w:val="20"/>
          <w:szCs w:val="20"/>
        </w:rPr>
        <w:t>Lokalizacja punktów pomiarowo-kontrolnych w 2020 r. na mapie Polski</w:t>
      </w:r>
    </w:p>
    <w:p w14:paraId="20699ECB" w14:textId="7D3DFFE7"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 xml:space="preserve">W </w:t>
      </w:r>
      <w:r w:rsidR="00AD3D8F">
        <w:rPr>
          <w:rFonts w:ascii="Arial" w:hAnsi="Arial" w:cs="Arial"/>
          <w:sz w:val="20"/>
          <w:szCs w:val="20"/>
        </w:rPr>
        <w:t xml:space="preserve">2020 r. </w:t>
      </w:r>
      <w:r w:rsidRPr="00125F0E">
        <w:rPr>
          <w:rFonts w:ascii="Arial" w:hAnsi="Arial" w:cs="Arial"/>
          <w:sz w:val="20"/>
          <w:szCs w:val="20"/>
        </w:rPr>
        <w:t xml:space="preserve">wykryto 55 substancji czynnych śor, w tym 26 herbicydów, 22 fungicydy, 6 insektycydów i 1 metabolit, spośród 270 związków objętych badaniami. Ilość wykrytych substancji chwastobójczych </w:t>
      </w:r>
      <w:r w:rsidR="006363D6" w:rsidRPr="00125F0E">
        <w:rPr>
          <w:rFonts w:ascii="Arial" w:hAnsi="Arial" w:cs="Arial"/>
          <w:sz w:val="20"/>
          <w:szCs w:val="20"/>
        </w:rPr>
        <w:t>i</w:t>
      </w:r>
      <w:r w:rsidR="006363D6">
        <w:rPr>
          <w:rFonts w:ascii="Arial" w:hAnsi="Arial" w:cs="Arial"/>
          <w:sz w:val="20"/>
          <w:szCs w:val="20"/>
        </w:rPr>
        <w:t> </w:t>
      </w:r>
      <w:r w:rsidRPr="00125F0E">
        <w:rPr>
          <w:rFonts w:ascii="Arial" w:hAnsi="Arial" w:cs="Arial"/>
          <w:sz w:val="20"/>
          <w:szCs w:val="20"/>
        </w:rPr>
        <w:t>grzybobójczych była zbliżona, lecz w odniesieniu do wszystkich oznaczeń pozostałości w 2020</w:t>
      </w:r>
      <w:r w:rsidR="00BE1E21">
        <w:rPr>
          <w:rFonts w:ascii="Arial" w:hAnsi="Arial" w:cs="Arial"/>
          <w:sz w:val="20"/>
          <w:szCs w:val="20"/>
        </w:rPr>
        <w:t> </w:t>
      </w:r>
      <w:r w:rsidRPr="00125F0E">
        <w:rPr>
          <w:rFonts w:ascii="Arial" w:hAnsi="Arial" w:cs="Arial"/>
          <w:sz w:val="20"/>
          <w:szCs w:val="20"/>
        </w:rPr>
        <w:t>r. jednoznacznie należy podkreślić największy w nich udział pozostałości substancji chwastobójczych. We wszystkich próbkach pozyskanych w 2020 r</w:t>
      </w:r>
      <w:r w:rsidR="00AD3D8F">
        <w:rPr>
          <w:rFonts w:ascii="Arial" w:hAnsi="Arial" w:cs="Arial"/>
          <w:sz w:val="20"/>
          <w:szCs w:val="20"/>
        </w:rPr>
        <w:t>.</w:t>
      </w:r>
      <w:r w:rsidRPr="00125F0E">
        <w:rPr>
          <w:rFonts w:ascii="Arial" w:hAnsi="Arial" w:cs="Arial"/>
          <w:sz w:val="20"/>
          <w:szCs w:val="20"/>
        </w:rPr>
        <w:t xml:space="preserve"> poszukiwane substancje czynne (s.cz.) zostały wykryte w</w:t>
      </w:r>
      <w:r w:rsidR="00021416">
        <w:rPr>
          <w:rFonts w:ascii="Arial" w:hAnsi="Arial" w:cs="Arial"/>
          <w:sz w:val="20"/>
          <w:szCs w:val="20"/>
        </w:rPr>
        <w:t> </w:t>
      </w:r>
      <w:r w:rsidRPr="00125F0E">
        <w:rPr>
          <w:rFonts w:ascii="Arial" w:hAnsi="Arial" w:cs="Arial"/>
          <w:sz w:val="20"/>
          <w:szCs w:val="20"/>
        </w:rPr>
        <w:t>sumie 691 razy, z czego 392 oznaczenia przypadały na herbicydy (56,7 %), następnie 255 na fungicydy (36,9 %) oraz 43 na insektycydy (6,3 %) i tylko raz oznaczono produkt przemian pestycydów. Najczęściej oznaczane były pozostałości herbicydów: metazachloru, nikosulfuronu, terbutylazyny, metolachloru-S i bentazonu oraz fungicydu tebukonazolu. Biorąc pod uwagę próbki wód bez pozostałości to odnotowano ich 273, czyli ponad połowę pobranych (55,5%).</w:t>
      </w:r>
    </w:p>
    <w:p w14:paraId="0EFD8BBE" w14:textId="58646535" w:rsidR="00E760CA"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W 2020 r</w:t>
      </w:r>
      <w:r w:rsidR="00AD3D8F">
        <w:rPr>
          <w:rFonts w:ascii="Arial" w:hAnsi="Arial" w:cs="Arial"/>
          <w:sz w:val="20"/>
          <w:szCs w:val="20"/>
        </w:rPr>
        <w:t>.</w:t>
      </w:r>
      <w:r w:rsidRPr="00125F0E">
        <w:rPr>
          <w:rFonts w:ascii="Arial" w:hAnsi="Arial" w:cs="Arial"/>
          <w:sz w:val="20"/>
          <w:szCs w:val="20"/>
        </w:rPr>
        <w:t xml:space="preserve"> maksymalna liczba substancji wykryta jednocześnie w pojedynczej próbce została odnotowana w Strudze Toruńskiej (Bacha) w czerwcu i lipcu po 24 s.cz. oraz w próbce ze Szreniawy </w:t>
      </w:r>
      <w:r w:rsidR="00B44447" w:rsidRPr="00125F0E">
        <w:rPr>
          <w:rFonts w:ascii="Arial" w:hAnsi="Arial" w:cs="Arial"/>
          <w:sz w:val="20"/>
          <w:szCs w:val="20"/>
        </w:rPr>
        <w:t>w</w:t>
      </w:r>
      <w:r w:rsidR="00B44447">
        <w:rPr>
          <w:rFonts w:ascii="Arial" w:hAnsi="Arial" w:cs="Arial"/>
          <w:sz w:val="20"/>
          <w:szCs w:val="20"/>
        </w:rPr>
        <w:t> </w:t>
      </w:r>
      <w:r w:rsidRPr="00125F0E">
        <w:rPr>
          <w:rFonts w:ascii="Arial" w:hAnsi="Arial" w:cs="Arial"/>
          <w:sz w:val="20"/>
          <w:szCs w:val="20"/>
        </w:rPr>
        <w:t>czerwcu – 23 związki. Z kolei najwyższe stężenia pozostałości środków ochrony roślin, zarówno dla pojedynczych substancji jak i sum ich stężeń wykryto w Strudze Toruńskiej (Bacha) płynącej przez kompleksy pól uprawnych zlewni Koniczynka, województwo kujawsko-pomorskie. Najwyższe stężenie w ppk Koniczynka odnotowano w czerwcu dla herbicydu fluazyfopu, które wyniosło 18,551 μg/L. W tej samej próbce oznaczono również fungicyd tebukonazol o stężeniu 16,432 μg/L. Najwyższe sumy wykrytych pozostałości w pojedynczej próbce wody w 2020 r</w:t>
      </w:r>
      <w:r w:rsidR="000D3601">
        <w:rPr>
          <w:rFonts w:ascii="Arial" w:hAnsi="Arial" w:cs="Arial"/>
          <w:sz w:val="20"/>
          <w:szCs w:val="20"/>
        </w:rPr>
        <w:t>.</w:t>
      </w:r>
      <w:r w:rsidRPr="00125F0E">
        <w:rPr>
          <w:rFonts w:ascii="Arial" w:hAnsi="Arial" w:cs="Arial"/>
          <w:sz w:val="20"/>
          <w:szCs w:val="20"/>
        </w:rPr>
        <w:t xml:space="preserve"> oznaczano ponownie w Strudze Toruńskiej (Bacha) w miesiącach letnich i wyniosły one odpowiednio 59,652 μg/L w czerwcu, 43,227 μg/L w lipcu oraz 23,560 μg/L w sierpniu. Dla innych województw wysokie sumy stężeń odnotowano m.in. w rz. Mogielnicy ppk Wojnowice woj. wielkopolskie w maju – 8,446 μg/L, w rz. Krzywuli ppk Golczowice woj. opolskie – 3,660 μg/L w czerwcu oraz również w czerwcu w rz. Szreniawie ppk Koszyce, woj. małopolskie – 3,042 μg/L.</w:t>
      </w:r>
    </w:p>
    <w:p w14:paraId="32A2463E" w14:textId="16B977EA"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lastRenderedPageBreak/>
        <w:t>W odniesieniu do</w:t>
      </w:r>
      <w:r w:rsidRPr="00125F0E">
        <w:rPr>
          <w:rFonts w:ascii="Arial" w:hAnsi="Arial" w:cs="Arial"/>
          <w:sz w:val="20"/>
          <w:szCs w:val="20"/>
        </w:rPr>
        <w:t xml:space="preserve"> rozporządzenia Ministra Zdrowia z dnia 7 grudnia 2017 r. w sprawie jakości wody przeznaczonej do spożycia przez ludzi (Dz.U. poz. 2294), 202 oznaczenia pojedynczej substancji z</w:t>
      </w:r>
      <w:r w:rsidR="00021416">
        <w:rPr>
          <w:rFonts w:ascii="Arial" w:hAnsi="Arial" w:cs="Arial"/>
          <w:sz w:val="20"/>
          <w:szCs w:val="20"/>
        </w:rPr>
        <w:t> </w:t>
      </w:r>
      <w:r w:rsidRPr="00125F0E">
        <w:rPr>
          <w:rFonts w:ascii="Arial" w:hAnsi="Arial" w:cs="Arial"/>
          <w:sz w:val="20"/>
          <w:szCs w:val="20"/>
        </w:rPr>
        <w:t>wszystkich 691 potwierdzonych oznaczeń, tj. 29,2%, przekraczało graniczną wartość 0,1 μg/L. Natomiast w przypadku drugiej części wymagań rozporządzenia dotyczących sumy wszystkich wykrytych substancji w pojedynczej próbce wody 38 próbek wód z pozyskanych 492, czyli 7,7% wszystkich, było wyższe od dopuszczalnej sumy wynoszącej 0,5 μg/L.</w:t>
      </w:r>
    </w:p>
    <w:p w14:paraId="166D95F6" w14:textId="59D35E88"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Najmniej s.cz. znaleziono w trakcie analiz próbek wód z województw lubuskiego i podlaskiego, z</w:t>
      </w:r>
      <w:r w:rsidR="00021416">
        <w:rPr>
          <w:rFonts w:ascii="Arial" w:hAnsi="Arial" w:cs="Arial"/>
          <w:sz w:val="20"/>
          <w:szCs w:val="20"/>
        </w:rPr>
        <w:t> </w:t>
      </w:r>
      <w:r w:rsidRPr="00125F0E">
        <w:rPr>
          <w:rFonts w:ascii="Arial" w:hAnsi="Arial" w:cs="Arial"/>
          <w:sz w:val="20"/>
          <w:szCs w:val="20"/>
        </w:rPr>
        <w:t>kolei najwięcej s.cz. wykryto w wytypowanych do badań zlewniach rzek województw wielkopolskiego, kujawsko-pomorskiego i dolnośląskiego. W dziesięciu ppk, tj. rz. Jezierzyca województwo dolnośląskie, kanał Wieprz-Krzna województwo lubelskie, rzeki Ilanka i Noteć w województwie lubuskim, rz. Skawa województwo małopolskie, rz. Kosódka województwo podlaskie, rz. Brda województwo pomorskie, rz.</w:t>
      </w:r>
      <w:r w:rsidR="00021416">
        <w:rPr>
          <w:rFonts w:ascii="Arial" w:hAnsi="Arial" w:cs="Arial"/>
          <w:sz w:val="20"/>
          <w:szCs w:val="20"/>
        </w:rPr>
        <w:t> </w:t>
      </w:r>
      <w:r w:rsidRPr="00125F0E">
        <w:rPr>
          <w:rFonts w:ascii="Arial" w:hAnsi="Arial" w:cs="Arial"/>
          <w:sz w:val="20"/>
          <w:szCs w:val="20"/>
        </w:rPr>
        <w:t>Czadeczka województwo śląskie oraz w rzekach Krępa i Parsęta w województwie zachodniopomorskim, w żadnym z terminów poboru próbek nie wykryto pozostałości poszukiwanych substancji na poziomie wyższym od DGO. W żadnej z próbek wód podziemnych pobranych do badań w 2020</w:t>
      </w:r>
      <w:r w:rsidR="000D3601">
        <w:rPr>
          <w:rFonts w:ascii="Arial" w:hAnsi="Arial" w:cs="Arial"/>
          <w:sz w:val="20"/>
          <w:szCs w:val="20"/>
        </w:rPr>
        <w:t> </w:t>
      </w:r>
      <w:r w:rsidRPr="00125F0E">
        <w:rPr>
          <w:rFonts w:ascii="Arial" w:hAnsi="Arial" w:cs="Arial"/>
          <w:sz w:val="20"/>
          <w:szCs w:val="20"/>
        </w:rPr>
        <w:t>r</w:t>
      </w:r>
      <w:r w:rsidR="000D3601">
        <w:rPr>
          <w:rFonts w:ascii="Arial" w:hAnsi="Arial" w:cs="Arial"/>
          <w:sz w:val="20"/>
          <w:szCs w:val="20"/>
        </w:rPr>
        <w:t>.</w:t>
      </w:r>
      <w:r w:rsidRPr="00125F0E">
        <w:rPr>
          <w:rFonts w:ascii="Arial" w:hAnsi="Arial" w:cs="Arial"/>
          <w:sz w:val="20"/>
          <w:szCs w:val="20"/>
        </w:rPr>
        <w:t xml:space="preserve"> nie znaleziono pozostałości s.cz. środków ochrony roślin powyżej dolnej granicy oznaczalności.</w:t>
      </w:r>
    </w:p>
    <w:p w14:paraId="2FE6C221" w14:textId="4BEA9B35" w:rsidR="00E760CA"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Zestawiając wyniki badań w odniesieniu do r</w:t>
      </w:r>
      <w:r w:rsidR="00E760CA" w:rsidRPr="00125F0E">
        <w:rPr>
          <w:rFonts w:ascii="Arial" w:hAnsi="Arial" w:cs="Arial"/>
          <w:sz w:val="20"/>
          <w:szCs w:val="20"/>
        </w:rPr>
        <w:t>ozporządzeni</w:t>
      </w:r>
      <w:r>
        <w:rPr>
          <w:rFonts w:ascii="Arial" w:hAnsi="Arial" w:cs="Arial"/>
          <w:sz w:val="20"/>
          <w:szCs w:val="20"/>
        </w:rPr>
        <w:t xml:space="preserve">a </w:t>
      </w:r>
      <w:r w:rsidR="00E760CA" w:rsidRPr="00125F0E">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(Dz.U. poz. 1747), 472 próbki, tj. 95,9% wszystkich pobranych, spełniło wymagania dla najwyższej kategorii czystości wód powierzchniowych A1 (suma pozostałości s.cz. poniżej 1 µg/L), 10 próbek (2%) klasyfikowało się w kategorii A2 (suma od 1 do 2,5 µg/L) oraz, odpowiednio, po 5 próbek (1%) znalazło się w kategorii A3 (suma od 2,5 do 5 µg/L) lub nie spełniało wymagań kwalifikacji (suma wykrytych pozostałości powyżej 5 µg/L).</w:t>
      </w:r>
    </w:p>
    <w:p w14:paraId="52479DD2" w14:textId="77777777" w:rsidR="00E760CA" w:rsidRPr="00125F0E" w:rsidRDefault="00E760CA" w:rsidP="00E760CA">
      <w:pPr>
        <w:tabs>
          <w:tab w:val="left" w:pos="284"/>
        </w:tabs>
        <w:suppressAutoHyphens/>
        <w:autoSpaceDN w:val="0"/>
        <w:spacing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drawing>
          <wp:inline distT="0" distB="0" distL="0" distR="0" wp14:anchorId="0C2E9696" wp14:editId="3B9C1176">
            <wp:extent cx="4367175" cy="2421331"/>
            <wp:effectExtent l="0" t="0" r="14605" b="1714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7E5968" w14:textId="78D3128C" w:rsidR="00E760CA" w:rsidRDefault="00E760CA" w:rsidP="00E760CA">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125F0E">
        <w:rPr>
          <w:rFonts w:ascii="Arial" w:hAnsi="Arial" w:cs="Arial"/>
          <w:i/>
          <w:sz w:val="20"/>
          <w:szCs w:val="20"/>
        </w:rPr>
        <w:t>Wyniki badań w 2020 r</w:t>
      </w:r>
      <w:r w:rsidR="002E51A8">
        <w:rPr>
          <w:rFonts w:ascii="Arial" w:hAnsi="Arial" w:cs="Arial"/>
          <w:i/>
          <w:sz w:val="20"/>
          <w:szCs w:val="20"/>
        </w:rPr>
        <w:t>.</w:t>
      </w:r>
      <w:r w:rsidRPr="00125F0E">
        <w:rPr>
          <w:rFonts w:ascii="Arial" w:hAnsi="Arial" w:cs="Arial"/>
          <w:i/>
          <w:sz w:val="20"/>
          <w:szCs w:val="20"/>
        </w:rPr>
        <w:t xml:space="preserve"> w odniesieniu do rozporządzenia Ministra Gospodarki Morskiej i Żeglugi Śródlądowej </w:t>
      </w:r>
    </w:p>
    <w:p w14:paraId="07C8F7A6" w14:textId="16362AEE"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b/>
          <w:sz w:val="20"/>
          <w:szCs w:val="20"/>
        </w:rPr>
        <w:lastRenderedPageBreak/>
        <w:t>W</w:t>
      </w:r>
      <w:r w:rsidRPr="00271C1A">
        <w:rPr>
          <w:rFonts w:ascii="Arial" w:hAnsi="Arial" w:cs="Arial"/>
          <w:sz w:val="20"/>
          <w:szCs w:val="20"/>
        </w:rPr>
        <w:t xml:space="preserve"> </w:t>
      </w:r>
      <w:r w:rsidRPr="00D03691">
        <w:rPr>
          <w:rFonts w:ascii="Arial" w:hAnsi="Arial" w:cs="Arial"/>
          <w:b/>
          <w:sz w:val="20"/>
          <w:szCs w:val="20"/>
        </w:rPr>
        <w:t>2021 r</w:t>
      </w:r>
      <w:r w:rsidR="00D94159" w:rsidRPr="00D03691">
        <w:rPr>
          <w:rFonts w:ascii="Arial" w:hAnsi="Arial" w:cs="Arial"/>
          <w:b/>
          <w:sz w:val="20"/>
          <w:szCs w:val="20"/>
        </w:rPr>
        <w:t>.</w:t>
      </w:r>
      <w:r w:rsidRPr="00271C1A">
        <w:rPr>
          <w:rFonts w:ascii="Arial" w:hAnsi="Arial" w:cs="Arial"/>
          <w:sz w:val="20"/>
          <w:szCs w:val="20"/>
        </w:rPr>
        <w:t xml:space="preserve"> badaniami na obecność pozostałości środków ochrony roślin w wodach powierzchniowych i podziemnych został objęty cały obszar Polski. We współpracy z Głównym Inspektoratem Ochrony Środowiska oraz </w:t>
      </w:r>
      <w:r w:rsidR="00B97D14" w:rsidRPr="00271C1A">
        <w:rPr>
          <w:rFonts w:ascii="Arial" w:hAnsi="Arial" w:cs="Arial"/>
          <w:sz w:val="20"/>
          <w:szCs w:val="20"/>
        </w:rPr>
        <w:t>wojewódzkim</w:t>
      </w:r>
      <w:r w:rsidR="000C10C6">
        <w:rPr>
          <w:rFonts w:ascii="Arial" w:hAnsi="Arial" w:cs="Arial"/>
          <w:sz w:val="20"/>
          <w:szCs w:val="20"/>
        </w:rPr>
        <w:t>i i</w:t>
      </w:r>
      <w:r w:rsidRPr="00271C1A">
        <w:rPr>
          <w:rFonts w:ascii="Arial" w:hAnsi="Arial" w:cs="Arial"/>
          <w:sz w:val="20"/>
          <w:szCs w:val="20"/>
        </w:rPr>
        <w:t>nspektoratami</w:t>
      </w:r>
      <w:r w:rsidR="00794F78">
        <w:rPr>
          <w:rFonts w:ascii="Arial" w:hAnsi="Arial" w:cs="Arial"/>
          <w:sz w:val="20"/>
          <w:szCs w:val="20"/>
        </w:rPr>
        <w:t xml:space="preserve"> ochrony środowiska</w:t>
      </w:r>
      <w:r w:rsidRPr="00271C1A">
        <w:rPr>
          <w:rFonts w:ascii="Arial" w:hAnsi="Arial" w:cs="Arial"/>
          <w:sz w:val="20"/>
          <w:szCs w:val="20"/>
        </w:rPr>
        <w:t>, wytypowano w 12 województwach tj. dolnośląskim, kujawsko-pomorskim, lubelskim, lubuskim, małopolskim, opolskim, podlaskim, pomorskim, śląskim, świętokrzyskim, warmińsko-mazurskim i zachodnio-pomorskim po 5 punktów pomiarowo-kontrolnych (ppk) zlokalizowanych w zlewniach rzek na obszarze tych województw. W</w:t>
      </w:r>
      <w:r w:rsidR="00337682">
        <w:rPr>
          <w:rFonts w:ascii="Arial" w:hAnsi="Arial" w:cs="Arial"/>
          <w:sz w:val="20"/>
          <w:szCs w:val="20"/>
        </w:rPr>
        <w:t> </w:t>
      </w:r>
      <w:r w:rsidRPr="00271C1A">
        <w:rPr>
          <w:rFonts w:ascii="Arial" w:hAnsi="Arial" w:cs="Arial"/>
          <w:sz w:val="20"/>
          <w:szCs w:val="20"/>
        </w:rPr>
        <w:t>województwie podkarpackim próbki pobierano z 7 ppk, które były monitorowane również w latach 2019-2020 oraz w województwie wielkopolskim kontynuowano pobór w 8 ppk podobnie jak w latach ubiegłych. Pobór próbek wód z</w:t>
      </w:r>
      <w:r w:rsidR="00660BD5">
        <w:rPr>
          <w:rFonts w:ascii="Arial" w:hAnsi="Arial" w:cs="Arial"/>
          <w:sz w:val="20"/>
          <w:szCs w:val="20"/>
        </w:rPr>
        <w:t> </w:t>
      </w:r>
      <w:r w:rsidRPr="00271C1A">
        <w:rPr>
          <w:rFonts w:ascii="Arial" w:hAnsi="Arial" w:cs="Arial"/>
          <w:sz w:val="20"/>
          <w:szCs w:val="20"/>
        </w:rPr>
        <w:t>wyznaczonych lokalizacji zaplanowano w jednomiesięcznych odstępach czasu od kwietnia do października 2021 r</w:t>
      </w:r>
      <w:r w:rsidR="00660BD5">
        <w:rPr>
          <w:rFonts w:ascii="Arial" w:hAnsi="Arial" w:cs="Arial"/>
          <w:sz w:val="20"/>
          <w:szCs w:val="20"/>
        </w:rPr>
        <w:t>.</w:t>
      </w:r>
      <w:r w:rsidRPr="00271C1A">
        <w:rPr>
          <w:rFonts w:ascii="Arial" w:hAnsi="Arial" w:cs="Arial"/>
          <w:sz w:val="20"/>
          <w:szCs w:val="20"/>
        </w:rPr>
        <w:t>, za wyjątkiem województwa wielkopolskiego gdzie pobór przeprowadzono również w listopadzie 2021 r. Ponadto wytypowano, pobrano i przeanalizowano na obecność pestycydów próbki wód podziemnych w trzech terminach – wiosennym, letnim i jesiennym. Objęto badaniami trzy punkty o różnej charakterystyce tj. naturalne źródło w Łopiennie (powiat gnieźnieński, gmina Mieleszyn), studnię hydroforową o głębokości 55 m w Buku (powiat nowotomyski, gmina Buk) oraz studnię gospodarczą o głębokości 12 m w miejscowości Witkowo (powiat gnieźnieński, gmina Witkowo). W sumie do badań monitoringowych wód powierzchniowych wytypowano 78 ppk z</w:t>
      </w:r>
      <w:r w:rsidR="00337682">
        <w:rPr>
          <w:rFonts w:ascii="Arial" w:hAnsi="Arial" w:cs="Arial"/>
          <w:sz w:val="20"/>
          <w:szCs w:val="20"/>
        </w:rPr>
        <w:t> </w:t>
      </w:r>
      <w:r w:rsidRPr="00271C1A">
        <w:rPr>
          <w:rFonts w:ascii="Arial" w:hAnsi="Arial" w:cs="Arial"/>
          <w:sz w:val="20"/>
          <w:szCs w:val="20"/>
        </w:rPr>
        <w:t>terenu całej Polski oraz 3 punkty wód podziemnych. Łącznie w 2021 r. przebadano 531 próbki wód powierzchniowych oraz 9 próbek wód podziemnych. Próbki do badań pobierali pracownicy wojewódzkich inspektoratów ochrony środowiska oraz ich delegatur w ramach planowego monitoringu wód powierzchniowych poszczególnych województw.</w:t>
      </w:r>
    </w:p>
    <w:p w14:paraId="43D14497" w14:textId="492157B7"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Badaniami objęto 317 substancji czynnych środków ochrony roślin. Ogółem wykryto 56 substancji czynnych w tym 30 herbicydów, 18 fungicydów, 6 insektycydów i 2 metabolity. W odniesieniu do wszystkich oznaczeń pozostałości w 2021 r</w:t>
      </w:r>
      <w:r w:rsidR="0095392C">
        <w:rPr>
          <w:rFonts w:ascii="Arial" w:hAnsi="Arial" w:cs="Arial"/>
          <w:sz w:val="20"/>
          <w:szCs w:val="20"/>
        </w:rPr>
        <w:t>.</w:t>
      </w:r>
      <w:r w:rsidRPr="00271C1A">
        <w:rPr>
          <w:rFonts w:ascii="Arial" w:hAnsi="Arial" w:cs="Arial"/>
          <w:sz w:val="20"/>
          <w:szCs w:val="20"/>
        </w:rPr>
        <w:t xml:space="preserve">, jednoznacznie należy podkreślić największy udział w nich pozostałości substancji chwastobójczych. We wszystkich próbkach pozyskanych poszukiwane substancje czynne zostały wykryte w sumie 698 razy, z czego 467 oznaczenia przypadały na herbicydy (66,9 %), następnie 204 na fungicydy (29,2 %) oraz 25 na insektycydy (3,6 %) i tylko dwukrotnie oznaczono produkty przemiany pestycydów. </w:t>
      </w:r>
    </w:p>
    <w:p w14:paraId="4E4131EA" w14:textId="6D0F329E" w:rsidR="007769B4" w:rsidRPr="00271C1A" w:rsidRDefault="007769B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Najczęściej wykrywano herbicydy: terbutylazyna wykryta w 14,4% próbek powierzchniowych, bentazon 11,7% próbek, chlorotoluron 11,1% i nikosulfuron w 10,9% oraz fungicyd – tebukonazol w</w:t>
      </w:r>
      <w:r w:rsidR="00D63AAB">
        <w:rPr>
          <w:rFonts w:ascii="Arial" w:hAnsi="Arial" w:cs="Arial"/>
          <w:sz w:val="20"/>
          <w:szCs w:val="20"/>
        </w:rPr>
        <w:t> </w:t>
      </w:r>
      <w:r w:rsidRPr="00271C1A">
        <w:rPr>
          <w:rFonts w:ascii="Arial" w:hAnsi="Arial" w:cs="Arial"/>
          <w:sz w:val="20"/>
          <w:szCs w:val="20"/>
        </w:rPr>
        <w:t>10,3% próbek. Najwyższe pozostałości środków ochrony roślin w 2021 r</w:t>
      </w:r>
      <w:r w:rsidR="00D63AAB">
        <w:rPr>
          <w:rFonts w:ascii="Arial" w:hAnsi="Arial" w:cs="Arial"/>
          <w:sz w:val="20"/>
          <w:szCs w:val="20"/>
        </w:rPr>
        <w:t>.</w:t>
      </w:r>
      <w:r w:rsidRPr="00271C1A">
        <w:rPr>
          <w:rFonts w:ascii="Arial" w:hAnsi="Arial" w:cs="Arial"/>
          <w:sz w:val="20"/>
          <w:szCs w:val="20"/>
        </w:rPr>
        <w:t xml:space="preserve">, zarówno dla pojedynczych substancji jak i sum ich stężeń wykryto w rzece Mogielnicy płynącej przez kompleksy pól uprawnych, około 40 km na zachód od Poznania, województwo wielkopolskie. Najwyższe stężenie w ppk Wojnowice odnotowano w czerwcu dla herbicydu metolachloru, które wyniosło 31,432 µg/l. Najwyższą sumę wykrytych pozostałości w pojedynczej próbce wody powierzchniowej również oznaczono w tej samej czerwcowej próbce z Mogielnicy – 36,351 µg/l. Dla innych województw stosunkowo wysokie sumy stężeń odnotowano, m.in.  na małopolskim odcinku Wisły w maju 3,942 µg/l, w rzece Łynie we wrześniu 3,461 µg/l w województwie warmińsko-mazurskim, w woj. opolskim w Odrze w czerwcu 2,392 µg/l oraz Strudze Rychanowskiej 2,369 µg/l, województwo kujawsko-pomorskie, również w czerwcu. </w:t>
      </w:r>
    </w:p>
    <w:p w14:paraId="3624CEC7" w14:textId="77777777" w:rsidR="007769B4" w:rsidRPr="00F6171C" w:rsidRDefault="007769B4" w:rsidP="007769B4">
      <w:pPr>
        <w:tabs>
          <w:tab w:val="left" w:pos="284"/>
        </w:tabs>
        <w:suppressAutoHyphens/>
        <w:autoSpaceDN w:val="0"/>
        <w:spacing w:before="120" w:after="120" w:line="360" w:lineRule="auto"/>
        <w:jc w:val="center"/>
        <w:textAlignment w:val="baseline"/>
        <w:rPr>
          <w:rFonts w:ascii="Arial" w:hAnsi="Arial" w:cs="Arial"/>
        </w:rPr>
      </w:pPr>
      <w:r w:rsidRPr="00F6171C">
        <w:rPr>
          <w:rFonts w:ascii="Calibri" w:hAnsi="Calibri"/>
          <w:noProof/>
          <w:color w:val="000000"/>
          <w:lang w:eastAsia="pl-PL"/>
        </w:rPr>
        <w:lastRenderedPageBreak/>
        <w:drawing>
          <wp:inline distT="0" distB="0" distL="0" distR="0" wp14:anchorId="05EBEBAE" wp14:editId="415A5F01">
            <wp:extent cx="3746500" cy="3414296"/>
            <wp:effectExtent l="0" t="0" r="6350" b="0"/>
            <wp:docPr id="19" name="Obraz 1" descr="pp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k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0357" cy="3490717"/>
                    </a:xfrm>
                    <a:prstGeom prst="rect">
                      <a:avLst/>
                    </a:prstGeom>
                    <a:noFill/>
                    <a:ln>
                      <a:noFill/>
                    </a:ln>
                  </pic:spPr>
                </pic:pic>
              </a:graphicData>
            </a:graphic>
          </wp:inline>
        </w:drawing>
      </w:r>
    </w:p>
    <w:p w14:paraId="3D1D69EE" w14:textId="77777777" w:rsidR="007769B4" w:rsidRPr="00271C1A" w:rsidRDefault="007769B4" w:rsidP="007769B4">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271C1A">
        <w:rPr>
          <w:rFonts w:ascii="Arial" w:hAnsi="Arial" w:cs="Arial"/>
          <w:i/>
          <w:iCs/>
          <w:sz w:val="20"/>
          <w:szCs w:val="20"/>
        </w:rPr>
        <w:t>Lokalizacja punktów pomiarowo-kontrolnych w 2021 r. na mapie Polski</w:t>
      </w:r>
    </w:p>
    <w:p w14:paraId="7711A4A8" w14:textId="13C3DC40" w:rsidR="004D5F7F" w:rsidRPr="00271C1A" w:rsidRDefault="004D5F7F" w:rsidP="004D5F7F">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O</w:t>
      </w:r>
      <w:r w:rsidRPr="00271C1A">
        <w:rPr>
          <w:rFonts w:ascii="Arial" w:hAnsi="Arial" w:cs="Arial"/>
          <w:sz w:val="20"/>
          <w:szCs w:val="20"/>
        </w:rPr>
        <w:t>dnosząc się do rozporządzenia Ministra Zdrowia z dnia 7 grudnia 2017 r. w sprawie jakości wody przeznaczonej do spożycia przez ludzi (Dz.U. poz. 2294), 190 oznaczeń pojedynczej substancji z</w:t>
      </w:r>
      <w:r w:rsidR="0073348A">
        <w:rPr>
          <w:rFonts w:ascii="Arial" w:hAnsi="Arial" w:cs="Arial"/>
          <w:sz w:val="20"/>
          <w:szCs w:val="20"/>
        </w:rPr>
        <w:t> </w:t>
      </w:r>
      <w:r w:rsidRPr="00271C1A">
        <w:rPr>
          <w:rFonts w:ascii="Arial" w:hAnsi="Arial" w:cs="Arial"/>
          <w:sz w:val="20"/>
          <w:szCs w:val="20"/>
        </w:rPr>
        <w:t>wszystkich 698 potwierdzonych tj. 27,2% przekraczało graniczną wartość 0,1 µg/l. Natomiast w</w:t>
      </w:r>
      <w:r w:rsidR="0073348A">
        <w:rPr>
          <w:rFonts w:ascii="Arial" w:hAnsi="Arial" w:cs="Arial"/>
          <w:sz w:val="20"/>
          <w:szCs w:val="20"/>
        </w:rPr>
        <w:t> </w:t>
      </w:r>
      <w:r w:rsidRPr="00271C1A">
        <w:rPr>
          <w:rFonts w:ascii="Arial" w:hAnsi="Arial" w:cs="Arial"/>
          <w:sz w:val="20"/>
          <w:szCs w:val="20"/>
        </w:rPr>
        <w:t>przypadku drugiej części wymagań, dotyczącej sumy stężeń pozostałości wykrytych s.cz. w</w:t>
      </w:r>
      <w:r w:rsidR="00FC5F42">
        <w:rPr>
          <w:rFonts w:ascii="Arial" w:hAnsi="Arial" w:cs="Arial"/>
          <w:sz w:val="20"/>
          <w:szCs w:val="20"/>
        </w:rPr>
        <w:t> </w:t>
      </w:r>
      <w:r w:rsidRPr="00271C1A">
        <w:rPr>
          <w:rFonts w:ascii="Arial" w:hAnsi="Arial" w:cs="Arial"/>
          <w:sz w:val="20"/>
          <w:szCs w:val="20"/>
        </w:rPr>
        <w:t>pojedynczej próbce, 40 próbek wód z pozyskanych 540 czyli 7,4% wszystkich było wyższe od dopuszczalnej sumy wynoszącej 0,5 µg/l.</w:t>
      </w:r>
    </w:p>
    <w:p w14:paraId="7AE6B791" w14:textId="63E695C3" w:rsidR="004D5F7F" w:rsidRPr="00271C1A" w:rsidRDefault="004D5F7F" w:rsidP="004D5F7F">
      <w:pPr>
        <w:tabs>
          <w:tab w:val="left" w:pos="284"/>
        </w:tabs>
        <w:suppressAutoHyphens/>
        <w:autoSpaceDN w:val="0"/>
        <w:spacing w:after="120" w:line="360" w:lineRule="auto"/>
        <w:ind w:firstLine="284"/>
        <w:jc w:val="both"/>
        <w:textAlignment w:val="baseline"/>
        <w:rPr>
          <w:rFonts w:ascii="Arial" w:hAnsi="Arial" w:cs="Arial"/>
          <w:sz w:val="20"/>
          <w:szCs w:val="20"/>
        </w:rPr>
      </w:pPr>
      <w:r w:rsidRPr="00271C1A">
        <w:rPr>
          <w:rFonts w:ascii="Arial" w:hAnsi="Arial" w:cs="Arial"/>
          <w:sz w:val="20"/>
          <w:szCs w:val="20"/>
        </w:rPr>
        <w:t>Najmniej substancji czynnych środków ochrony roślin znaleziono w próbkach wód z województw podlaskiego, pomorskiego i lubuskiego, z kolei najwięcej s.cz. wykryto w wytypowanych do badań zlewniach rzek województw wielkopolskiego, dolnośląskiego i kujawsko-pomorskiego. W czternastu punktach pomiarowo-kontrolnych tj. rzeka Krówka ppk Buszewo woj. kujawsko-pomorskie, rzeka Wieprz ppk Dworzyska woj. lubelskie, rzeka Bóbr ppk Nowogród Bobrzański w woj. lubuskim, rzeki Biała Przemsza ppk Klucze i Skawa ppk Zator w woj. małopolskim, rzeki Łukawica ppk Kępa Rzerzycka i</w:t>
      </w:r>
      <w:r w:rsidR="00216FEF">
        <w:rPr>
          <w:rFonts w:ascii="Arial" w:hAnsi="Arial" w:cs="Arial"/>
          <w:sz w:val="20"/>
          <w:szCs w:val="20"/>
        </w:rPr>
        <w:t> </w:t>
      </w:r>
      <w:r w:rsidRPr="00271C1A">
        <w:rPr>
          <w:rFonts w:ascii="Arial" w:hAnsi="Arial" w:cs="Arial"/>
          <w:sz w:val="20"/>
          <w:szCs w:val="20"/>
        </w:rPr>
        <w:t>Wisłoka ppk Gawłuszewice w woj. podkarpackim, rzeki Kosódka ppk Dobarz i Narewka ppk ujście do Narwi woj. podlaskie, rzeki Brda ppk Pakotulsko i Pokrzywna ppk Osówka w woj. pomorskim, rzeka Trupień ppk Słopiec woj. świętokrzyskie oraz w rzekach Krępa ppk ujście do Odry i Parsęta ppk Bardy w woj. zachodniopomorskim w żadnym z terminów poboru próbek nie wykryto pozostałości poszukiwanych związków na poziomie wyższym od dolnej granicy oznaczalności.</w:t>
      </w:r>
    </w:p>
    <w:p w14:paraId="2C75ADCC" w14:textId="26FA14A6" w:rsidR="007769B4" w:rsidRPr="00271C1A" w:rsidRDefault="00364344" w:rsidP="007769B4">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 xml:space="preserve">Zestawiając wyniki w odniesieniu do </w:t>
      </w:r>
      <w:r w:rsidR="008248E1">
        <w:rPr>
          <w:rFonts w:ascii="Arial" w:hAnsi="Arial" w:cs="Arial"/>
          <w:sz w:val="20"/>
          <w:szCs w:val="20"/>
        </w:rPr>
        <w:t>r</w:t>
      </w:r>
      <w:r w:rsidR="007769B4" w:rsidRPr="00271C1A">
        <w:rPr>
          <w:rFonts w:ascii="Arial" w:hAnsi="Arial" w:cs="Arial"/>
          <w:sz w:val="20"/>
          <w:szCs w:val="20"/>
        </w:rPr>
        <w:t>ozporządzeni</w:t>
      </w:r>
      <w:r w:rsidR="008248E1">
        <w:rPr>
          <w:rFonts w:ascii="Arial" w:hAnsi="Arial" w:cs="Arial"/>
          <w:sz w:val="20"/>
          <w:szCs w:val="20"/>
        </w:rPr>
        <w:t>a</w:t>
      </w:r>
      <w:r w:rsidR="007769B4" w:rsidRPr="00271C1A">
        <w:rPr>
          <w:rFonts w:ascii="Arial" w:hAnsi="Arial" w:cs="Arial"/>
          <w:sz w:val="20"/>
          <w:szCs w:val="20"/>
        </w:rPr>
        <w:t xml:space="preserve"> Ministra Gospodarki Morskiej i Żeglugi Śródlądowej z dnia 29 sierpnia 2019 r. w sprawie wymagań, jakimi powinny odpowiadać wody powierzchniowe wykorzystywane do zaopatrzenia ludności w wodę przeznaczoną do spożycia przez ludzi (Dz.U. </w:t>
      </w:r>
      <w:r w:rsidR="008248E1">
        <w:rPr>
          <w:rFonts w:ascii="Arial" w:hAnsi="Arial" w:cs="Arial"/>
          <w:sz w:val="20"/>
          <w:szCs w:val="20"/>
        </w:rPr>
        <w:t>poz</w:t>
      </w:r>
      <w:r w:rsidR="007769B4" w:rsidRPr="00271C1A">
        <w:rPr>
          <w:rFonts w:ascii="Arial" w:hAnsi="Arial" w:cs="Arial"/>
          <w:sz w:val="20"/>
          <w:szCs w:val="20"/>
        </w:rPr>
        <w:t xml:space="preserve">. 1747) 516 próbki tj. 95,6% wszystkich pobranych spełniło wymagania dla najwyższej kategorii czystości wód powierzchniowych A1, 15 próbek (2,8%) klasyfikowało się w kategorii A2 oraz </w:t>
      </w:r>
      <w:r w:rsidR="007769B4" w:rsidRPr="00271C1A">
        <w:rPr>
          <w:rFonts w:ascii="Arial" w:hAnsi="Arial" w:cs="Arial"/>
          <w:sz w:val="20"/>
          <w:szCs w:val="20"/>
        </w:rPr>
        <w:lastRenderedPageBreak/>
        <w:t xml:space="preserve">łącznie 8 próbek (1,5%) znalazło się w kategorii A3. Zaledwie jedna próbka, Mogielnica w czerwcu, wykraczała poza wymagania kwalifikacji (suma pozostałości powyżej 5 µg/l). </w:t>
      </w:r>
    </w:p>
    <w:p w14:paraId="399938E3" w14:textId="77777777" w:rsidR="007769B4" w:rsidRPr="00F6171C" w:rsidRDefault="007769B4" w:rsidP="007769B4">
      <w:pPr>
        <w:tabs>
          <w:tab w:val="left" w:pos="284"/>
        </w:tabs>
        <w:suppressAutoHyphens/>
        <w:autoSpaceDN w:val="0"/>
        <w:spacing w:after="120" w:line="360" w:lineRule="auto"/>
        <w:ind w:firstLine="284"/>
        <w:jc w:val="center"/>
        <w:textAlignment w:val="baseline"/>
        <w:rPr>
          <w:rFonts w:ascii="Arial" w:hAnsi="Arial" w:cs="Arial"/>
        </w:rPr>
      </w:pPr>
      <w:r w:rsidRPr="00F6171C">
        <w:rPr>
          <w:rFonts w:ascii="Arial" w:hAnsi="Arial" w:cs="Arial"/>
          <w:noProof/>
          <w:lang w:eastAsia="pl-PL"/>
        </w:rPr>
        <w:drawing>
          <wp:inline distT="0" distB="0" distL="0" distR="0" wp14:anchorId="62025B1B" wp14:editId="5CECF1EE">
            <wp:extent cx="4489450" cy="2381250"/>
            <wp:effectExtent l="0" t="0" r="635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2824C5" w14:textId="30FD935D" w:rsidR="007769B4" w:rsidRPr="00271C1A" w:rsidRDefault="007769B4" w:rsidP="007769B4">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271C1A">
        <w:rPr>
          <w:rFonts w:ascii="Arial" w:hAnsi="Arial" w:cs="Arial"/>
          <w:i/>
          <w:sz w:val="20"/>
          <w:szCs w:val="20"/>
        </w:rPr>
        <w:t>Wyniki badań w 2021 r</w:t>
      </w:r>
      <w:r w:rsidR="00137331">
        <w:rPr>
          <w:rFonts w:ascii="Arial" w:hAnsi="Arial" w:cs="Arial"/>
          <w:i/>
          <w:sz w:val="20"/>
          <w:szCs w:val="20"/>
        </w:rPr>
        <w:t>.</w:t>
      </w:r>
      <w:r w:rsidRPr="00271C1A">
        <w:rPr>
          <w:rFonts w:ascii="Arial" w:hAnsi="Arial" w:cs="Arial"/>
          <w:i/>
          <w:sz w:val="20"/>
          <w:szCs w:val="20"/>
        </w:rPr>
        <w:t xml:space="preserve"> w odniesieniu do rozporządzenia Ministra Gospodarki Morskiej i Żeglugi Śródlądowej </w:t>
      </w:r>
    </w:p>
    <w:p w14:paraId="1827EF23" w14:textId="0D5A5CB9" w:rsidR="009664C0" w:rsidRPr="00D137C6" w:rsidRDefault="009664C0" w:rsidP="009664C0">
      <w:pPr>
        <w:tabs>
          <w:tab w:val="left" w:pos="284"/>
        </w:tabs>
        <w:suppressAutoHyphens/>
        <w:autoSpaceDN w:val="0"/>
        <w:spacing w:after="120" w:line="360" w:lineRule="auto"/>
        <w:ind w:firstLine="284"/>
        <w:jc w:val="both"/>
        <w:textAlignment w:val="baseline"/>
        <w:rPr>
          <w:rFonts w:ascii="Arial" w:hAnsi="Arial" w:cs="Arial"/>
          <w:sz w:val="20"/>
          <w:szCs w:val="20"/>
        </w:rPr>
      </w:pPr>
      <w:r w:rsidRPr="00D137C6">
        <w:rPr>
          <w:rFonts w:ascii="Arial" w:hAnsi="Arial" w:cs="Arial"/>
          <w:b/>
          <w:bCs/>
          <w:sz w:val="20"/>
          <w:szCs w:val="20"/>
        </w:rPr>
        <w:t>W 2022 r</w:t>
      </w:r>
      <w:r>
        <w:rPr>
          <w:rFonts w:ascii="Arial" w:hAnsi="Arial" w:cs="Arial"/>
          <w:b/>
          <w:bCs/>
          <w:sz w:val="20"/>
          <w:szCs w:val="20"/>
        </w:rPr>
        <w:t>.</w:t>
      </w:r>
      <w:r w:rsidRPr="00D137C6">
        <w:rPr>
          <w:rFonts w:ascii="Arial" w:hAnsi="Arial" w:cs="Arial"/>
          <w:sz w:val="20"/>
          <w:szCs w:val="20"/>
        </w:rPr>
        <w:t xml:space="preserve"> badaniami na obecność pozostałości środków ochrony roślin w wodach powierzchniowych i podziemnych został objęty </w:t>
      </w:r>
      <w:r>
        <w:rPr>
          <w:rFonts w:ascii="Arial" w:hAnsi="Arial" w:cs="Arial"/>
          <w:sz w:val="20"/>
          <w:szCs w:val="20"/>
        </w:rPr>
        <w:t xml:space="preserve">jak w poprzednich latach </w:t>
      </w:r>
      <w:r w:rsidRPr="00D137C6">
        <w:rPr>
          <w:rFonts w:ascii="Arial" w:hAnsi="Arial" w:cs="Arial"/>
          <w:sz w:val="20"/>
          <w:szCs w:val="20"/>
        </w:rPr>
        <w:t>cały obszar Polski. We współpracy z Głównym Inspektoratem Ochrony Środowiska oraz Inspektoratami wojewódzkimi, wytypowano w 11 województwach tj. dolnośląskim, lubelskim, lubuskim, małopolskim, opolskim, podkarpackim, podlaskim, pomorskim, śląskim, świętokrzyskim i zachodnio-pomorskim po 5 punktów pomiarowo-kontrolnych (ppk) zlokalizowanych w zlewniach rzek na obszarze tych województw. W województwie kujawsko-pomorskim próbki pobierano z 6 ppk, w województwie warmińsko-mazurskim wytypowano 7</w:t>
      </w:r>
      <w:r w:rsidR="003A1E09">
        <w:rPr>
          <w:rFonts w:ascii="Arial" w:hAnsi="Arial" w:cs="Arial"/>
          <w:sz w:val="20"/>
          <w:szCs w:val="20"/>
        </w:rPr>
        <w:t> </w:t>
      </w:r>
      <w:r w:rsidRPr="00D137C6">
        <w:rPr>
          <w:rFonts w:ascii="Arial" w:hAnsi="Arial" w:cs="Arial"/>
          <w:sz w:val="20"/>
          <w:szCs w:val="20"/>
        </w:rPr>
        <w:t xml:space="preserve">ppk, natomiast w województwie wielkopolskim pobór prowadzono w 10 ppk. </w:t>
      </w:r>
      <w:r w:rsidR="001150A3">
        <w:rPr>
          <w:rFonts w:ascii="Arial" w:hAnsi="Arial" w:cs="Arial"/>
          <w:sz w:val="20"/>
          <w:szCs w:val="20"/>
        </w:rPr>
        <w:t xml:space="preserve">Jak co roku, </w:t>
      </w:r>
      <w:r w:rsidR="006A318D">
        <w:rPr>
          <w:rFonts w:ascii="Arial" w:hAnsi="Arial" w:cs="Arial"/>
          <w:sz w:val="20"/>
          <w:szCs w:val="20"/>
        </w:rPr>
        <w:t>również w</w:t>
      </w:r>
      <w:r w:rsidR="003A1E09">
        <w:rPr>
          <w:rFonts w:ascii="Arial" w:hAnsi="Arial" w:cs="Arial"/>
          <w:sz w:val="20"/>
          <w:szCs w:val="20"/>
        </w:rPr>
        <w:t> </w:t>
      </w:r>
      <w:r w:rsidR="006A318D">
        <w:rPr>
          <w:rFonts w:ascii="Arial" w:hAnsi="Arial" w:cs="Arial"/>
          <w:sz w:val="20"/>
          <w:szCs w:val="20"/>
        </w:rPr>
        <w:t>2022 r. p</w:t>
      </w:r>
      <w:r w:rsidRPr="00D137C6">
        <w:rPr>
          <w:rFonts w:ascii="Arial" w:hAnsi="Arial" w:cs="Arial"/>
          <w:sz w:val="20"/>
          <w:szCs w:val="20"/>
        </w:rPr>
        <w:t>obór próbek wód z wyznaczonych lokalizacji zaplanowano w jednomiesięcznych odstępach czasu od kwietnia do października</w:t>
      </w:r>
      <w:r w:rsidR="006A318D">
        <w:rPr>
          <w:rFonts w:ascii="Arial" w:hAnsi="Arial" w:cs="Arial"/>
          <w:sz w:val="20"/>
          <w:szCs w:val="20"/>
        </w:rPr>
        <w:t>.</w:t>
      </w:r>
      <w:r w:rsidRPr="00D137C6">
        <w:rPr>
          <w:rFonts w:ascii="Arial" w:hAnsi="Arial" w:cs="Arial"/>
          <w:sz w:val="20"/>
          <w:szCs w:val="20"/>
        </w:rPr>
        <w:t xml:space="preserve"> Ponadto wytypowano, pobrano i przeanalizowano na obecność pestycydów próbki wód podziemnych w trzech terminach – wiosennym, letnim i jesiennym. Objęto badaniami trzy punkty o różnej charakterystyce tj. naturalne źródło w Łopiennie (powiat gnieźnieński, gmina Mieleszyn), studnię hydroforową o głębokości 55 m w Buku (powiat nowotomyski, gmina Buk) oraz studnię gospodarczą o głębokości 12 m w miejscowości Witkowo (powiat gnieźnieński, gmina Witkowo). W sumie do badań monitoringowych wód powierzchniowych wytypowano 78 ppk z terenu całej Polski oraz 3 punkty wód podziemnych. Łącznie w 2022 r. przebadano 445 próbek wód powierzchniowych </w:t>
      </w:r>
      <w:r w:rsidR="002052E7">
        <w:rPr>
          <w:rFonts w:ascii="Arial" w:hAnsi="Arial" w:cs="Arial"/>
          <w:sz w:val="20"/>
          <w:szCs w:val="20"/>
        </w:rPr>
        <w:t xml:space="preserve">(o </w:t>
      </w:r>
      <w:r w:rsidR="005F510D">
        <w:rPr>
          <w:rFonts w:ascii="Arial" w:hAnsi="Arial" w:cs="Arial"/>
          <w:sz w:val="20"/>
          <w:szCs w:val="20"/>
        </w:rPr>
        <w:t xml:space="preserve">86 mniej niż w 2021 r.) </w:t>
      </w:r>
      <w:r w:rsidRPr="00D137C6">
        <w:rPr>
          <w:rFonts w:ascii="Arial" w:hAnsi="Arial" w:cs="Arial"/>
          <w:sz w:val="20"/>
          <w:szCs w:val="20"/>
        </w:rPr>
        <w:t xml:space="preserve">oraz 9 próbek wód podziemnych. Próbki do badań pobierali </w:t>
      </w:r>
      <w:r w:rsidR="0035649C">
        <w:rPr>
          <w:rFonts w:ascii="Arial" w:hAnsi="Arial" w:cs="Arial"/>
          <w:sz w:val="20"/>
          <w:szCs w:val="20"/>
        </w:rPr>
        <w:t xml:space="preserve">jak zawsze </w:t>
      </w:r>
      <w:r w:rsidRPr="00D137C6">
        <w:rPr>
          <w:rFonts w:ascii="Arial" w:hAnsi="Arial" w:cs="Arial"/>
          <w:sz w:val="20"/>
          <w:szCs w:val="20"/>
        </w:rPr>
        <w:t xml:space="preserve">pracownicy wojewódzkich inspektoratów ochrony środowiska oraz ich delegatur w ramach planowego monitoringu wód powierzchniowych poszczególnych województw. </w:t>
      </w:r>
    </w:p>
    <w:p w14:paraId="4F0DCA36" w14:textId="3CA57D48" w:rsidR="009664C0" w:rsidRPr="00D137C6" w:rsidRDefault="009664C0" w:rsidP="009664C0">
      <w:pPr>
        <w:tabs>
          <w:tab w:val="left" w:pos="284"/>
        </w:tabs>
        <w:suppressAutoHyphens/>
        <w:autoSpaceDN w:val="0"/>
        <w:spacing w:after="120" w:line="360" w:lineRule="auto"/>
        <w:ind w:firstLine="284"/>
        <w:jc w:val="both"/>
        <w:textAlignment w:val="baseline"/>
        <w:rPr>
          <w:rFonts w:ascii="Arial" w:hAnsi="Arial" w:cs="Arial"/>
          <w:sz w:val="20"/>
          <w:szCs w:val="20"/>
        </w:rPr>
      </w:pPr>
      <w:r w:rsidRPr="00D137C6">
        <w:rPr>
          <w:rFonts w:ascii="Arial" w:hAnsi="Arial" w:cs="Arial"/>
          <w:sz w:val="20"/>
          <w:szCs w:val="20"/>
        </w:rPr>
        <w:t>Badaniami objęto 331 substancji czynnych środków ochrony roślin. Ogółem wykryto 74 substancje czynne w tym 32 herbicydy, 26 fungicydów, 12 insektycydów i 4 metabolity. W odniesieniu do wszystkich oznaczeń pozostałości w 2022 r</w:t>
      </w:r>
      <w:r w:rsidR="002014E3">
        <w:rPr>
          <w:rFonts w:ascii="Arial" w:hAnsi="Arial" w:cs="Arial"/>
          <w:sz w:val="20"/>
          <w:szCs w:val="20"/>
        </w:rPr>
        <w:t>.</w:t>
      </w:r>
      <w:r w:rsidRPr="00D137C6">
        <w:rPr>
          <w:rFonts w:ascii="Arial" w:hAnsi="Arial" w:cs="Arial"/>
          <w:sz w:val="20"/>
          <w:szCs w:val="20"/>
        </w:rPr>
        <w:t xml:space="preserve"> należy zwrócić uwagę na zbliżony udział w nich pozostałości substancji chwastobójczych i grzybobójczych. Jednakże w odniesieniu do wszystkich oznaczeń pozostałości w</w:t>
      </w:r>
      <w:r w:rsidR="00BE1E21">
        <w:rPr>
          <w:rFonts w:ascii="Arial" w:hAnsi="Arial" w:cs="Arial"/>
          <w:sz w:val="20"/>
          <w:szCs w:val="20"/>
        </w:rPr>
        <w:t> </w:t>
      </w:r>
      <w:r w:rsidRPr="00D137C6">
        <w:rPr>
          <w:rFonts w:ascii="Arial" w:hAnsi="Arial" w:cs="Arial"/>
          <w:sz w:val="20"/>
          <w:szCs w:val="20"/>
        </w:rPr>
        <w:t>2022 r</w:t>
      </w:r>
      <w:r w:rsidR="00BE1E21">
        <w:rPr>
          <w:rFonts w:ascii="Arial" w:hAnsi="Arial" w:cs="Arial"/>
          <w:sz w:val="20"/>
          <w:szCs w:val="20"/>
        </w:rPr>
        <w:t>.</w:t>
      </w:r>
      <w:r w:rsidRPr="00D137C6">
        <w:rPr>
          <w:rFonts w:ascii="Arial" w:hAnsi="Arial" w:cs="Arial"/>
          <w:sz w:val="20"/>
          <w:szCs w:val="20"/>
        </w:rPr>
        <w:t xml:space="preserve">, jednoznacznie należy podkreślić ponownie największy udział w nich pozostałości substancji </w:t>
      </w:r>
      <w:r w:rsidRPr="00D137C6">
        <w:rPr>
          <w:rFonts w:ascii="Arial" w:hAnsi="Arial" w:cs="Arial"/>
          <w:sz w:val="20"/>
          <w:szCs w:val="20"/>
        </w:rPr>
        <w:lastRenderedPageBreak/>
        <w:t>chwastobójczych. We wszystkich próbkach pozyskanych w 2022 r</w:t>
      </w:r>
      <w:r w:rsidR="008718B6">
        <w:rPr>
          <w:rFonts w:ascii="Arial" w:hAnsi="Arial" w:cs="Arial"/>
          <w:sz w:val="20"/>
          <w:szCs w:val="20"/>
        </w:rPr>
        <w:t>.</w:t>
      </w:r>
      <w:r w:rsidRPr="00D137C6">
        <w:rPr>
          <w:rFonts w:ascii="Arial" w:hAnsi="Arial" w:cs="Arial"/>
          <w:sz w:val="20"/>
          <w:szCs w:val="20"/>
        </w:rPr>
        <w:t xml:space="preserve"> poszukiwane substancje czynne zostały wykryte w sumie 771 razy, z czego 503 oznaczenia przypadały na herbicydy (65%), następnie 206 na fungicydy (27%) oraz 42 na insektycydy (5%) i 20 razy (3%) produkty przemiany pestycydów. </w:t>
      </w:r>
    </w:p>
    <w:p w14:paraId="4DAC6BD4" w14:textId="41CA22C6" w:rsidR="00653609" w:rsidRPr="00D137C6" w:rsidRDefault="009664C0" w:rsidP="00653609">
      <w:pPr>
        <w:tabs>
          <w:tab w:val="left" w:pos="284"/>
        </w:tabs>
        <w:suppressAutoHyphens/>
        <w:autoSpaceDN w:val="0"/>
        <w:spacing w:after="120" w:line="360" w:lineRule="auto"/>
        <w:ind w:firstLine="284"/>
        <w:jc w:val="both"/>
        <w:textAlignment w:val="baseline"/>
        <w:rPr>
          <w:rFonts w:ascii="Arial" w:hAnsi="Arial" w:cs="Arial"/>
          <w:sz w:val="20"/>
          <w:szCs w:val="20"/>
        </w:rPr>
      </w:pPr>
      <w:r w:rsidRPr="00D137C6">
        <w:rPr>
          <w:rFonts w:ascii="Arial" w:hAnsi="Arial" w:cs="Arial"/>
          <w:sz w:val="20"/>
          <w:szCs w:val="20"/>
        </w:rPr>
        <w:t>Najczęściej w 2022 r</w:t>
      </w:r>
      <w:r w:rsidR="004A636B">
        <w:rPr>
          <w:rFonts w:ascii="Arial" w:hAnsi="Arial" w:cs="Arial"/>
          <w:sz w:val="20"/>
          <w:szCs w:val="20"/>
        </w:rPr>
        <w:t>.</w:t>
      </w:r>
      <w:r w:rsidRPr="00D137C6">
        <w:rPr>
          <w:rFonts w:ascii="Arial" w:hAnsi="Arial" w:cs="Arial"/>
          <w:sz w:val="20"/>
          <w:szCs w:val="20"/>
        </w:rPr>
        <w:t xml:space="preserve"> wykrywano popularny herbicyd przeznaczony do zwalczania chwastów dwuliściennych – MCPA, który został wykryty w 17,5% próbek wód powierzchniowych, następnie flukonazol 17,3% i nieznacznie mu ustępujący pod względem częstotliwości wykryć kolejny fungicyd konazolowy tebukonazol 16,6% oraz kolejno herbicydy nikosulfuron 16,0%, terbutylazyna 15,0% i</w:t>
      </w:r>
      <w:r w:rsidR="0000542F">
        <w:rPr>
          <w:rFonts w:ascii="Arial" w:hAnsi="Arial" w:cs="Arial"/>
          <w:sz w:val="20"/>
          <w:szCs w:val="20"/>
        </w:rPr>
        <w:t> </w:t>
      </w:r>
      <w:r w:rsidRPr="00D137C6">
        <w:rPr>
          <w:rFonts w:ascii="Arial" w:hAnsi="Arial" w:cs="Arial"/>
          <w:sz w:val="20"/>
          <w:szCs w:val="20"/>
        </w:rPr>
        <w:t>bentazon w 13,7% próbek. Spośród najczęściej wykrywanych związków w 2022 r</w:t>
      </w:r>
      <w:r w:rsidR="00A342A7">
        <w:rPr>
          <w:rFonts w:ascii="Arial" w:hAnsi="Arial" w:cs="Arial"/>
          <w:sz w:val="20"/>
          <w:szCs w:val="20"/>
        </w:rPr>
        <w:t>.</w:t>
      </w:r>
      <w:r w:rsidRPr="00D137C6">
        <w:rPr>
          <w:rFonts w:ascii="Arial" w:hAnsi="Arial" w:cs="Arial"/>
          <w:sz w:val="20"/>
          <w:szCs w:val="20"/>
        </w:rPr>
        <w:t xml:space="preserve"> w pierwszej dziesiątce oznaczonych substancji czynnych znalazły się wyłącznie herbicydy i fungicydy. Dopiero na piętnastej pozycji możemy odnotować obecność pierwszego z insektycydów tj. związku z grupy neonikotynoidów – imidachloprydu (3,1% próbek). Biorąc pod uwagę wszystkie próbki wód powierzchniowych (445 próbki) to 211 z nich posiadało jedną lub więcej pozostałości poszukiwanych s.cz. środków ochrony roślin tj. 47,4% próbek</w:t>
      </w:r>
      <w:r w:rsidR="00A9479E">
        <w:rPr>
          <w:rFonts w:ascii="Arial" w:hAnsi="Arial" w:cs="Arial"/>
          <w:sz w:val="20"/>
          <w:szCs w:val="20"/>
        </w:rPr>
        <w:t>.</w:t>
      </w:r>
      <w:r w:rsidRPr="00D137C6">
        <w:rPr>
          <w:rFonts w:ascii="Arial" w:hAnsi="Arial" w:cs="Arial"/>
          <w:sz w:val="20"/>
          <w:szCs w:val="20"/>
        </w:rPr>
        <w:t xml:space="preserve"> Najwyższe pozostałości środków ochrony roślin w</w:t>
      </w:r>
      <w:r w:rsidR="0000542F">
        <w:rPr>
          <w:rFonts w:ascii="Arial" w:hAnsi="Arial" w:cs="Arial"/>
          <w:sz w:val="20"/>
          <w:szCs w:val="20"/>
        </w:rPr>
        <w:t> </w:t>
      </w:r>
      <w:r w:rsidRPr="00D137C6">
        <w:rPr>
          <w:rFonts w:ascii="Arial" w:hAnsi="Arial" w:cs="Arial"/>
          <w:sz w:val="20"/>
          <w:szCs w:val="20"/>
        </w:rPr>
        <w:t>2022</w:t>
      </w:r>
      <w:r w:rsidR="0000542F">
        <w:rPr>
          <w:rFonts w:ascii="Arial" w:hAnsi="Arial" w:cs="Arial"/>
          <w:sz w:val="20"/>
          <w:szCs w:val="20"/>
        </w:rPr>
        <w:t> </w:t>
      </w:r>
      <w:r w:rsidR="00FA0424">
        <w:rPr>
          <w:rFonts w:ascii="Arial" w:hAnsi="Arial" w:cs="Arial"/>
          <w:sz w:val="20"/>
          <w:szCs w:val="20"/>
        </w:rPr>
        <w:t>r</w:t>
      </w:r>
      <w:r w:rsidR="00FC03EE">
        <w:rPr>
          <w:rFonts w:ascii="Arial" w:hAnsi="Arial" w:cs="Arial"/>
          <w:sz w:val="20"/>
          <w:szCs w:val="20"/>
        </w:rPr>
        <w:t>.</w:t>
      </w:r>
      <w:r w:rsidRPr="00D137C6">
        <w:rPr>
          <w:rFonts w:ascii="Arial" w:hAnsi="Arial" w:cs="Arial"/>
          <w:sz w:val="20"/>
          <w:szCs w:val="20"/>
        </w:rPr>
        <w:t>, zarówno dla pojedynczych substancji jak i sum ich stężeń wykryto w rz. Noteci ppk Santok, województwo lubuskie. Najwyższe stężenie w ppk Santok odnotowano dla produktu przemian herbicydu pirydat – 6-chlor-3-fenylopirydazyn-4-ol (pyridafol), które wyniosło 32,843 µg/l, natomiast suma wszystkich s.cz. wykryta w tej próbce osiągnęła wartość 43,795 µg/l. Dla innych województw wysokie sumy stężeń oznaczano w małopolskiej rzece Skawie ppk Zator, – 14,800 µg/l, gdzie również za wysoką sumę odpowiedzialny był pyridafol, z kolei wysokie stężenie pozostałości herbicydu bentazonu skutkowało oznaczeniem sumy substancji o wartości – 9,898 µg/l w rzece Runii, ppk Krelikiejmy, województwo warmińsko-mazurskie. Wszystkie wspomniane wysokie wyniki zostały odnotowane w</w:t>
      </w:r>
      <w:r w:rsidR="0000542F">
        <w:rPr>
          <w:rFonts w:ascii="Arial" w:hAnsi="Arial" w:cs="Arial"/>
          <w:sz w:val="20"/>
          <w:szCs w:val="20"/>
        </w:rPr>
        <w:t> </w:t>
      </w:r>
      <w:r w:rsidRPr="00D137C6">
        <w:rPr>
          <w:rFonts w:ascii="Arial" w:hAnsi="Arial" w:cs="Arial"/>
          <w:sz w:val="20"/>
          <w:szCs w:val="20"/>
        </w:rPr>
        <w:t>czerwcu. Najwięcej substancji czynnych wykrytych jednocześnie w pojedynczej próbce wody zostały odnotowane w rz. Noteci ppk Santok, woj. lubuskie w czerwcu 20 s.cz. oraz w próbce z rzeki Runii ppk Krelikiejmy, woj. warmińsko-mazurskie w tym samym miesiącu – 18 związków.</w:t>
      </w:r>
    </w:p>
    <w:p w14:paraId="6AB176CF" w14:textId="77777777" w:rsidR="00653609" w:rsidRPr="00D137C6" w:rsidRDefault="00653609" w:rsidP="00653609">
      <w:pPr>
        <w:tabs>
          <w:tab w:val="left" w:pos="284"/>
        </w:tabs>
        <w:suppressAutoHyphens/>
        <w:autoSpaceDN w:val="0"/>
        <w:spacing w:before="120" w:after="120" w:line="360" w:lineRule="auto"/>
        <w:jc w:val="center"/>
        <w:textAlignment w:val="baseline"/>
        <w:rPr>
          <w:rFonts w:ascii="Arial" w:hAnsi="Arial" w:cs="Arial"/>
          <w:sz w:val="20"/>
          <w:szCs w:val="20"/>
        </w:rPr>
      </w:pPr>
      <w:r w:rsidRPr="00D137C6">
        <w:rPr>
          <w:rFonts w:ascii="Calibri" w:hAnsi="Calibri"/>
          <w:noProof/>
          <w:color w:val="000000"/>
          <w:sz w:val="20"/>
          <w:szCs w:val="20"/>
          <w:lang w:eastAsia="pl-PL"/>
        </w:rPr>
        <w:drawing>
          <wp:inline distT="0" distB="0" distL="0" distR="0" wp14:anchorId="1DE2522A" wp14:editId="73D363B6">
            <wp:extent cx="3587750" cy="3153410"/>
            <wp:effectExtent l="0" t="0" r="0" b="8890"/>
            <wp:docPr id="1491584748" name="Obraz 1491584748" descr="Obraz zawierający tekst, map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84748" name="Obraz 1491584748" descr="Obraz zawierający tekst, mapa, zrzut ekranu&#10;&#10;Opis wygenerowany automatyczni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1901" cy="3192216"/>
                    </a:xfrm>
                    <a:prstGeom prst="rect">
                      <a:avLst/>
                    </a:prstGeom>
                    <a:noFill/>
                    <a:ln>
                      <a:noFill/>
                    </a:ln>
                  </pic:spPr>
                </pic:pic>
              </a:graphicData>
            </a:graphic>
          </wp:inline>
        </w:drawing>
      </w:r>
    </w:p>
    <w:p w14:paraId="3527D863" w14:textId="77777777" w:rsidR="00653609" w:rsidRPr="00D137C6" w:rsidRDefault="00653609" w:rsidP="00653609">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D137C6">
        <w:rPr>
          <w:rFonts w:ascii="Arial" w:hAnsi="Arial" w:cs="Arial"/>
          <w:i/>
          <w:iCs/>
          <w:sz w:val="20"/>
          <w:szCs w:val="20"/>
        </w:rPr>
        <w:t>Lokalizacja punktów pomiarowo-kontrolnych w 2022 r. na mapie Polski</w:t>
      </w:r>
    </w:p>
    <w:p w14:paraId="54A52B1A" w14:textId="29B8CA22" w:rsidR="00653609" w:rsidRPr="00D137C6" w:rsidRDefault="00653609" w:rsidP="00653609">
      <w:pPr>
        <w:tabs>
          <w:tab w:val="left" w:pos="284"/>
        </w:tabs>
        <w:suppressAutoHyphens/>
        <w:autoSpaceDN w:val="0"/>
        <w:spacing w:after="120" w:line="360" w:lineRule="auto"/>
        <w:ind w:firstLine="284"/>
        <w:jc w:val="both"/>
        <w:textAlignment w:val="baseline"/>
        <w:rPr>
          <w:rFonts w:ascii="Arial" w:hAnsi="Arial" w:cs="Arial"/>
          <w:sz w:val="20"/>
          <w:szCs w:val="20"/>
        </w:rPr>
      </w:pPr>
      <w:r w:rsidRPr="00D137C6">
        <w:rPr>
          <w:rFonts w:ascii="Arial" w:hAnsi="Arial" w:cs="Arial"/>
          <w:sz w:val="20"/>
          <w:szCs w:val="20"/>
        </w:rPr>
        <w:lastRenderedPageBreak/>
        <w:t>W żadnej z próbek wód podziemnych pobranych w 2022 r</w:t>
      </w:r>
      <w:r w:rsidR="00901D11">
        <w:rPr>
          <w:rFonts w:ascii="Arial" w:hAnsi="Arial" w:cs="Arial"/>
          <w:sz w:val="20"/>
          <w:szCs w:val="20"/>
        </w:rPr>
        <w:t>.</w:t>
      </w:r>
      <w:r w:rsidRPr="00D137C6">
        <w:rPr>
          <w:rFonts w:ascii="Arial" w:hAnsi="Arial" w:cs="Arial"/>
          <w:sz w:val="20"/>
          <w:szCs w:val="20"/>
        </w:rPr>
        <w:t xml:space="preserve"> nie wykryto pozostałości pestycydów w</w:t>
      </w:r>
      <w:r w:rsidR="00F841F4">
        <w:rPr>
          <w:rFonts w:ascii="Arial" w:hAnsi="Arial" w:cs="Arial"/>
          <w:sz w:val="20"/>
          <w:szCs w:val="20"/>
        </w:rPr>
        <w:t> </w:t>
      </w:r>
      <w:r w:rsidRPr="00D137C6">
        <w:rPr>
          <w:rFonts w:ascii="Arial" w:hAnsi="Arial" w:cs="Arial"/>
          <w:sz w:val="20"/>
          <w:szCs w:val="20"/>
        </w:rPr>
        <w:t>stężeniach powyżej dolnej granicy oznaczalności poszukiwanych związków.</w:t>
      </w:r>
    </w:p>
    <w:p w14:paraId="48E407A5" w14:textId="40D8BE40" w:rsidR="00BC18A4" w:rsidRPr="00D137C6" w:rsidRDefault="00BC18A4" w:rsidP="00BC18A4">
      <w:pPr>
        <w:tabs>
          <w:tab w:val="left" w:pos="284"/>
        </w:tabs>
        <w:suppressAutoHyphens/>
        <w:autoSpaceDN w:val="0"/>
        <w:spacing w:after="120" w:line="360" w:lineRule="auto"/>
        <w:ind w:firstLine="284"/>
        <w:jc w:val="both"/>
        <w:textAlignment w:val="baseline"/>
        <w:rPr>
          <w:rFonts w:ascii="Arial" w:hAnsi="Arial" w:cs="Arial"/>
          <w:sz w:val="20"/>
          <w:szCs w:val="20"/>
        </w:rPr>
      </w:pPr>
      <w:bookmarkStart w:id="49" w:name="_Hlk153443120"/>
      <w:r>
        <w:rPr>
          <w:rFonts w:ascii="Arial" w:hAnsi="Arial" w:cs="Arial"/>
          <w:sz w:val="20"/>
          <w:szCs w:val="20"/>
        </w:rPr>
        <w:t>O</w:t>
      </w:r>
      <w:r w:rsidRPr="00D137C6">
        <w:rPr>
          <w:rFonts w:ascii="Arial" w:hAnsi="Arial" w:cs="Arial"/>
          <w:sz w:val="20"/>
          <w:szCs w:val="20"/>
        </w:rPr>
        <w:t>dnosząc się do Rozporządzenia Ministra Zdrowia z dnia 7 grudnia 2017 r. w sprawie jakości wody przeznaczonej do spożycia przez ludzi (Dz.U. 2017 poz. 2294)</w:t>
      </w:r>
      <w:r w:rsidR="00A214D1">
        <w:rPr>
          <w:rFonts w:ascii="Arial" w:hAnsi="Arial" w:cs="Arial"/>
          <w:sz w:val="20"/>
          <w:szCs w:val="20"/>
        </w:rPr>
        <w:t>,</w:t>
      </w:r>
      <w:r w:rsidRPr="00D137C6">
        <w:rPr>
          <w:rFonts w:ascii="Arial" w:hAnsi="Arial" w:cs="Arial"/>
          <w:sz w:val="20"/>
          <w:szCs w:val="20"/>
        </w:rPr>
        <w:t xml:space="preserve"> 223 oznaczenia pojedynczej substancji z wszystkich 771 potwierdzonych oznaczeń tj. 28,9% przekraczało graniczną wartość 0,1 µg/l. Natomiast w przypadku drugiej części wymagań, dotyczącej sumy stężeń pozostałości wykrytych s.cz. w pojedynczej próbce, 46 próbek wód powierzchniowych z pozyskanych 445 czyli 10,3% wszystkich było wyższe od dopuszczalnej sumy wynoszącej 0,5 µg/l.</w:t>
      </w:r>
    </w:p>
    <w:p w14:paraId="6F06297E" w14:textId="5288C076" w:rsidR="00BC18A4" w:rsidRPr="00D137C6" w:rsidRDefault="00BC18A4" w:rsidP="00BC18A4">
      <w:pPr>
        <w:tabs>
          <w:tab w:val="left" w:pos="284"/>
        </w:tabs>
        <w:suppressAutoHyphens/>
        <w:autoSpaceDN w:val="0"/>
        <w:spacing w:after="120" w:line="360" w:lineRule="auto"/>
        <w:ind w:firstLine="284"/>
        <w:jc w:val="both"/>
        <w:textAlignment w:val="baseline"/>
        <w:rPr>
          <w:rFonts w:ascii="Arial" w:hAnsi="Arial" w:cs="Arial"/>
          <w:sz w:val="20"/>
          <w:szCs w:val="20"/>
        </w:rPr>
      </w:pPr>
      <w:r w:rsidRPr="00D137C6">
        <w:rPr>
          <w:rFonts w:ascii="Arial" w:hAnsi="Arial" w:cs="Arial"/>
          <w:sz w:val="20"/>
          <w:szCs w:val="20"/>
        </w:rPr>
        <w:t>Najmniej substancji czynnych środków ochrony roślin znaleziono w próbkach wód z województw lubelskiego, pomorskiego i podlaskiego, z kolei najwięcej s.cz. wykryto w wytypowanych do badań zlewniach rzek województw warmińsko-mazurskiego, wielkopolskiego, kujawsko-pomorskiego i</w:t>
      </w:r>
      <w:r w:rsidR="00F841F4">
        <w:rPr>
          <w:rFonts w:ascii="Arial" w:hAnsi="Arial" w:cs="Arial"/>
          <w:sz w:val="20"/>
          <w:szCs w:val="20"/>
        </w:rPr>
        <w:t> </w:t>
      </w:r>
      <w:r w:rsidRPr="00D137C6">
        <w:rPr>
          <w:rFonts w:ascii="Arial" w:hAnsi="Arial" w:cs="Arial"/>
          <w:sz w:val="20"/>
          <w:szCs w:val="20"/>
        </w:rPr>
        <w:t>dolnośląskiego. W piętnastu punktach pomiarowo-kontrolnych w żadnym z terminów poboru próbek nie wykryto pozostałości poszukiwanych związków na poziomie wyższym od dolnej granicy oznaczalności. Trzy takie ppk znajdowały się w granicach województwa Świętokrzyskiego (rz. Nida, Trupień i Zwlecza), po dwie zlewnie w województwach Lubelskim (rz. Wieprz i kanał Wieprz-Krzna), Podkarpackim (rz. Łukawica i Wiar), Pomorskim (rz. Brda i Pokrzywna) oraz Śląskim (rz. Czadeczka i</w:t>
      </w:r>
      <w:r w:rsidR="00F841F4">
        <w:rPr>
          <w:rFonts w:ascii="Arial" w:hAnsi="Arial" w:cs="Arial"/>
          <w:sz w:val="20"/>
          <w:szCs w:val="20"/>
        </w:rPr>
        <w:t> </w:t>
      </w:r>
      <w:r w:rsidRPr="00D137C6">
        <w:rPr>
          <w:rFonts w:ascii="Arial" w:hAnsi="Arial" w:cs="Arial"/>
          <w:sz w:val="20"/>
          <w:szCs w:val="20"/>
        </w:rPr>
        <w:t>Pilica), a po jednej zlewni, z których pobrane próbki nie posiadały przez cały sezon monitoringowy żadnych pozostałości s.cz. zlokalizowane były w województwach Małopolskim (rz. Biała Przemsza), Podlaskim (rz. Narewka), Wielkopolskim (rz. Drawa) i Zachodniopomorskim (rz. Krępa).</w:t>
      </w:r>
    </w:p>
    <w:p w14:paraId="5F7355D1" w14:textId="745644C9" w:rsidR="00653609" w:rsidRPr="00D137C6" w:rsidRDefault="002102D8" w:rsidP="00653609">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Zestawiając wyniki w odniesieniu do r</w:t>
      </w:r>
      <w:r w:rsidR="00653609" w:rsidRPr="00D137C6">
        <w:rPr>
          <w:rFonts w:ascii="Arial" w:hAnsi="Arial" w:cs="Arial"/>
          <w:sz w:val="20"/>
          <w:szCs w:val="20"/>
        </w:rPr>
        <w:t>ozporządzeni</w:t>
      </w:r>
      <w:r>
        <w:rPr>
          <w:rFonts w:ascii="Arial" w:hAnsi="Arial" w:cs="Arial"/>
          <w:sz w:val="20"/>
          <w:szCs w:val="20"/>
        </w:rPr>
        <w:t>a</w:t>
      </w:r>
      <w:r w:rsidR="00653609" w:rsidRPr="00D137C6">
        <w:rPr>
          <w:rFonts w:ascii="Arial" w:hAnsi="Arial" w:cs="Arial"/>
          <w:sz w:val="20"/>
          <w:szCs w:val="20"/>
        </w:rPr>
        <w:t xml:space="preserve"> Ministra Gospodarki Morskiej i Żeglugi Śródlądowej z dnia 29 sierpnia 2019</w:t>
      </w:r>
      <w:r w:rsidR="0084585A">
        <w:rPr>
          <w:rFonts w:ascii="Arial" w:hAnsi="Arial" w:cs="Arial"/>
          <w:sz w:val="20"/>
          <w:szCs w:val="20"/>
        </w:rPr>
        <w:t> </w:t>
      </w:r>
      <w:r w:rsidR="00653609" w:rsidRPr="00D137C6">
        <w:rPr>
          <w:rFonts w:ascii="Arial" w:hAnsi="Arial" w:cs="Arial"/>
          <w:sz w:val="20"/>
          <w:szCs w:val="20"/>
        </w:rPr>
        <w:t>r. w sprawie wymagań, jakimi powinny odpowiadać wody powierzchniowe wykorzystywane do zaopatrzenia ludności w wodę przeznaczoną do spożycia przez ludzi (Dz.U. 2019 poz. 1747) 421 próbek tj. 94,61 % wszystkich pobranych spełniło wymagania dla najwyższej kategorii czystości wód powierzchniowych A1, 15 próbek (3,37%) klasyfikowało się w</w:t>
      </w:r>
      <w:r w:rsidR="0084585A">
        <w:rPr>
          <w:rFonts w:ascii="Arial" w:hAnsi="Arial" w:cs="Arial"/>
          <w:sz w:val="20"/>
          <w:szCs w:val="20"/>
        </w:rPr>
        <w:t> </w:t>
      </w:r>
      <w:r w:rsidR="00653609" w:rsidRPr="00D137C6">
        <w:rPr>
          <w:rFonts w:ascii="Arial" w:hAnsi="Arial" w:cs="Arial"/>
          <w:sz w:val="20"/>
          <w:szCs w:val="20"/>
        </w:rPr>
        <w:t>kategorii A2 oraz 2 próbki (0,45%) znalazło się w kategorii A3, z kolei 7 próbek (1,57%) wykraczało poza wymagania kwalifikacji (suma pozostałości powyżej 5 µg/l).</w:t>
      </w:r>
    </w:p>
    <w:bookmarkEnd w:id="49"/>
    <w:p w14:paraId="66B016CE" w14:textId="77777777" w:rsidR="00653609" w:rsidRPr="00D137C6" w:rsidRDefault="00653609" w:rsidP="00653609">
      <w:pPr>
        <w:tabs>
          <w:tab w:val="left" w:pos="284"/>
        </w:tabs>
        <w:suppressAutoHyphens/>
        <w:autoSpaceDN w:val="0"/>
        <w:spacing w:after="120" w:line="360" w:lineRule="auto"/>
        <w:ind w:firstLine="284"/>
        <w:jc w:val="center"/>
        <w:textAlignment w:val="baseline"/>
        <w:rPr>
          <w:rFonts w:ascii="Arial" w:hAnsi="Arial" w:cs="Arial"/>
          <w:sz w:val="20"/>
          <w:szCs w:val="20"/>
        </w:rPr>
      </w:pPr>
      <w:r w:rsidRPr="00D137C6">
        <w:rPr>
          <w:rFonts w:ascii="Arial" w:hAnsi="Arial" w:cs="Arial"/>
          <w:noProof/>
          <w:sz w:val="20"/>
          <w:szCs w:val="20"/>
          <w:lang w:eastAsia="pl-PL"/>
        </w:rPr>
        <w:drawing>
          <wp:inline distT="0" distB="0" distL="0" distR="0" wp14:anchorId="7F869460" wp14:editId="254141E4">
            <wp:extent cx="4248150" cy="2260600"/>
            <wp:effectExtent l="0" t="0" r="0" b="6350"/>
            <wp:docPr id="1600251292" name="Wykres 1600251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67BB8C" w14:textId="73792B93" w:rsidR="00653609" w:rsidRPr="00D137C6" w:rsidRDefault="00653609" w:rsidP="00653609">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D137C6">
        <w:rPr>
          <w:rFonts w:ascii="Arial" w:hAnsi="Arial" w:cs="Arial"/>
          <w:i/>
          <w:sz w:val="20"/>
          <w:szCs w:val="20"/>
        </w:rPr>
        <w:t>Wyniki badań w 2022 r</w:t>
      </w:r>
      <w:r w:rsidR="0084585A">
        <w:rPr>
          <w:rFonts w:ascii="Arial" w:hAnsi="Arial" w:cs="Arial"/>
          <w:i/>
          <w:sz w:val="20"/>
          <w:szCs w:val="20"/>
        </w:rPr>
        <w:t>.</w:t>
      </w:r>
      <w:r w:rsidRPr="00D137C6">
        <w:rPr>
          <w:rFonts w:ascii="Arial" w:hAnsi="Arial" w:cs="Arial"/>
          <w:i/>
          <w:sz w:val="20"/>
          <w:szCs w:val="20"/>
        </w:rPr>
        <w:t xml:space="preserve"> w odniesieniu do rozporządzenia Ministra Gospodarki Morskiej i Żeglugi Śródlądowej </w:t>
      </w:r>
    </w:p>
    <w:p w14:paraId="784E7F89" w14:textId="24504AE0"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r w:rsidRPr="00925BCD">
        <w:rPr>
          <w:rFonts w:ascii="Arial" w:hAnsi="Arial" w:cs="Arial"/>
          <w:b/>
          <w:bCs/>
          <w:i/>
        </w:rPr>
        <w:lastRenderedPageBreak/>
        <w:t>Badania prowadzone w ramach programu wieloletniego Instytutu Ogrodnictwa</w:t>
      </w:r>
      <w:r w:rsidR="007B6EFE">
        <w:rPr>
          <w:rFonts w:ascii="Arial" w:hAnsi="Arial" w:cs="Arial"/>
          <w:b/>
          <w:bCs/>
          <w:i/>
        </w:rPr>
        <w:t xml:space="preserve"> </w:t>
      </w:r>
      <w:r w:rsidR="0046312A" w:rsidRPr="0046312A">
        <w:rPr>
          <w:rFonts w:ascii="Arial" w:hAnsi="Arial" w:cs="Arial"/>
          <w:b/>
          <w:bCs/>
          <w:i/>
        </w:rPr>
        <w:t>– PIB</w:t>
      </w:r>
      <w:r w:rsidRPr="00925BCD">
        <w:rPr>
          <w:rFonts w:ascii="Arial" w:hAnsi="Arial" w:cs="Arial"/>
          <w:b/>
          <w:bCs/>
          <w:i/>
        </w:rPr>
        <w:t xml:space="preserve"> pn. </w:t>
      </w:r>
      <w:r w:rsidRPr="00925BCD">
        <w:rPr>
          <w:rFonts w:ascii="Arial" w:hAnsi="Arial" w:cs="Arial"/>
          <w:b/>
          <w:bCs/>
          <w:i/>
          <w:iCs/>
        </w:rPr>
        <w:t>Działania na rzecz poprawy konkurencyjności i innowacyjności sektora ogrodniczego z uwzględnieniem jakości i bezpieczeństwa żywności oraz ochrony środowiska naturalnego</w:t>
      </w:r>
      <w:bookmarkEnd w:id="47"/>
    </w:p>
    <w:p w14:paraId="767FA5CC"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badania kontrolne prób wody przeprowadzone w Zakładzie Badania Bezpieczeństwa Żywności objęły 92 substancje czynne środków ochrony roślin, ich izomerów i metabolitów wykonanych w tzw. metodzie wielopozostałościowej. Próbki do badań, zgodnie z wcześniej ustalonym harmonogramem, pobierali pracownicy Wojewódzkiego Inspektoratu Ochrony Środowiska w Warszawie, a następnie dostarczali je do Zakładu Badania Bezpieczeństwa Żywności. Próby pobrane zostały z dwudziestu punktów poboru obejmujących dorzecze Wisły, z obszarów o intensywnej produkcji rolniczej i ogrodniczej, w okresie od końca maja do początku października.</w:t>
      </w:r>
    </w:p>
    <w:p w14:paraId="1A088D34"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Ogółem przebadano 100 próbek wody, wykonując łącznie 9 200 analiz pozostałości środków ochrony roślin. W 32 próbach, czyli w 32% ogółu analizowanych, nie stwierdzono obecności pozostałości środków ochrony roślin. W 29 próbach, czyli w 29% wykryto pozostałości, których suma wynosiła poniżej 0,1µg/L, w 28 próbach, czyli w 28% wykryto pozostałości, których suma wynosiła między 0,1 a 0,5µg/L. W 4 próbach, czyli w 4% wykryto pozostałości, których suma wynosiła między 0,5 a 1,0µg/L. Wyniki badań wskazują, że 96% prób można zakwalifikować do kategorii A1 jakości wody, wg rozporządzenia Ministra Środowiska z dnia 27 listopada 2002 r. w sprawie wymagań, jakim powinny odpowiadać wody powierzchniowe wykorzystywane do zaopatrzenia ludności w wodę przeznaczoną do spożycia (Dz. U. poz. 1728). W czterech próbach wody wykryto pozostałości, których suma wynosiła między 1,0 a 3,0 µg/L, co kwalifikowało te próby do kategorii A2 jakości wody. Najwyższa zawartość pozostałości  w badanych próbach wody wyniosła 2,94 µg/L pozostałości środków ochrony roślin, co</w:t>
      </w:r>
      <w:r w:rsidR="004219CD" w:rsidRPr="00925BCD">
        <w:rPr>
          <w:rFonts w:ascii="Arial" w:hAnsi="Arial" w:cs="Arial"/>
        </w:rPr>
        <w:t> </w:t>
      </w:r>
      <w:r w:rsidRPr="00925BCD">
        <w:rPr>
          <w:rFonts w:ascii="Arial" w:hAnsi="Arial" w:cs="Arial"/>
        </w:rPr>
        <w:t>kwalifikowało tą próbę do kategorii A2 jakości wody. Powyższe dane zostały przedstawione rysunku poniżej.</w:t>
      </w:r>
    </w:p>
    <w:p w14:paraId="551DD4BD" w14:textId="77777777" w:rsidR="004219CD" w:rsidRPr="00925BCD" w:rsidRDefault="00E54725">
      <w:pPr>
        <w:pStyle w:val="NormalnyWeb"/>
        <w:tabs>
          <w:tab w:val="left" w:pos="284"/>
        </w:tabs>
        <w:spacing w:before="280" w:after="120" w:afterAutospacing="0" w:line="360" w:lineRule="auto"/>
        <w:ind w:firstLine="284"/>
        <w:jc w:val="both"/>
        <w:rPr>
          <w:rFonts w:ascii="Arial" w:hAnsi="Arial" w:cs="Arial"/>
        </w:rPr>
      </w:pPr>
      <w:r w:rsidRPr="00925BCD">
        <w:rPr>
          <w:noProof/>
        </w:rPr>
        <w:drawing>
          <wp:inline distT="0" distB="0" distL="0" distR="0" wp14:anchorId="69F5B641" wp14:editId="585E2B68">
            <wp:extent cx="4876800" cy="2279650"/>
            <wp:effectExtent l="0" t="0" r="0" b="6350"/>
            <wp:docPr id="6" name="Obiekt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77301F"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wykazały, że suma wykrywanych pozostałości środków ochrony roślin w analizowanych wodach powierzchniowych nie była duża i najczęściej (w 85% prób) wynosiła poniżej 0,5µg/L. W 22% badanych prób nie wykryto pozostałości środków ochrony roślin. W pozostałych 78% prób wykrywano 21 pojedynczych pozostałości po stosowaniu różnych herbicydów, insektycydów i fungicydów. Relatywnie, najwięcej pozostałości stwierdzono w czerwcu, w punkcie poboru: „Jeziorka – Skolimów </w:t>
      </w:r>
      <w:r w:rsidRPr="00925BCD">
        <w:rPr>
          <w:rFonts w:ascii="Arial" w:hAnsi="Arial" w:cs="Arial"/>
        </w:rPr>
        <w:lastRenderedPageBreak/>
        <w:t>ul. Dworska”. Badania tej próby wykazały wysokie stężenie repelentu DEET wynoszące 2.8 µg/L. Jedynym miejscem poboru, w którym nie wykryto żadnych pestycydów był punkt „Kanał Bielińskiego (Jagodzianka) – Łukowiec”. Najczęściej wykrywaną substancją był DEET, który ma zastosowanie jako środek odstraszający na owady. W 51 próbach, pochodzących ze wszystkich punktów poboru stwierdzono obecność tego związku w ilościach od 0,05 do 2,79 µg/L. W blisko 40% prób wykrywano MCPA, a w nieco ponad 10% prób - bentazon i 2,4-D (herbicydy).</w:t>
      </w:r>
    </w:p>
    <w:p w14:paraId="1B7E10D2" w14:textId="11F23E1F"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 ramach współpracy z Wojewódzkimi Inspektoratami Ochrony Środowiska w Warszawie i w Łodzi, w Zakładzie Badania Bezpieczeństwa Żywności zostały wykonane analizy prób wody powierzchniowej obejmujące Wisłę i jej dorzecza z obszaru od Wilgi do Warszawy. Próbki analizowano przy użyciu chromatografu cieczowego z podwójnym detektorem masowym (LC-MS/MS) i akredytowanej na tym sprzęcie metody PB-02 oraz nową, nieakredytowaną metodą PB-03: „Oznaczanie pestycydów w wodzie przy użyciu GC-MS/MS”. Analizy obejmowały możliwość detekcji 193 substancji biologicznie czynnych środków ochrony roślin, ich izomerów i metabolitów, z czułością co najmniej 0,1-0,05 µg/L.</w:t>
      </w:r>
    </w:p>
    <w:p w14:paraId="4E580FFF" w14:textId="5B391339"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Ogółem przebadano 100 prób pochodzących z 20 miejsc poboru. W 44 próbach, czyli w 44% ogółu analizowanych, nie stwierdzono obecności pozostałości środków ochrony roślin. W 21 próbach, czyli w</w:t>
      </w:r>
      <w:r w:rsidR="004219CD" w:rsidRPr="00925BCD">
        <w:rPr>
          <w:rFonts w:ascii="Arial" w:hAnsi="Arial" w:cs="Arial"/>
        </w:rPr>
        <w:t> </w:t>
      </w:r>
      <w:r w:rsidRPr="00925BCD">
        <w:rPr>
          <w:rFonts w:ascii="Arial" w:hAnsi="Arial" w:cs="Arial"/>
        </w:rPr>
        <w:t xml:space="preserve">21% wykryto pozostałości, których suma wynosiła poniżej 0,1 µg/L, w 27 próbach, czyli w 27% wykryto pozostałości, których suma wynosiła między 0,1 a 0,5 µg/L. W jednej próbie, czyli w 1% wykryto pozostałości, których suma wynosiła między 0,5 a 1,0 µg/L. Wyniki badań wskazują, że 93% prób można zakwalifikować do kategorii A1 jakości wody, wg rozporządzenia </w:t>
      </w:r>
      <w:r w:rsidR="00D60F59" w:rsidRPr="00A533BA">
        <w:rPr>
          <w:rFonts w:ascii="Arial" w:hAnsi="Arial" w:cs="Arial"/>
        </w:rPr>
        <w:t xml:space="preserve">Ministra Gospodarki Morskiej </w:t>
      </w:r>
      <w:r w:rsidR="003E2E33" w:rsidRPr="00A533BA">
        <w:rPr>
          <w:rFonts w:ascii="Arial" w:hAnsi="Arial" w:cs="Arial"/>
        </w:rPr>
        <w:t>i</w:t>
      </w:r>
      <w:r w:rsidR="003E2E33">
        <w:rPr>
          <w:rFonts w:ascii="Arial" w:hAnsi="Arial" w:cs="Arial"/>
        </w:rPr>
        <w:t> </w:t>
      </w:r>
      <w:r w:rsidR="00D60F59" w:rsidRPr="00A533BA">
        <w:rPr>
          <w:rFonts w:ascii="Arial" w:hAnsi="Arial" w:cs="Arial"/>
        </w:rPr>
        <w:t>Żeglugi Śródlądowej z dnia 29 sierpnia 2019 r. w sprawie wymagań, jakim powinny odpowiadać wody powierzchniowe wykorzystywane do zaopatrzenia ludności w wodę przeznaczoną do spożycia przez ludzi (Dz. U. poz. 1747)</w:t>
      </w:r>
      <w:r w:rsidRPr="00925BCD">
        <w:rPr>
          <w:rFonts w:ascii="Arial" w:hAnsi="Arial" w:cs="Arial"/>
        </w:rPr>
        <w:t>. W pozostałych siedmiu próbach wody wykryto pozostałości, których suma wynosiła między 1,0 a</w:t>
      </w:r>
      <w:r w:rsidR="004219CD" w:rsidRPr="00925BCD">
        <w:rPr>
          <w:rFonts w:ascii="Arial" w:hAnsi="Arial" w:cs="Arial"/>
        </w:rPr>
        <w:t> </w:t>
      </w:r>
      <w:r w:rsidRPr="00925BCD">
        <w:rPr>
          <w:rFonts w:ascii="Arial" w:hAnsi="Arial" w:cs="Arial"/>
        </w:rPr>
        <w:t>2,5 µg/L, co kwalifikowało te próby do kategorii A2 jakości wody. Najwyższa zawartość pozostałości w badanych próbach wody wyniosła 2,2 µg/L pozostałości środków ochrony roślin. Najczęściej wykrywaną substancją był MCPA, który ma zastosowanie jako herbicyd. Stwierdzono jego obecność w 39 próbach, pochodzących z różnych punktów i terminów poboru, w stężeniach: od</w:t>
      </w:r>
      <w:r w:rsidR="00D91B60">
        <w:rPr>
          <w:rFonts w:ascii="Arial" w:hAnsi="Arial" w:cs="Arial"/>
        </w:rPr>
        <w:t> </w:t>
      </w:r>
      <w:r w:rsidRPr="00925BCD">
        <w:rPr>
          <w:rFonts w:ascii="Arial" w:hAnsi="Arial" w:cs="Arial"/>
        </w:rPr>
        <w:t>0,016 do 1,12 µg/L. Najwięcej pozostałości w każdym miesiącu stwierdzano w punkcie poboru: nr PL01S0901_1411 „Moszczanka – Godaszewice”. W próbie tej pobranej w czerwcu zaobserwowano najwyższe sumaryczne stężenie badanych pestycydów wynoszące 2,2 µg/L, przy czym niemal połowę tej wartości stanowił Pirymetanil (fungicyd) występujący w stężeniu 1,04 µg/L. W dwóch punktach poboru nie wykryto żadnych z badanych pestycydów. Były to: punkt nr PL01S0901_1414 „Spała – Gać” oraz. punkt nr PL01S0901_1391 „Pilica – Sulejów”.</w:t>
      </w:r>
    </w:p>
    <w:p w14:paraId="1B1936E1" w14:textId="6F6DFE77" w:rsidR="00B40925" w:rsidRDefault="00B40925" w:rsidP="00B40925">
      <w:pPr>
        <w:pStyle w:val="NormalnyWeb"/>
        <w:tabs>
          <w:tab w:val="left" w:pos="284"/>
        </w:tabs>
        <w:spacing w:beforeAutospacing="0" w:after="120" w:afterAutospacing="0" w:line="360" w:lineRule="auto"/>
        <w:ind w:firstLine="284"/>
        <w:jc w:val="both"/>
        <w:rPr>
          <w:rFonts w:ascii="Arial" w:hAnsi="Arial" w:cs="Arial"/>
        </w:rPr>
      </w:pPr>
      <w:r w:rsidRPr="002E51A8">
        <w:rPr>
          <w:rFonts w:ascii="Arial" w:hAnsi="Arial" w:cs="Arial"/>
          <w:b/>
        </w:rPr>
        <w:t xml:space="preserve">W </w:t>
      </w:r>
      <w:r w:rsidR="00D03691" w:rsidRPr="002E51A8">
        <w:rPr>
          <w:rFonts w:ascii="Arial" w:hAnsi="Arial" w:cs="Arial"/>
          <w:b/>
        </w:rPr>
        <w:t>2020</w:t>
      </w:r>
      <w:r w:rsidR="00D03691">
        <w:rPr>
          <w:rFonts w:ascii="Arial" w:hAnsi="Arial" w:cs="Arial"/>
          <w:b/>
        </w:rPr>
        <w:t> </w:t>
      </w:r>
      <w:r w:rsidRPr="002E51A8">
        <w:rPr>
          <w:rFonts w:ascii="Arial" w:hAnsi="Arial" w:cs="Arial"/>
          <w:b/>
        </w:rPr>
        <w:t>r</w:t>
      </w:r>
      <w:r w:rsidR="0085251F">
        <w:rPr>
          <w:rFonts w:ascii="Arial" w:hAnsi="Arial" w:cs="Arial"/>
          <w:b/>
        </w:rPr>
        <w:t>.</w:t>
      </w:r>
      <w:r w:rsidRPr="002E51A8">
        <w:rPr>
          <w:rFonts w:ascii="Arial" w:hAnsi="Arial" w:cs="Arial"/>
        </w:rPr>
        <w:t xml:space="preserve"> kontynuowano współpracę z Wojewódzkimi Inspektoratami Ochrony Środowiska w</w:t>
      </w:r>
      <w:r w:rsidR="00DB398B">
        <w:rPr>
          <w:rFonts w:ascii="Arial" w:hAnsi="Arial" w:cs="Arial"/>
        </w:rPr>
        <w:t> </w:t>
      </w:r>
      <w:r w:rsidRPr="002E51A8">
        <w:rPr>
          <w:rFonts w:ascii="Arial" w:hAnsi="Arial" w:cs="Arial"/>
        </w:rPr>
        <w:t xml:space="preserve">Warszawie i w Łodzi Na ich zlecenie zostały wykonane analizy prób wody powierzchniowej obejmujące Wisłę i jej dorzecza z obszaru od Wilgi do Warszawy. Ogółem przebadano 100 prób pochodzących z 20 miejsc poboru. W 42 próbach, czyli w 42% ogółu analizowanych, nie stwierdzono obecności pozostałości środków ochrony roślin. W 16 próbach, czyli w 16% wykryto pozostałości, których suma wynosiła poniżej 0,1 µg/L, w 27 próbach, czyli w 27% wykryto pozostałości, których suma </w:t>
      </w:r>
      <w:r w:rsidRPr="002E51A8">
        <w:rPr>
          <w:rFonts w:ascii="Arial" w:hAnsi="Arial" w:cs="Arial"/>
        </w:rPr>
        <w:lastRenderedPageBreak/>
        <w:t>wynosiła między 0,1 a 0,5 µg/L. W 6 próbach, czyli w 6% wykryto pozostałości, których suma wynosiła między 0,5 a 1,0 µg/L, w 6 próbach (6%) między 1 a 5 µg/L, w 2 próbkach – między 5 a 10 µg/L i w</w:t>
      </w:r>
      <w:r w:rsidR="002331DE">
        <w:rPr>
          <w:rFonts w:ascii="Arial" w:hAnsi="Arial" w:cs="Arial"/>
        </w:rPr>
        <w:t> </w:t>
      </w:r>
      <w:r w:rsidRPr="002E51A8">
        <w:rPr>
          <w:rFonts w:ascii="Arial" w:hAnsi="Arial" w:cs="Arial"/>
        </w:rPr>
        <w:t xml:space="preserve">jednej ponad 28 µg/L. Wyniki badań wskazują, że 91% prób można zakwalifikować do kategorii A1 jakości wody, wg rozporządzenia </w:t>
      </w:r>
      <w:r w:rsidR="00D60F59" w:rsidRPr="00A533BA">
        <w:rPr>
          <w:rFonts w:ascii="Arial" w:hAnsi="Arial" w:cs="Arial"/>
        </w:rPr>
        <w:t>Ministra Gospodarki Morskiej i Żeglugi Śródlądowej z dnia 29 sierpnia 2019</w:t>
      </w:r>
      <w:r w:rsidR="002331DE">
        <w:rPr>
          <w:rFonts w:ascii="Arial" w:hAnsi="Arial" w:cs="Arial"/>
        </w:rPr>
        <w:t> </w:t>
      </w:r>
      <w:r w:rsidR="00D60F59" w:rsidRPr="00A533BA">
        <w:rPr>
          <w:rFonts w:ascii="Arial" w:hAnsi="Arial" w:cs="Arial"/>
        </w:rPr>
        <w:t>r. w sprawie wymagań, jakim powinny odpowiadać wody powierzchniowe wykorzystywane do zaopatrzenia ludności w wodę przeznaczoną do spożycia przez ludzi (Dz. U. poz. 1747)</w:t>
      </w:r>
      <w:r w:rsidRPr="002E51A8">
        <w:rPr>
          <w:rFonts w:ascii="Arial" w:hAnsi="Arial" w:cs="Arial"/>
        </w:rPr>
        <w:t>. W pięciu próbkach wody wykryto pozostałości, których suma wynosiła między 1,0 a 2,5 µg/L, co kwalifikowało te próby do kategorii A2 jakości wody, a w trzech – do kategorii A3. Najwyższa zawartość pozostałości środków ochrony roślin w badanych próbach wody wyniosła 28,5 µg/L, pobrana w lipcu z punktu PL01S0701_1095 – Pilica Ostrówek. Głównym komponentem tego zanieczyszczenia był repelent DEET. Najczęściej wykrywaną substancją był MCPA, który ma zastosowanie jako herbicyd. Stwierdzono jego obecność w 39 próbach, pochodzących z różnych punktów i terminów poboru, w</w:t>
      </w:r>
      <w:r w:rsidR="00DB398B">
        <w:rPr>
          <w:rFonts w:ascii="Arial" w:hAnsi="Arial" w:cs="Arial"/>
        </w:rPr>
        <w:t> </w:t>
      </w:r>
      <w:r w:rsidRPr="002E51A8">
        <w:rPr>
          <w:rFonts w:ascii="Arial" w:hAnsi="Arial" w:cs="Arial"/>
        </w:rPr>
        <w:t>stężeniach: od 0,02 do 0,52 µg/L. Pozostałe najczęściej wykrywane substancje to repelent DEET (25% próbek) i herbicyd bentazon (23% próbek).</w:t>
      </w:r>
    </w:p>
    <w:p w14:paraId="14EFB790" w14:textId="05B60825" w:rsidR="00447DD4" w:rsidRDefault="00B543B3" w:rsidP="00A62FD2">
      <w:pPr>
        <w:pStyle w:val="NormalnyWeb"/>
        <w:tabs>
          <w:tab w:val="left" w:pos="284"/>
        </w:tabs>
        <w:spacing w:beforeAutospacing="0" w:after="120" w:afterAutospacing="0" w:line="360" w:lineRule="auto"/>
        <w:ind w:firstLine="284"/>
        <w:jc w:val="both"/>
        <w:rPr>
          <w:rFonts w:ascii="Arial" w:hAnsi="Arial" w:cs="Arial"/>
        </w:rPr>
      </w:pPr>
      <w:r w:rsidRPr="00AF4A02">
        <w:rPr>
          <w:rFonts w:ascii="Arial" w:hAnsi="Arial" w:cs="Arial"/>
          <w:bCs/>
        </w:rPr>
        <w:t xml:space="preserve">Podobnie jak w </w:t>
      </w:r>
      <w:r w:rsidR="00694088" w:rsidRPr="00AF4A02">
        <w:rPr>
          <w:rFonts w:ascii="Arial" w:hAnsi="Arial" w:cs="Arial"/>
          <w:bCs/>
        </w:rPr>
        <w:t>202</w:t>
      </w:r>
      <w:r w:rsidR="009F0F8C" w:rsidRPr="00AF4A02">
        <w:rPr>
          <w:rFonts w:ascii="Arial" w:hAnsi="Arial" w:cs="Arial"/>
          <w:bCs/>
        </w:rPr>
        <w:t>0</w:t>
      </w:r>
      <w:r w:rsidR="00694088" w:rsidRPr="00AF4A02">
        <w:rPr>
          <w:rFonts w:ascii="Arial" w:hAnsi="Arial" w:cs="Arial"/>
          <w:bCs/>
        </w:rPr>
        <w:t xml:space="preserve"> r</w:t>
      </w:r>
      <w:r w:rsidR="009F0F8C" w:rsidRPr="00AF4A02">
        <w:rPr>
          <w:rFonts w:ascii="Arial" w:hAnsi="Arial" w:cs="Arial"/>
          <w:bCs/>
        </w:rPr>
        <w:t>.</w:t>
      </w:r>
      <w:r w:rsidR="00694088" w:rsidRPr="00AF4A02">
        <w:rPr>
          <w:rFonts w:ascii="Arial" w:hAnsi="Arial" w:cs="Arial"/>
          <w:bCs/>
        </w:rPr>
        <w:t xml:space="preserve"> również w </w:t>
      </w:r>
      <w:r w:rsidR="00B43490" w:rsidRPr="00AF4A02">
        <w:rPr>
          <w:rFonts w:ascii="Arial" w:hAnsi="Arial" w:cs="Arial"/>
          <w:b/>
        </w:rPr>
        <w:t>2021 r</w:t>
      </w:r>
      <w:r w:rsidR="009F0F8C" w:rsidRPr="00AF4A02">
        <w:rPr>
          <w:rFonts w:ascii="Arial" w:hAnsi="Arial" w:cs="Arial"/>
          <w:b/>
        </w:rPr>
        <w:t>.</w:t>
      </w:r>
      <w:r w:rsidR="00B43490" w:rsidRPr="00AF4A02">
        <w:rPr>
          <w:rFonts w:ascii="Arial" w:hAnsi="Arial" w:cs="Arial"/>
        </w:rPr>
        <w:t xml:space="preserve"> kontynuowano współpracę z Wojewódzkimi Inspektoratami Ochrony Środowiska w Warszawie i w Łodzi. W ramach dotacji celowej zostały wykonane analizy prób wody powierzchniowej obejmujące Wisłę i jej dorzecza z obszaru od Wilgi do Warszawy. Ogółem przebadano 200 prób pochodzących z 20 miejsc poboru z terenu województwa mazowieckiego i z 20 miejsc poboru z terenu województwa łódzkiego. Wyniki badań wykazały, że w 66 próbkach, czyli w 33% ogółu analizowanych, nie stwierdzono obecności analizowanych pozostałości środków ochrony roślin. W 52 próbkach, czyli w 26% wykryto pozostałości, których suma wynosiła poniżej 0,1 µg/L, w 64 próbkach, czyli w 32% wykryto pozostałości, których suma wynosiła między 0,1 a 0,5 µg/L. W 12 próbkach, czyli w 6% wykryto pozostałości, których suma wynosiła między 0,5 a 1,0 µg/L. Wyniki badań wskazują, że 97% prób można zakwalifikować do kategorii A1 jakości wody, wg </w:t>
      </w:r>
      <w:r w:rsidR="0004504F" w:rsidRPr="00AF4A02">
        <w:rPr>
          <w:rFonts w:ascii="Arial" w:hAnsi="Arial" w:cs="Arial"/>
        </w:rPr>
        <w:t xml:space="preserve">rozporządzenia Ministra Gospodarki Morskiej i Żeglugi Śródlądowej z dnia 29 sierpnia 2019 r. w sprawie wymagań, jakim powinny odpowiadać wody powierzchniowe wykorzystywane do zaopatrzenia ludności w wodę przeznaczoną do spożycia przez ludzi (Dz. U. poz. 1747). </w:t>
      </w:r>
      <w:r w:rsidR="00B43490" w:rsidRPr="00AF4A02">
        <w:rPr>
          <w:rFonts w:ascii="Arial" w:hAnsi="Arial" w:cs="Arial"/>
        </w:rPr>
        <w:t>W pozostałych 6 próbkach wody wykryto: w</w:t>
      </w:r>
      <w:r w:rsidR="00AF4A02">
        <w:rPr>
          <w:rFonts w:ascii="Arial" w:hAnsi="Arial" w:cs="Arial"/>
        </w:rPr>
        <w:t> </w:t>
      </w:r>
      <w:r w:rsidR="00B43490" w:rsidRPr="00AF4A02">
        <w:rPr>
          <w:rFonts w:ascii="Arial" w:hAnsi="Arial" w:cs="Arial"/>
        </w:rPr>
        <w:t>4</w:t>
      </w:r>
      <w:r w:rsidR="002331DE">
        <w:rPr>
          <w:rFonts w:ascii="Arial" w:hAnsi="Arial" w:cs="Arial"/>
        </w:rPr>
        <w:t> </w:t>
      </w:r>
      <w:r w:rsidR="00B43490" w:rsidRPr="00AF4A02">
        <w:rPr>
          <w:rFonts w:ascii="Arial" w:hAnsi="Arial" w:cs="Arial"/>
        </w:rPr>
        <w:t>próbkach pozostałości, których suma wynosiła między 1,0 a 2,5 µg/L, co kwalifikowało te próbki wody do kategorii A2, w 1 próbce pozostałości, których suma wynosiła między 2,5 a 5 µg/L, co kwalifikowało te próbki do kategorii A3 jakości wody. W 1 próbce wykryto pozostałości powyżej 5 µg/L, najwyższa zawartość wyniosła 65,8 µg/L pozostałości środków ochrony roślin. Ogółem w 67% badanych próbek wody (134 próbki) stwierdzono obecność 25 różnych substancji aktywnych środków ochrony roślin. Najczęściej wykrywanymi substancjami były: MCPA (w 85 próbkach), DEET (w 67 próbkach) i bentazon (w 59 próbkach). Relatywnie najwięcej pozostałości w każdym miesiącu stwierdzano w punkcie poboru: nr PL01S0701_1141 „Utrata – Wawrzyszew, powyżej Rokitnicy”, gdzie wykrywano 12 różnych pestycydów w ilości od 0,3 do 1,9 µg/L, oraz w punkcie nr PL01S0901_1411 „Moszczanka – Godaszewice”, gdzie wykrywano 10 różnych pestycydów w ilości od 0,1 do 0,8 µg/L. Najwyższe punktowe stężenie badanych pestycydów wynoszące 65,7 µg/L zaobserwowano w punkcie poboru nr</w:t>
      </w:r>
      <w:r w:rsidR="00AF4A02">
        <w:rPr>
          <w:rFonts w:ascii="Arial" w:hAnsi="Arial" w:cs="Arial"/>
        </w:rPr>
        <w:t> </w:t>
      </w:r>
      <w:r w:rsidR="00B43490" w:rsidRPr="00AF4A02">
        <w:rPr>
          <w:rFonts w:ascii="Arial" w:hAnsi="Arial" w:cs="Arial"/>
        </w:rPr>
        <w:t>PL01S0901_1442 „Mroga – Bielawy” pobranej w maju, przy czym niemal całość tej wartości stanowił DEET (repelent). W sześciu punktach poboru nie wykryto żadnych z badanych pestycydów.</w:t>
      </w:r>
    </w:p>
    <w:p w14:paraId="66F0B42A" w14:textId="23829F9E" w:rsidR="0032272E" w:rsidRPr="00F23FC7" w:rsidRDefault="0032272E" w:rsidP="0032272E">
      <w:pPr>
        <w:pStyle w:val="NormalnyWeb"/>
        <w:tabs>
          <w:tab w:val="left" w:pos="284"/>
        </w:tabs>
        <w:spacing w:beforeAutospacing="0" w:after="120" w:afterAutospacing="0" w:line="360" w:lineRule="auto"/>
        <w:ind w:firstLine="284"/>
        <w:jc w:val="both"/>
        <w:rPr>
          <w:rFonts w:ascii="Arial" w:hAnsi="Arial" w:cs="Arial"/>
        </w:rPr>
      </w:pPr>
      <w:r w:rsidRPr="00A62FD2">
        <w:rPr>
          <w:rFonts w:ascii="Arial" w:hAnsi="Arial" w:cs="Arial"/>
        </w:rPr>
        <w:lastRenderedPageBreak/>
        <w:t xml:space="preserve">W </w:t>
      </w:r>
      <w:r w:rsidRPr="00A62FD2">
        <w:rPr>
          <w:rFonts w:ascii="Arial" w:hAnsi="Arial" w:cs="Arial"/>
          <w:b/>
          <w:bCs/>
        </w:rPr>
        <w:t>2022 r</w:t>
      </w:r>
      <w:r w:rsidR="00186D59" w:rsidRPr="00A62FD2">
        <w:rPr>
          <w:rFonts w:ascii="Arial" w:hAnsi="Arial" w:cs="Arial"/>
          <w:b/>
          <w:bCs/>
        </w:rPr>
        <w:t>.</w:t>
      </w:r>
      <w:r w:rsidR="003D4396">
        <w:rPr>
          <w:rFonts w:ascii="Arial" w:hAnsi="Arial" w:cs="Arial"/>
        </w:rPr>
        <w:t>,</w:t>
      </w:r>
      <w:r w:rsidRPr="00F23FC7">
        <w:rPr>
          <w:rFonts w:ascii="Arial" w:hAnsi="Arial" w:cs="Arial"/>
        </w:rPr>
        <w:t xml:space="preserve"> analogicznie jak w poprzednich latach, w porozumieniu z Wojewódzkimi Inspektoratami Ochrony Środowiska w Warszawie i w Łodzi, zostały ustalone punkty poboru prób obejmujące Wisłę i</w:t>
      </w:r>
      <w:r w:rsidR="00CB385B" w:rsidRPr="00F23FC7">
        <w:rPr>
          <w:rFonts w:ascii="Arial" w:hAnsi="Arial" w:cs="Arial"/>
        </w:rPr>
        <w:t> </w:t>
      </w:r>
      <w:r w:rsidRPr="00F23FC7">
        <w:rPr>
          <w:rFonts w:ascii="Arial" w:hAnsi="Arial" w:cs="Arial"/>
        </w:rPr>
        <w:t xml:space="preserve">jej dorzecza z obszaru od Wilgi do Warszawy. </w:t>
      </w:r>
    </w:p>
    <w:p w14:paraId="20104B77" w14:textId="5FC7499D" w:rsidR="0032272E" w:rsidRPr="002C15A9" w:rsidRDefault="0032272E" w:rsidP="0032272E">
      <w:pPr>
        <w:pStyle w:val="NormalnyWeb"/>
        <w:tabs>
          <w:tab w:val="left" w:pos="284"/>
        </w:tabs>
        <w:spacing w:beforeAutospacing="0" w:after="120" w:afterAutospacing="0" w:line="360" w:lineRule="auto"/>
        <w:ind w:firstLine="284"/>
        <w:jc w:val="both"/>
        <w:rPr>
          <w:rFonts w:ascii="Arial" w:hAnsi="Arial" w:cs="Arial"/>
        </w:rPr>
      </w:pPr>
      <w:r w:rsidRPr="002C15A9">
        <w:rPr>
          <w:rFonts w:ascii="Arial" w:hAnsi="Arial" w:cs="Arial"/>
        </w:rPr>
        <w:t>Analizy prób wody zostały wykonane w ramach współpracy z Wojewódzkimi Inspektoratami Ochrony Środowiska w Warszawie i w Łodzi</w:t>
      </w:r>
      <w:r w:rsidR="0010320F">
        <w:rPr>
          <w:rFonts w:ascii="Arial" w:hAnsi="Arial" w:cs="Arial"/>
        </w:rPr>
        <w:t>.</w:t>
      </w:r>
      <w:r w:rsidRPr="002C15A9">
        <w:rPr>
          <w:rFonts w:ascii="Arial" w:hAnsi="Arial" w:cs="Arial"/>
        </w:rPr>
        <w:t xml:space="preserve"> Zostały ustalone punkty poboru próbek, z każdego województwa po 20 miejsc poboru, obejmujące Wisłę i jej dorzecza z obszaru od Wilgi do Warszawy, z których periodycznie od maja do września dostarczono łącznie do analiz 200 próbek. Próbki analizowano przy użyciu chromatografu cieczowego z podwójnym detektorem masowym (LC-MS/MS) i akredytowanej na tym sprzęcie metody PB-02 oraz nową, akredytowaną metodą PB-03: „Oznaczanie pestycydów w</w:t>
      </w:r>
      <w:r w:rsidR="00F42AA3">
        <w:rPr>
          <w:rFonts w:ascii="Arial" w:hAnsi="Arial" w:cs="Arial"/>
        </w:rPr>
        <w:t> </w:t>
      </w:r>
      <w:r w:rsidRPr="002C15A9">
        <w:rPr>
          <w:rFonts w:ascii="Arial" w:hAnsi="Arial" w:cs="Arial"/>
        </w:rPr>
        <w:t xml:space="preserve">wodzie przy użyciu GC-MS/MS”. Analizy obejmowały możliwość detekcji 201 substancji biologicznie czynnych środków ochrony roślin, ich izomerów i metabolitów, z czułością co najmniej 0,1 - 0,05 µg/L. </w:t>
      </w:r>
    </w:p>
    <w:p w14:paraId="2C2BE8C0" w14:textId="29702758" w:rsidR="0032272E" w:rsidRPr="00C15C3E" w:rsidRDefault="0032272E" w:rsidP="0032272E">
      <w:pPr>
        <w:pStyle w:val="NormalnyWeb"/>
        <w:tabs>
          <w:tab w:val="left" w:pos="284"/>
        </w:tabs>
        <w:spacing w:beforeAutospacing="0" w:after="120" w:afterAutospacing="0" w:line="360" w:lineRule="auto"/>
        <w:ind w:firstLine="284"/>
        <w:jc w:val="both"/>
        <w:rPr>
          <w:rFonts w:ascii="Arial" w:hAnsi="Arial" w:cs="Arial"/>
        </w:rPr>
      </w:pPr>
      <w:r w:rsidRPr="003878B4">
        <w:rPr>
          <w:rFonts w:ascii="Arial" w:hAnsi="Arial" w:cs="Arial"/>
        </w:rPr>
        <w:t>Wyniki badań wykazały, że w 70 próbkach, czyli w 35% ogółu analizowanych, nie stwierdzono obecności analizowanych pozostałości środków ochrony roślin. W 44 próbkach, czyli w 22% wykryto pozostałości, których suma wynosiła poniżej 0,1µg/L, w 63 próbkach, czyli w 31,5% wykryto pozostałości, których suma wynosiła między 0,1 a 0,5µg/L. W 8 próbkach, czyli w 4% wykryto pozostałości, których suma wynosiła między 0,5 a 1,0µg/L. Wyniki badań wskazują, że 92,5% prób można zakwalifikować do kategorii A1 jakości wody</w:t>
      </w:r>
      <w:r w:rsidRPr="00F77B1B">
        <w:rPr>
          <w:rFonts w:ascii="Arial" w:hAnsi="Arial" w:cs="Arial"/>
        </w:rPr>
        <w:t xml:space="preserve">, </w:t>
      </w:r>
      <w:r w:rsidR="00F77B1B">
        <w:rPr>
          <w:rFonts w:ascii="Arial" w:hAnsi="Arial" w:cs="Arial"/>
        </w:rPr>
        <w:t xml:space="preserve">wg. </w:t>
      </w:r>
      <w:r w:rsidR="00F77B1B" w:rsidRPr="00F77B1B">
        <w:rPr>
          <w:rFonts w:ascii="Arial" w:hAnsi="Arial" w:cs="Arial"/>
        </w:rPr>
        <w:t>rozporządzenia Ministra Gospodarki Morskiej i Żeglugi Śródlądowej z dnia 29 sierpnia 2019 r. w sprawie wymagań, jakim powinny odpowiadać wody powierzchniowe wykorzystywane do zaopatrzenia ludności w wodę przeznaczoną do spożycia przez ludzi (Dz. U. poz. 1747</w:t>
      </w:r>
      <w:r w:rsidR="00F77B1B" w:rsidRPr="00C15C3E">
        <w:rPr>
          <w:rFonts w:ascii="Arial" w:hAnsi="Arial" w:cs="Arial"/>
        </w:rPr>
        <w:t>).</w:t>
      </w:r>
      <w:r w:rsidRPr="00C15C3E">
        <w:rPr>
          <w:rFonts w:ascii="Arial" w:hAnsi="Arial" w:cs="Arial"/>
        </w:rPr>
        <w:t xml:space="preserve"> W pozostałych 15 próbkach wody wykryto: w 8 próbkach pozostałości, których suma wynosiła między 1,0 a 2,5 µg/L, co kwalifikowało te próbki wody do kategorii A2, w 6 próbkach pozostałości, których suma wynosiła między 2,5 a 5 µg/L, co kwalifikowało te próbki do kategorii A3 jakości wody. W jednej próbce wykryto pozostałości powyżej 5 µg/L, najwyższa zawartość wyniosła 10,2 µg/L. pozostałości środków ochrony roślin. </w:t>
      </w:r>
    </w:p>
    <w:p w14:paraId="2B8CE365" w14:textId="0D3DA51A" w:rsidR="0032272E" w:rsidRPr="0012531A" w:rsidRDefault="0032272E" w:rsidP="0032272E">
      <w:pPr>
        <w:pStyle w:val="NormalnyWeb"/>
        <w:tabs>
          <w:tab w:val="left" w:pos="284"/>
        </w:tabs>
        <w:spacing w:beforeAutospacing="0" w:after="120" w:afterAutospacing="0" w:line="360" w:lineRule="auto"/>
        <w:ind w:firstLine="284"/>
        <w:jc w:val="both"/>
        <w:rPr>
          <w:rFonts w:ascii="Arial" w:hAnsi="Arial" w:cs="Arial"/>
        </w:rPr>
      </w:pPr>
      <w:r w:rsidRPr="0012531A">
        <w:rPr>
          <w:rFonts w:ascii="Arial" w:hAnsi="Arial" w:cs="Arial"/>
        </w:rPr>
        <w:t>Ogółem w 65% badanych próbek wody (130 próbki) stwierdzono obecność 28 różnych substancji aktywnych środków ochrony roślin. Najczęściej wykrywanymi substancjami były: DEET (w 76 próbkach), MCPA (w 74 próbkach) i bentazon (w 56 próbkach). Relatywnie najwięcej pozostałości w</w:t>
      </w:r>
      <w:r w:rsidR="00767F74">
        <w:rPr>
          <w:rFonts w:ascii="Arial" w:hAnsi="Arial" w:cs="Arial"/>
        </w:rPr>
        <w:t> </w:t>
      </w:r>
      <w:r w:rsidRPr="0012531A">
        <w:rPr>
          <w:rFonts w:ascii="Arial" w:hAnsi="Arial" w:cs="Arial"/>
        </w:rPr>
        <w:t>każdym miesiącu stwierdzano w punkcie poboru: nr PL01S0901_1430 „Ochnia - Łęki Kościelne”, gdzie wykrywano 12 różnych pestycydów w ilości od 0,1 do 1,3 µg/L. Najwyższe punktowe stężenie badanych pestycydów wynoszące 10,2 µg/L zaobserwowano w punkcie poboru nr PL01S0901_1438 „Struga - Michałówka” pobranej w maju z dominującą ilością chloropiryfosu (8,5 mg/kg), MCPA (0,7</w:t>
      </w:r>
      <w:r w:rsidR="00767F74">
        <w:rPr>
          <w:rFonts w:ascii="Arial" w:hAnsi="Arial" w:cs="Arial"/>
        </w:rPr>
        <w:t> </w:t>
      </w:r>
      <w:r w:rsidRPr="0012531A">
        <w:rPr>
          <w:rFonts w:ascii="Arial" w:hAnsi="Arial" w:cs="Arial"/>
        </w:rPr>
        <w:t>mg/kg) i cypermetryny (0,5 mg/kg). W trzech punktach poboru nie wykryto żadnych z badanych pestycydów.</w:t>
      </w:r>
    </w:p>
    <w:p w14:paraId="56FC64C5" w14:textId="77777777" w:rsidR="0032272E" w:rsidRDefault="0032272E" w:rsidP="0032272E">
      <w:pPr>
        <w:pStyle w:val="NormalnyWeb"/>
        <w:tabs>
          <w:tab w:val="left" w:pos="284"/>
        </w:tabs>
        <w:spacing w:line="360" w:lineRule="auto"/>
        <w:ind w:firstLine="284"/>
        <w:jc w:val="both"/>
        <w:rPr>
          <w:rFonts w:ascii="Arial" w:hAnsi="Arial" w:cs="Arial"/>
        </w:rPr>
      </w:pPr>
      <w:r w:rsidRPr="00676D87">
        <w:rPr>
          <w:bCs/>
          <w:noProof/>
          <w:highlight w:val="green"/>
        </w:rPr>
        <w:lastRenderedPageBreak/>
        <w:drawing>
          <wp:inline distT="0" distB="0" distL="0" distR="0" wp14:anchorId="019F2E33" wp14:editId="20338CDD">
            <wp:extent cx="5017273" cy="2472856"/>
            <wp:effectExtent l="0" t="0" r="12065" b="381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B2B38F" w14:textId="636D0727" w:rsidR="0032272E" w:rsidRPr="00D17350" w:rsidRDefault="0032272E" w:rsidP="00B650C6">
      <w:pPr>
        <w:pStyle w:val="NormalnyWeb"/>
        <w:spacing w:before="100" w:after="100"/>
        <w:ind w:firstLine="284"/>
        <w:jc w:val="center"/>
        <w:rPr>
          <w:rFonts w:ascii="Arial" w:hAnsi="Arial" w:cs="Arial"/>
          <w:i/>
          <w:iCs/>
        </w:rPr>
      </w:pPr>
      <w:r w:rsidRPr="00C466DF">
        <w:rPr>
          <w:rFonts w:ascii="Arial" w:hAnsi="Arial" w:cs="Arial"/>
          <w:i/>
          <w:iCs/>
        </w:rPr>
        <w:t>Ogólna ocena pozostałości środków ochrony roślin w próbkach wody pobranych w 2022 r</w:t>
      </w:r>
      <w:r w:rsidR="00B650C6">
        <w:rPr>
          <w:rFonts w:ascii="Arial" w:hAnsi="Arial" w:cs="Arial"/>
          <w:i/>
          <w:iCs/>
        </w:rPr>
        <w:t>.</w:t>
      </w:r>
    </w:p>
    <w:p w14:paraId="47489C3E" w14:textId="3F0112B7" w:rsidR="00056846" w:rsidRPr="00925BCD" w:rsidRDefault="00E54725">
      <w:pPr>
        <w:pStyle w:val="Nagwek2"/>
        <w:jc w:val="both"/>
        <w:rPr>
          <w:i w:val="0"/>
          <w:sz w:val="20"/>
          <w:szCs w:val="20"/>
        </w:rPr>
      </w:pPr>
      <w:bookmarkStart w:id="50" w:name="_Toc341876117"/>
      <w:bookmarkStart w:id="51" w:name="_Toc161744880"/>
      <w:r w:rsidRPr="00925BCD">
        <w:rPr>
          <w:i w:val="0"/>
          <w:sz w:val="20"/>
          <w:szCs w:val="20"/>
        </w:rPr>
        <w:t>Zadanie 4. Nadzór nad środkami ochrony roślin zawierającymi substancje czynne, które powinny być objęte szczególnym monitoringiem</w:t>
      </w:r>
      <w:bookmarkEnd w:id="50"/>
      <w:bookmarkEnd w:id="51"/>
    </w:p>
    <w:p w14:paraId="479EDD2D"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Zgodnie z art. 1 rozporządzenia wykonawczego Komisji (UE) nr 540/2011 z dnia 25 maja 2011 r. w sprawie wykonania rozporządzenia Parlamentu Europejskiego i Rady (WE) nr 1107/2009 w odniesieniu do wykazu zatwierdzonych substancji czynnych (Dz. Urz. UE L 153 z 11.06.2011, str. 1, z późn. zm.) substancje czynne wymienione w załączniku do tego rozporządzenia zostają zatwierdzone do stosowania w środkach ochrony roślin. W załączniku do rozporządzenia przedstawione zostały również szczególne wymagania dotyczące danej substancji czynnej oraz informacje czy dana substancja czynna powinna zostać objęta szczególnym programem monitorowania w związku z większym ryzykiem związanym ze stosowaniem środków ochrony roślin.</w:t>
      </w:r>
    </w:p>
    <w:p w14:paraId="3497DB58"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Ministerstwie Rolnictwa i Rozwoju Wsi w latach 2013–2014 prowadzone były prace mające na celu wyłonienie substancji czynnych, które powinny zostać objęte szczególnym programem monitorowania. Wyłoniono zestaw 24 substancji czynnych.</w:t>
      </w:r>
    </w:p>
    <w:p w14:paraId="17A0BE17" w14:textId="77777777" w:rsidR="006D456B"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latach 2015–2017 w ramach programu wieloletniego „Ochrona roślin uprawnych z uwzględnieniem bezpieczeństwa żywności oraz ograniczenia strat w plonach i zagrożeń dla zdrowia ludzi, zwierząt domowych i środowiska”, realizowanego przez Instytut Ochrony Roślin – PIB, opracowano zestaw wskaźników dla oceny sprzedaży środków ochrony roślin zawierających substancje czynne objęte obowiązkiem szczególnego monitorowania zgodnie z rozporządzeniem 540/2011. Wskaźnik wielkości sprzedaży </w:t>
      </w:r>
      <w:r w:rsidRPr="007110A5">
        <w:rPr>
          <w:rFonts w:ascii="Arial" w:eastAsia="Calibri" w:hAnsi="Arial" w:cs="Arial"/>
        </w:rPr>
        <w:t>(WS</w:t>
      </w:r>
      <w:r w:rsidRPr="007110A5">
        <w:rPr>
          <w:rFonts w:ascii="Arial" w:eastAsia="Calibri" w:hAnsi="Arial" w:cs="Arial"/>
          <w:vertAlign w:val="subscript"/>
        </w:rPr>
        <w:t>Monit.</w:t>
      </w:r>
      <w:r w:rsidRPr="007110A5">
        <w:rPr>
          <w:rFonts w:ascii="Arial" w:eastAsia="Calibri" w:hAnsi="Arial" w:cs="Arial"/>
        </w:rPr>
        <w:t>)</w:t>
      </w:r>
      <w:r w:rsidRPr="007110A5">
        <w:rPr>
          <w:rFonts w:ascii="Arial" w:hAnsi="Arial" w:cs="Arial"/>
        </w:rPr>
        <w:t xml:space="preserve"> i wskaźnik struktury sprzedaży </w:t>
      </w:r>
      <w:r w:rsidRPr="007110A5">
        <w:rPr>
          <w:rFonts w:ascii="Arial" w:eastAsia="Calibri" w:hAnsi="Arial" w:cs="Arial"/>
        </w:rPr>
        <w:t>(WSS</w:t>
      </w:r>
      <w:r w:rsidRPr="007110A5">
        <w:rPr>
          <w:rFonts w:ascii="Arial" w:eastAsia="Calibri" w:hAnsi="Arial" w:cs="Arial"/>
          <w:vertAlign w:val="subscript"/>
        </w:rPr>
        <w:t>Monit.</w:t>
      </w:r>
      <w:r w:rsidRPr="007110A5">
        <w:rPr>
          <w:rFonts w:ascii="Arial" w:hAnsi="Arial" w:cs="Arial"/>
        </w:rPr>
        <w:t>)</w:t>
      </w:r>
      <w:r w:rsidRPr="00925BCD">
        <w:rPr>
          <w:rFonts w:ascii="Arial" w:hAnsi="Arial" w:cs="Arial"/>
        </w:rPr>
        <w:t xml:space="preserve"> uwzględniający wielkość sprzedaży substancji wymagających monitorowania w stosunku do sumarycznej wielkości sprzedaży) obliczone zostały począwszy od 2013 r.</w:t>
      </w:r>
    </w:p>
    <w:p w14:paraId="0CC34D14" w14:textId="77777777" w:rsidR="00F841F4" w:rsidRDefault="00F841F4" w:rsidP="0003253D">
      <w:pPr>
        <w:pStyle w:val="Standard"/>
        <w:spacing w:after="0" w:line="276" w:lineRule="auto"/>
        <w:jc w:val="center"/>
        <w:rPr>
          <w:rFonts w:ascii="Arial" w:hAnsi="Arial" w:cs="Arial"/>
          <w:sz w:val="20"/>
          <w:szCs w:val="20"/>
        </w:rPr>
      </w:pPr>
    </w:p>
    <w:p w14:paraId="5EFA35BC" w14:textId="77777777" w:rsidR="00F841F4" w:rsidRDefault="00F841F4" w:rsidP="0003253D">
      <w:pPr>
        <w:pStyle w:val="Standard"/>
        <w:spacing w:after="0" w:line="276" w:lineRule="auto"/>
        <w:jc w:val="center"/>
        <w:rPr>
          <w:rFonts w:ascii="Arial" w:hAnsi="Arial" w:cs="Arial"/>
          <w:sz w:val="20"/>
          <w:szCs w:val="20"/>
        </w:rPr>
      </w:pPr>
    </w:p>
    <w:p w14:paraId="165D4C59" w14:textId="77777777" w:rsidR="00F841F4" w:rsidRDefault="00F841F4" w:rsidP="0003253D">
      <w:pPr>
        <w:pStyle w:val="Standard"/>
        <w:spacing w:after="0" w:line="276" w:lineRule="auto"/>
        <w:jc w:val="center"/>
        <w:rPr>
          <w:rFonts w:ascii="Arial" w:hAnsi="Arial" w:cs="Arial"/>
          <w:sz w:val="20"/>
          <w:szCs w:val="20"/>
        </w:rPr>
      </w:pPr>
    </w:p>
    <w:p w14:paraId="146E9E93" w14:textId="77777777" w:rsidR="00F841F4" w:rsidRDefault="00F841F4" w:rsidP="0003253D">
      <w:pPr>
        <w:pStyle w:val="Standard"/>
        <w:spacing w:after="0" w:line="276" w:lineRule="auto"/>
        <w:jc w:val="center"/>
        <w:rPr>
          <w:rFonts w:ascii="Arial" w:hAnsi="Arial" w:cs="Arial"/>
          <w:sz w:val="20"/>
          <w:szCs w:val="20"/>
        </w:rPr>
      </w:pPr>
    </w:p>
    <w:p w14:paraId="2C72C8B4" w14:textId="77777777" w:rsidR="00F841F4" w:rsidRDefault="00F841F4" w:rsidP="0003253D">
      <w:pPr>
        <w:pStyle w:val="Standard"/>
        <w:spacing w:after="0" w:line="276" w:lineRule="auto"/>
        <w:jc w:val="center"/>
        <w:rPr>
          <w:rFonts w:ascii="Arial" w:hAnsi="Arial" w:cs="Arial"/>
          <w:sz w:val="20"/>
          <w:szCs w:val="20"/>
        </w:rPr>
      </w:pPr>
    </w:p>
    <w:p w14:paraId="714476FD" w14:textId="77777777" w:rsidR="00F100E8" w:rsidRDefault="00F100E8" w:rsidP="0003253D">
      <w:pPr>
        <w:pStyle w:val="Standard"/>
        <w:spacing w:after="0" w:line="276" w:lineRule="auto"/>
        <w:jc w:val="center"/>
        <w:rPr>
          <w:rFonts w:ascii="Arial" w:hAnsi="Arial" w:cs="Arial"/>
          <w:sz w:val="20"/>
          <w:szCs w:val="20"/>
        </w:rPr>
      </w:pPr>
    </w:p>
    <w:p w14:paraId="40C6B73E" w14:textId="77777777" w:rsidR="005669C8" w:rsidRDefault="005669C8" w:rsidP="0003253D">
      <w:pPr>
        <w:pStyle w:val="Standard"/>
        <w:spacing w:after="0" w:line="276" w:lineRule="auto"/>
        <w:jc w:val="center"/>
        <w:rPr>
          <w:rFonts w:ascii="Arial" w:hAnsi="Arial" w:cs="Arial"/>
          <w:sz w:val="20"/>
          <w:szCs w:val="20"/>
        </w:rPr>
      </w:pPr>
    </w:p>
    <w:p w14:paraId="3E2BD148" w14:textId="5B8963CE" w:rsidR="00A5279B" w:rsidRDefault="00A5279B" w:rsidP="0003253D">
      <w:pPr>
        <w:pStyle w:val="Standard"/>
        <w:spacing w:after="0" w:line="276" w:lineRule="auto"/>
        <w:jc w:val="center"/>
        <w:rPr>
          <w:rFonts w:ascii="Arial" w:hAnsi="Arial" w:cs="Arial"/>
          <w:sz w:val="20"/>
          <w:szCs w:val="20"/>
        </w:rPr>
      </w:pPr>
      <w:r w:rsidRPr="00271C1A">
        <w:rPr>
          <w:rFonts w:ascii="Arial" w:hAnsi="Arial" w:cs="Arial"/>
          <w:sz w:val="20"/>
          <w:szCs w:val="20"/>
        </w:rPr>
        <w:t>Wyniki obliczeń wskaźników sprzedaży substancji czynnych wymagających programów monitorowania (wskaźniki „F” – WS</w:t>
      </w:r>
      <w:r w:rsidRPr="00271C1A">
        <w:rPr>
          <w:rFonts w:ascii="Arial" w:hAnsi="Arial" w:cs="Arial"/>
          <w:sz w:val="20"/>
          <w:szCs w:val="20"/>
          <w:vertAlign w:val="subscript"/>
        </w:rPr>
        <w:t>Monit.</w:t>
      </w:r>
      <w:r w:rsidRPr="00271C1A">
        <w:rPr>
          <w:rFonts w:ascii="Arial" w:hAnsi="Arial" w:cs="Arial"/>
          <w:sz w:val="20"/>
          <w:szCs w:val="20"/>
        </w:rPr>
        <w:t xml:space="preserve"> i WSS</w:t>
      </w:r>
      <w:r w:rsidRPr="00271C1A">
        <w:rPr>
          <w:rFonts w:ascii="Arial" w:hAnsi="Arial" w:cs="Arial"/>
          <w:sz w:val="20"/>
          <w:szCs w:val="20"/>
          <w:vertAlign w:val="subscript"/>
        </w:rPr>
        <w:t>Monit.</w:t>
      </w:r>
      <w:r w:rsidRPr="00271C1A">
        <w:rPr>
          <w:rFonts w:ascii="Arial" w:hAnsi="Arial" w:cs="Arial"/>
          <w:sz w:val="20"/>
          <w:szCs w:val="20"/>
        </w:rPr>
        <w:t>) dla lat 201</w:t>
      </w:r>
      <w:r>
        <w:rPr>
          <w:rFonts w:ascii="Arial" w:hAnsi="Arial" w:cs="Arial"/>
          <w:sz w:val="20"/>
          <w:szCs w:val="20"/>
        </w:rPr>
        <w:t>3</w:t>
      </w:r>
      <w:r w:rsidRPr="00271C1A">
        <w:rPr>
          <w:rFonts w:ascii="Arial" w:hAnsi="Arial" w:cs="Arial"/>
          <w:sz w:val="20"/>
          <w:szCs w:val="20"/>
        </w:rPr>
        <w:t xml:space="preserve"> – 202</w:t>
      </w:r>
      <w:r w:rsidR="004262CA">
        <w:rPr>
          <w:rFonts w:ascii="Arial" w:hAnsi="Arial" w:cs="Arial"/>
          <w:sz w:val="20"/>
          <w:szCs w:val="20"/>
        </w:rPr>
        <w:t>2</w:t>
      </w:r>
    </w:p>
    <w:p w14:paraId="2B7A7E45" w14:textId="77777777" w:rsidR="00E146B9" w:rsidRPr="00601D37" w:rsidRDefault="00E146B9" w:rsidP="00A5279B">
      <w:pPr>
        <w:pStyle w:val="Standard"/>
        <w:spacing w:after="0" w:line="276" w:lineRule="auto"/>
        <w:jc w:val="both"/>
        <w:rPr>
          <w:rFonts w:ascii="Arial" w:eastAsia="Arial" w:hAnsi="Arial" w:cs="Arial"/>
          <w:color w:val="000000"/>
          <w:sz w:val="20"/>
          <w:szCs w:val="20"/>
          <w:lang w:eastAsia="pl-PL"/>
        </w:rPr>
      </w:pPr>
    </w:p>
    <w:tbl>
      <w:tblPr>
        <w:tblW w:w="9923" w:type="dxa"/>
        <w:tblInd w:w="-150" w:type="dxa"/>
        <w:tblLayout w:type="fixed"/>
        <w:tblLook w:val="0000" w:firstRow="0" w:lastRow="0" w:firstColumn="0" w:lastColumn="0" w:noHBand="0" w:noVBand="0"/>
      </w:tblPr>
      <w:tblGrid>
        <w:gridCol w:w="993"/>
        <w:gridCol w:w="893"/>
        <w:gridCol w:w="893"/>
        <w:gridCol w:w="893"/>
        <w:gridCol w:w="893"/>
        <w:gridCol w:w="893"/>
        <w:gridCol w:w="893"/>
        <w:gridCol w:w="893"/>
        <w:gridCol w:w="893"/>
        <w:gridCol w:w="893"/>
        <w:gridCol w:w="893"/>
      </w:tblGrid>
      <w:tr w:rsidR="00A653C0" w:rsidRPr="00601D37" w14:paraId="1118C9B6" w14:textId="3FD5282D" w:rsidTr="00A653C0">
        <w:trPr>
          <w:trHeight w:val="657"/>
        </w:trPr>
        <w:tc>
          <w:tcPr>
            <w:tcW w:w="99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32089EC9" w14:textId="77777777" w:rsidR="00E02654" w:rsidRPr="00DC148C" w:rsidRDefault="00E02654" w:rsidP="00E02654">
            <w:pPr>
              <w:spacing w:after="0" w:line="240" w:lineRule="auto"/>
              <w:jc w:val="center"/>
              <w:rPr>
                <w:rFonts w:ascii="Arial" w:eastAsia="Arial" w:hAnsi="Arial" w:cs="Arial"/>
                <w:sz w:val="18"/>
                <w:szCs w:val="18"/>
                <w:lang w:eastAsia="pl-PL"/>
              </w:rPr>
            </w:pPr>
            <w:r w:rsidRPr="00DC148C">
              <w:rPr>
                <w:rFonts w:ascii="Arial" w:eastAsia="Arial" w:hAnsi="Arial" w:cs="Arial"/>
                <w:sz w:val="18"/>
                <w:szCs w:val="18"/>
                <w:lang w:eastAsia="pl-PL"/>
              </w:rPr>
              <w:t>Pozycja/ lata</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0FC04084"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2013</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77C3F8"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6A5EDE3"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2015</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A413C7"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2016</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978BDD"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2017</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3DD7D92"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2018</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3270D2C"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2019</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314798"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Arial" w:hAnsi="Arial" w:cs="Arial"/>
                <w:sz w:val="18"/>
                <w:szCs w:val="18"/>
                <w:lang w:eastAsia="pl-PL"/>
              </w:rPr>
              <w:t>2020</w:t>
            </w:r>
          </w:p>
        </w:tc>
        <w:tc>
          <w:tcPr>
            <w:tcW w:w="893" w:type="dxa"/>
            <w:tcBorders>
              <w:top w:val="single" w:sz="6" w:space="0" w:color="000000"/>
              <w:left w:val="single" w:sz="6" w:space="0" w:color="000000"/>
              <w:bottom w:val="single" w:sz="6" w:space="0" w:color="000000"/>
              <w:right w:val="single" w:sz="6" w:space="0" w:color="000000"/>
            </w:tcBorders>
            <w:vAlign w:val="center"/>
          </w:tcPr>
          <w:p w14:paraId="399480AA" w14:textId="77777777" w:rsidR="00E02654" w:rsidRPr="00A653C0" w:rsidRDefault="00E02654" w:rsidP="00E02654">
            <w:pPr>
              <w:spacing w:after="0" w:line="240" w:lineRule="auto"/>
              <w:jc w:val="center"/>
              <w:rPr>
                <w:rFonts w:ascii="Arial" w:eastAsia="Arial" w:hAnsi="Arial" w:cs="Arial"/>
                <w:sz w:val="18"/>
                <w:szCs w:val="18"/>
                <w:lang w:eastAsia="pl-PL"/>
              </w:rPr>
            </w:pPr>
            <w:r w:rsidRPr="00A653C0">
              <w:rPr>
                <w:rFonts w:ascii="Arial" w:eastAsia="Times New Roman" w:hAnsi="Arial" w:cs="Arial"/>
                <w:sz w:val="18"/>
                <w:szCs w:val="18"/>
                <w:lang w:eastAsia="pl-PL"/>
              </w:rPr>
              <w:t>2021</w:t>
            </w:r>
          </w:p>
        </w:tc>
        <w:tc>
          <w:tcPr>
            <w:tcW w:w="893" w:type="dxa"/>
            <w:tcBorders>
              <w:top w:val="single" w:sz="6" w:space="0" w:color="000000"/>
              <w:left w:val="single" w:sz="6" w:space="0" w:color="000000"/>
              <w:bottom w:val="single" w:sz="6" w:space="0" w:color="000000"/>
              <w:right w:val="single" w:sz="6" w:space="0" w:color="000000"/>
            </w:tcBorders>
            <w:vAlign w:val="center"/>
          </w:tcPr>
          <w:p w14:paraId="6EAA13A0" w14:textId="7F38B528" w:rsidR="00E02654" w:rsidRPr="00A653C0" w:rsidRDefault="00E02654" w:rsidP="00E02654">
            <w:pPr>
              <w:spacing w:after="0" w:line="240" w:lineRule="auto"/>
              <w:jc w:val="center"/>
              <w:rPr>
                <w:rFonts w:ascii="Arial" w:eastAsia="Times New Roman" w:hAnsi="Arial" w:cs="Arial"/>
                <w:sz w:val="18"/>
                <w:szCs w:val="18"/>
                <w:lang w:eastAsia="pl-PL"/>
              </w:rPr>
            </w:pPr>
            <w:r w:rsidRPr="00A653C0">
              <w:rPr>
                <w:rFonts w:ascii="Arial" w:eastAsia="Times New Roman" w:hAnsi="Arial" w:cs="Arial"/>
                <w:sz w:val="18"/>
                <w:szCs w:val="18"/>
                <w:lang w:eastAsia="pl-PL"/>
              </w:rPr>
              <w:t>2022</w:t>
            </w:r>
          </w:p>
        </w:tc>
      </w:tr>
      <w:tr w:rsidR="00A653C0" w:rsidRPr="00601D37" w14:paraId="0F0F0B42" w14:textId="557566BF" w:rsidTr="00A653C0">
        <w:trPr>
          <w:trHeight w:val="657"/>
        </w:trPr>
        <w:tc>
          <w:tcPr>
            <w:tcW w:w="99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7EFEF752" w14:textId="77777777" w:rsidR="00E02654" w:rsidRPr="00DC148C" w:rsidRDefault="00E02654" w:rsidP="00E02654">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Wskaźnik wielkości sprzedaży WS</w:t>
            </w:r>
            <w:r w:rsidRPr="00DC148C">
              <w:rPr>
                <w:rFonts w:ascii="Arial" w:eastAsia="Arial" w:hAnsi="Arial" w:cs="Arial"/>
                <w:sz w:val="16"/>
                <w:szCs w:val="16"/>
                <w:vertAlign w:val="subscript"/>
                <w:lang w:eastAsia="pl-PL"/>
              </w:rPr>
              <w:t>Monit</w:t>
            </w:r>
            <w:r w:rsidRPr="00DC148C">
              <w:rPr>
                <w:rFonts w:ascii="Arial" w:eastAsia="Arial" w:hAnsi="Arial" w:cs="Arial"/>
                <w:sz w:val="16"/>
                <w:szCs w:val="16"/>
                <w:lang w:eastAsia="pl-PL"/>
              </w:rPr>
              <w:t>. [Mg]</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6630B70"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2030,30</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BA8AE5"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2098,24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F6F70C6"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2165,56</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1461FE4"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2002,95</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A423E00"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2184,74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516D7B"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2329,74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E1B53D"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2398,86</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F2CFC9"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Times New Roman" w:hAnsi="Arial" w:cs="Arial"/>
                <w:sz w:val="16"/>
                <w:szCs w:val="16"/>
                <w:lang w:eastAsia="pl-PL"/>
              </w:rPr>
              <w:t>2506,07</w:t>
            </w:r>
          </w:p>
        </w:tc>
        <w:tc>
          <w:tcPr>
            <w:tcW w:w="893" w:type="dxa"/>
            <w:tcBorders>
              <w:top w:val="single" w:sz="6" w:space="0" w:color="000000"/>
              <w:left w:val="single" w:sz="6" w:space="0" w:color="000000"/>
              <w:bottom w:val="single" w:sz="6" w:space="0" w:color="000000"/>
              <w:right w:val="single" w:sz="6" w:space="0" w:color="000000"/>
            </w:tcBorders>
            <w:vAlign w:val="center"/>
          </w:tcPr>
          <w:p w14:paraId="071A17C8" w14:textId="77777777"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3141,12</w:t>
            </w:r>
          </w:p>
        </w:tc>
        <w:tc>
          <w:tcPr>
            <w:tcW w:w="893" w:type="dxa"/>
            <w:tcBorders>
              <w:top w:val="single" w:sz="6" w:space="0" w:color="000000"/>
              <w:left w:val="single" w:sz="6" w:space="0" w:color="000000"/>
              <w:bottom w:val="single" w:sz="6" w:space="0" w:color="000000"/>
              <w:right w:val="single" w:sz="6" w:space="0" w:color="000000"/>
            </w:tcBorders>
            <w:vAlign w:val="center"/>
          </w:tcPr>
          <w:p w14:paraId="27DC9E01" w14:textId="3D8ABFA9"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2823,59</w:t>
            </w:r>
          </w:p>
        </w:tc>
      </w:tr>
      <w:tr w:rsidR="00A653C0" w:rsidRPr="00601D37" w14:paraId="1A0FE662" w14:textId="75F2D374" w:rsidTr="00A653C0">
        <w:trPr>
          <w:trHeight w:val="657"/>
        </w:trPr>
        <w:tc>
          <w:tcPr>
            <w:tcW w:w="99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4F2F8DE9" w14:textId="77777777" w:rsidR="00E02654" w:rsidRPr="00DC148C" w:rsidRDefault="00E02654" w:rsidP="00E02654">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Sumaryczna sprzedaż wszystkich subst. czynnych S [Mg]</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6E64008E"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22204,41</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762A6B"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23556,66</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4614D4"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24006,14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099C734"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24462,51</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67C0CF5"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25075,08</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009B82B"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23178,43</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FEB270E"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24280,66</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B463155"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Times New Roman" w:hAnsi="Arial" w:cs="Arial"/>
                <w:sz w:val="16"/>
                <w:szCs w:val="16"/>
                <w:lang w:eastAsia="pl-PL"/>
              </w:rPr>
              <w:t>24628,01</w:t>
            </w:r>
          </w:p>
        </w:tc>
        <w:tc>
          <w:tcPr>
            <w:tcW w:w="893" w:type="dxa"/>
            <w:tcBorders>
              <w:top w:val="single" w:sz="6" w:space="0" w:color="000000"/>
              <w:left w:val="single" w:sz="6" w:space="0" w:color="000000"/>
              <w:bottom w:val="single" w:sz="6" w:space="0" w:color="000000"/>
              <w:right w:val="single" w:sz="6" w:space="0" w:color="000000"/>
            </w:tcBorders>
            <w:vAlign w:val="center"/>
          </w:tcPr>
          <w:p w14:paraId="3EDF5D6D" w14:textId="77777777"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26972,68</w:t>
            </w:r>
          </w:p>
        </w:tc>
        <w:tc>
          <w:tcPr>
            <w:tcW w:w="893" w:type="dxa"/>
            <w:tcBorders>
              <w:top w:val="single" w:sz="6" w:space="0" w:color="000000"/>
              <w:left w:val="single" w:sz="6" w:space="0" w:color="000000"/>
              <w:bottom w:val="single" w:sz="6" w:space="0" w:color="000000"/>
              <w:right w:val="single" w:sz="6" w:space="0" w:color="000000"/>
            </w:tcBorders>
            <w:vAlign w:val="center"/>
          </w:tcPr>
          <w:p w14:paraId="7B2847F0" w14:textId="0EE78140"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22320,35</w:t>
            </w:r>
          </w:p>
        </w:tc>
      </w:tr>
      <w:tr w:rsidR="00A653C0" w:rsidRPr="00601D37" w14:paraId="64FD3E13" w14:textId="6762113D" w:rsidTr="00A653C0">
        <w:trPr>
          <w:trHeight w:val="1157"/>
        </w:trPr>
        <w:tc>
          <w:tcPr>
            <w:tcW w:w="99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6F05F186" w14:textId="77777777" w:rsidR="00E02654" w:rsidRPr="00DC148C" w:rsidRDefault="00E02654" w:rsidP="00E02654">
            <w:pPr>
              <w:spacing w:after="0" w:line="240" w:lineRule="auto"/>
              <w:rPr>
                <w:rFonts w:ascii="Arial" w:eastAsia="Arial" w:hAnsi="Arial" w:cs="Arial"/>
                <w:sz w:val="16"/>
                <w:szCs w:val="16"/>
                <w:lang w:eastAsia="pl-PL"/>
              </w:rPr>
            </w:pPr>
            <w:r w:rsidRPr="00DC148C">
              <w:rPr>
                <w:rFonts w:ascii="Arial" w:eastAsia="Arial" w:hAnsi="Arial" w:cs="Arial"/>
                <w:sz w:val="16"/>
                <w:szCs w:val="16"/>
                <w:lang w:eastAsia="pl-PL"/>
              </w:rPr>
              <w:t>Wskaźnik struktury sprzedaży WSS</w:t>
            </w:r>
            <w:r w:rsidRPr="00DC148C">
              <w:rPr>
                <w:rFonts w:ascii="Arial" w:eastAsia="Arial" w:hAnsi="Arial" w:cs="Arial"/>
                <w:sz w:val="16"/>
                <w:szCs w:val="16"/>
                <w:vertAlign w:val="subscript"/>
                <w:lang w:eastAsia="pl-PL"/>
              </w:rPr>
              <w:t>Monit</w:t>
            </w:r>
            <w:r w:rsidRPr="00DC148C">
              <w:rPr>
                <w:rFonts w:ascii="Arial" w:eastAsia="Arial" w:hAnsi="Arial" w:cs="Arial"/>
                <w:sz w:val="16"/>
                <w:szCs w:val="16"/>
                <w:lang w:eastAsia="pl-PL"/>
              </w:rPr>
              <w:t>. [%]</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520F9D29"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9,144</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C0D14EC"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8,907</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CE87235"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9,021</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C72383D"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8,188</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E465F6"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8,713</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9285420"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10,05</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302D96"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Arial" w:hAnsi="Arial" w:cs="Arial"/>
                <w:sz w:val="16"/>
                <w:szCs w:val="16"/>
                <w:lang w:eastAsia="pl-PL"/>
              </w:rPr>
              <w:t>9,88</w:t>
            </w:r>
          </w:p>
        </w:tc>
        <w:tc>
          <w:tcPr>
            <w:tcW w:w="89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251A4CB" w14:textId="77777777" w:rsidR="00E02654" w:rsidRPr="00033303" w:rsidRDefault="00E02654" w:rsidP="00E02654">
            <w:pPr>
              <w:spacing w:after="0" w:line="240" w:lineRule="auto"/>
              <w:jc w:val="center"/>
              <w:rPr>
                <w:rFonts w:ascii="Arial" w:eastAsia="Arial" w:hAnsi="Arial" w:cs="Arial"/>
                <w:sz w:val="16"/>
                <w:szCs w:val="16"/>
                <w:lang w:eastAsia="pl-PL"/>
              </w:rPr>
            </w:pPr>
            <w:r w:rsidRPr="00033303">
              <w:rPr>
                <w:rFonts w:ascii="Arial" w:eastAsia="Times New Roman" w:hAnsi="Arial" w:cs="Arial"/>
                <w:sz w:val="16"/>
                <w:szCs w:val="16"/>
                <w:lang w:eastAsia="pl-PL"/>
              </w:rPr>
              <w:t>10,18</w:t>
            </w:r>
          </w:p>
        </w:tc>
        <w:tc>
          <w:tcPr>
            <w:tcW w:w="893" w:type="dxa"/>
            <w:tcBorders>
              <w:top w:val="single" w:sz="6" w:space="0" w:color="000000"/>
              <w:left w:val="single" w:sz="6" w:space="0" w:color="000000"/>
              <w:bottom w:val="single" w:sz="6" w:space="0" w:color="000000"/>
              <w:right w:val="single" w:sz="6" w:space="0" w:color="000000"/>
            </w:tcBorders>
            <w:vAlign w:val="center"/>
          </w:tcPr>
          <w:p w14:paraId="612BB64B" w14:textId="77777777"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11,65</w:t>
            </w:r>
          </w:p>
        </w:tc>
        <w:tc>
          <w:tcPr>
            <w:tcW w:w="893" w:type="dxa"/>
            <w:tcBorders>
              <w:top w:val="single" w:sz="6" w:space="0" w:color="000000"/>
              <w:left w:val="single" w:sz="6" w:space="0" w:color="000000"/>
              <w:bottom w:val="single" w:sz="6" w:space="0" w:color="000000"/>
              <w:right w:val="single" w:sz="6" w:space="0" w:color="000000"/>
            </w:tcBorders>
            <w:vAlign w:val="center"/>
          </w:tcPr>
          <w:p w14:paraId="04A819D3" w14:textId="62563955" w:rsidR="00E02654" w:rsidRPr="00033303" w:rsidRDefault="00E02654" w:rsidP="00E02654">
            <w:pPr>
              <w:spacing w:after="0" w:line="240" w:lineRule="auto"/>
              <w:jc w:val="center"/>
              <w:rPr>
                <w:rFonts w:ascii="Arial" w:eastAsia="Times New Roman" w:hAnsi="Arial" w:cs="Arial"/>
                <w:sz w:val="16"/>
                <w:szCs w:val="16"/>
                <w:lang w:eastAsia="pl-PL"/>
              </w:rPr>
            </w:pPr>
            <w:r w:rsidRPr="00033303">
              <w:rPr>
                <w:rFonts w:ascii="Arial" w:eastAsia="Times New Roman" w:hAnsi="Arial" w:cs="Arial"/>
                <w:sz w:val="16"/>
                <w:szCs w:val="16"/>
                <w:lang w:eastAsia="pl-PL"/>
              </w:rPr>
              <w:t>12,65</w:t>
            </w:r>
          </w:p>
        </w:tc>
      </w:tr>
    </w:tbl>
    <w:p w14:paraId="618DE7AA" w14:textId="1BFD614B" w:rsidR="00A5279B" w:rsidRDefault="00A5279B" w:rsidP="00140D7F">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p>
    <w:p w14:paraId="46950DAB" w14:textId="6AD9F10F" w:rsidR="001D3A19" w:rsidRDefault="001D3A19" w:rsidP="001D3A19">
      <w:pPr>
        <w:pStyle w:val="NormalnyWeb"/>
        <w:tabs>
          <w:tab w:val="left" w:pos="284"/>
        </w:tabs>
        <w:spacing w:beforeAutospacing="0" w:afterAutospacing="0" w:line="360" w:lineRule="auto"/>
        <w:ind w:firstLine="284"/>
        <w:jc w:val="both"/>
        <w:rPr>
          <w:rFonts w:ascii="Arial" w:hAnsi="Arial" w:cs="Arial"/>
        </w:rPr>
      </w:pPr>
      <w:r w:rsidRPr="00A474E4">
        <w:rPr>
          <w:rFonts w:ascii="Arial" w:eastAsia="Arial" w:hAnsi="Arial" w:cs="Arial"/>
          <w:color w:val="000000" w:themeColor="text1"/>
        </w:rPr>
        <w:t xml:space="preserve">W ostatnich latach można odnotować wzrost sprzedaży substancji wymagających programów </w:t>
      </w:r>
      <w:r w:rsidRPr="00140D7F">
        <w:rPr>
          <w:rFonts w:ascii="Arial" w:hAnsi="Arial" w:cs="Arial"/>
        </w:rPr>
        <w:t>monitorowania przy niewielkich wahaniach wskaźnika struktury sprzedaży (udział w sprzedaży</w:t>
      </w:r>
      <w:r>
        <w:rPr>
          <w:rFonts w:ascii="Arial" w:hAnsi="Arial" w:cs="Arial"/>
        </w:rPr>
        <w:t xml:space="preserve"> </w:t>
      </w:r>
      <w:r w:rsidRPr="002A4110">
        <w:rPr>
          <w:rFonts w:ascii="Arial" w:hAnsi="Arial" w:cs="Arial"/>
        </w:rPr>
        <w:t>3141,12 Mg – 11,65% całości sprzedaży</w:t>
      </w:r>
      <w:r w:rsidRPr="00140D7F">
        <w:rPr>
          <w:rFonts w:ascii="Arial" w:hAnsi="Arial" w:cs="Arial"/>
        </w:rPr>
        <w:t xml:space="preserve">). Wpływ na wzrost w 2020 </w:t>
      </w:r>
      <w:r w:rsidR="000D3601">
        <w:rPr>
          <w:rFonts w:ascii="Arial" w:hAnsi="Arial" w:cs="Arial"/>
        </w:rPr>
        <w:t xml:space="preserve">r. </w:t>
      </w:r>
      <w:r w:rsidRPr="00140D7F">
        <w:rPr>
          <w:rFonts w:ascii="Arial" w:hAnsi="Arial" w:cs="Arial"/>
        </w:rPr>
        <w:t>miała zwiększona w stosunku do poprzedniego roku sprzedaż kaptanu.</w:t>
      </w:r>
    </w:p>
    <w:p w14:paraId="16B8467C" w14:textId="676B8B86" w:rsidR="00A5279B" w:rsidRDefault="001D3A19" w:rsidP="001D3A19">
      <w:pPr>
        <w:pStyle w:val="NormalnyWeb"/>
        <w:tabs>
          <w:tab w:val="left" w:pos="284"/>
        </w:tabs>
        <w:spacing w:beforeAutospacing="0" w:after="120" w:afterAutospacing="0" w:line="360" w:lineRule="auto"/>
        <w:ind w:firstLine="284"/>
        <w:jc w:val="both"/>
        <w:rPr>
          <w:rFonts w:ascii="Arial" w:hAnsi="Arial" w:cs="Arial"/>
        </w:rPr>
      </w:pPr>
      <w:r w:rsidRPr="00F27140">
        <w:rPr>
          <w:rFonts w:ascii="Arial" w:hAnsi="Arial" w:cs="Arial"/>
        </w:rPr>
        <w:t xml:space="preserve">W sprzedaży w 2021 </w:t>
      </w:r>
      <w:r w:rsidR="00793962">
        <w:rPr>
          <w:rFonts w:ascii="Arial" w:hAnsi="Arial" w:cs="Arial"/>
        </w:rPr>
        <w:t xml:space="preserve">r. </w:t>
      </w:r>
      <w:r w:rsidRPr="00F27140">
        <w:rPr>
          <w:rFonts w:ascii="Arial" w:hAnsi="Arial" w:cs="Arial"/>
        </w:rPr>
        <w:t>znajdowało się 15 takich substancji. Wpływ na wzrost miała zwiększona w stosunku do poprzedniego roku sprzedaż kaptanu i metazachloru.</w:t>
      </w:r>
    </w:p>
    <w:p w14:paraId="44AD0DFB" w14:textId="7592CB71" w:rsidR="004A7520" w:rsidRPr="00D61AEC" w:rsidRDefault="004A7520" w:rsidP="004A7520">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r w:rsidRPr="00FE7C13">
        <w:rPr>
          <w:rFonts w:ascii="Arial" w:hAnsi="Arial" w:cs="Arial"/>
          <w:color w:val="000000"/>
        </w:rPr>
        <w:t>W grupie wskaźników „F” w 2022</w:t>
      </w:r>
      <w:r w:rsidR="0031319C">
        <w:rPr>
          <w:rFonts w:ascii="Arial" w:hAnsi="Arial" w:cs="Arial"/>
          <w:color w:val="000000"/>
        </w:rPr>
        <w:t xml:space="preserve"> r.</w:t>
      </w:r>
      <w:r w:rsidRPr="00FE7C13">
        <w:rPr>
          <w:rFonts w:ascii="Arial" w:hAnsi="Arial" w:cs="Arial"/>
          <w:color w:val="000000"/>
        </w:rPr>
        <w:t xml:space="preserve"> nastąpił spadek wielkości sprzedaży substancji czynnych wymagających programów monitorowania (2823,59 Mg). Jednak ich udział w całości sprzedaży (WSSMonit = 12,65%) </w:t>
      </w:r>
      <w:r w:rsidR="0031319C">
        <w:rPr>
          <w:rFonts w:ascii="Arial" w:hAnsi="Arial" w:cs="Arial"/>
          <w:color w:val="000000"/>
        </w:rPr>
        <w:t>był</w:t>
      </w:r>
      <w:r w:rsidRPr="00FE7C13">
        <w:rPr>
          <w:rFonts w:ascii="Arial" w:hAnsi="Arial" w:cs="Arial"/>
          <w:color w:val="000000"/>
        </w:rPr>
        <w:t xml:space="preserve"> największy z okresu badanych lat 2015-2022. W </w:t>
      </w:r>
      <w:r w:rsidR="00322A07">
        <w:rPr>
          <w:rFonts w:ascii="Arial" w:hAnsi="Arial" w:cs="Arial"/>
          <w:color w:val="000000"/>
        </w:rPr>
        <w:t>2022 r.</w:t>
      </w:r>
      <w:r w:rsidRPr="00FE7C13">
        <w:rPr>
          <w:rFonts w:ascii="Arial" w:hAnsi="Arial" w:cs="Arial"/>
          <w:color w:val="000000"/>
        </w:rPr>
        <w:t xml:space="preserve"> w sprzedaży znajdowało się 14 substancji wymagających programów monitorowania, z których największą wielkość sprzedaży miały kaptan i metazachlor (łącznie 87% WSMonit.).</w:t>
      </w:r>
    </w:p>
    <w:p w14:paraId="0661262F" w14:textId="3B26877D" w:rsidR="00A403E9" w:rsidRPr="00A403E9" w:rsidRDefault="00E54725" w:rsidP="00A403E9">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r w:rsidRPr="00925BCD">
        <w:rPr>
          <w:rFonts w:ascii="Arial" w:hAnsi="Arial" w:cs="Arial"/>
        </w:rPr>
        <w:t>Równolegle za pomocą dwóch analogicznych wskaźników monitoruje się sprzedaż środków ochrony roślin zawierających substancji czynne będące na liście substancji priorytetowych w dziedzinie polityki wodnej zdefiniowanej w załączniku nr 1 do Dyrektywy Parlamentu Europejskiego i Rady 2013/39/UE. W Polsce spośród 45 substancji wymienionych w dyrektywie w 2019 r. w sprzedaży znajdowały się cztery. Są to: bifenoks, chloropiryfos, cypermetryna (wraz z izomerami) i izoproturon</w:t>
      </w:r>
      <w:r w:rsidR="00C92B56">
        <w:rPr>
          <w:rFonts w:ascii="Arial" w:hAnsi="Arial" w:cs="Arial"/>
        </w:rPr>
        <w:t xml:space="preserve">. </w:t>
      </w:r>
      <w:r w:rsidR="00C92B56">
        <w:rPr>
          <w:rFonts w:ascii="Arial" w:eastAsia="Arial" w:hAnsi="Arial" w:cs="Arial"/>
          <w:color w:val="000000" w:themeColor="text1"/>
        </w:rPr>
        <w:t>W</w:t>
      </w:r>
      <w:r w:rsidR="00C92B56" w:rsidRPr="00FB18E4">
        <w:rPr>
          <w:rFonts w:ascii="Arial" w:eastAsia="Arial" w:hAnsi="Arial" w:cs="Arial"/>
          <w:color w:val="000000" w:themeColor="text1"/>
        </w:rPr>
        <w:t xml:space="preserve"> </w:t>
      </w:r>
      <w:r w:rsidR="00F77AEF">
        <w:rPr>
          <w:rFonts w:ascii="Arial" w:eastAsia="Arial" w:hAnsi="Arial" w:cs="Arial"/>
          <w:color w:val="000000" w:themeColor="text1"/>
        </w:rPr>
        <w:t xml:space="preserve">latach </w:t>
      </w:r>
      <w:r w:rsidR="001F4DC2">
        <w:rPr>
          <w:rFonts w:ascii="Arial" w:eastAsia="Arial" w:hAnsi="Arial" w:cs="Arial"/>
          <w:color w:val="000000" w:themeColor="text1"/>
        </w:rPr>
        <w:t>2</w:t>
      </w:r>
      <w:r w:rsidR="00C92B56" w:rsidRPr="00FB18E4">
        <w:rPr>
          <w:rFonts w:ascii="Arial" w:eastAsia="Arial" w:hAnsi="Arial" w:cs="Arial"/>
          <w:color w:val="000000" w:themeColor="text1"/>
        </w:rPr>
        <w:t>020</w:t>
      </w:r>
      <w:r w:rsidR="00806977">
        <w:rPr>
          <w:rFonts w:ascii="Arial" w:eastAsia="Arial" w:hAnsi="Arial" w:cs="Arial"/>
          <w:color w:val="000000" w:themeColor="text1"/>
        </w:rPr>
        <w:t xml:space="preserve"> i</w:t>
      </w:r>
      <w:r w:rsidR="00A403E9">
        <w:rPr>
          <w:rFonts w:ascii="Arial" w:eastAsia="Arial" w:hAnsi="Arial" w:cs="Arial"/>
          <w:color w:val="000000" w:themeColor="text1"/>
        </w:rPr>
        <w:t> </w:t>
      </w:r>
      <w:r w:rsidR="00806977">
        <w:rPr>
          <w:rFonts w:ascii="Arial" w:eastAsia="Arial" w:hAnsi="Arial" w:cs="Arial"/>
          <w:color w:val="000000" w:themeColor="text1"/>
        </w:rPr>
        <w:t>2021</w:t>
      </w:r>
      <w:r w:rsidR="001F4DC2">
        <w:rPr>
          <w:rFonts w:ascii="Arial" w:eastAsia="Arial" w:hAnsi="Arial" w:cs="Arial"/>
          <w:color w:val="000000" w:themeColor="text1"/>
        </w:rPr>
        <w:t>.</w:t>
      </w:r>
      <w:r w:rsidR="00C92B56" w:rsidRPr="00FB18E4">
        <w:rPr>
          <w:rFonts w:ascii="Arial" w:eastAsia="Arial" w:hAnsi="Arial" w:cs="Arial"/>
          <w:color w:val="000000" w:themeColor="text1"/>
        </w:rPr>
        <w:t xml:space="preserve"> </w:t>
      </w:r>
      <w:r w:rsidR="00C92B56">
        <w:rPr>
          <w:rFonts w:ascii="Arial" w:eastAsia="Arial" w:hAnsi="Arial" w:cs="Arial"/>
          <w:color w:val="000000" w:themeColor="text1"/>
        </w:rPr>
        <w:t>w</w:t>
      </w:r>
      <w:r w:rsidR="001F4DC2">
        <w:rPr>
          <w:rFonts w:ascii="Arial" w:eastAsia="Arial" w:hAnsi="Arial" w:cs="Arial"/>
          <w:color w:val="000000" w:themeColor="text1"/>
        </w:rPr>
        <w:t> </w:t>
      </w:r>
      <w:r w:rsidR="00C92B56">
        <w:rPr>
          <w:rFonts w:ascii="Arial" w:eastAsia="Arial" w:hAnsi="Arial" w:cs="Arial"/>
          <w:color w:val="000000" w:themeColor="text1"/>
        </w:rPr>
        <w:t xml:space="preserve">sprzedaży były </w:t>
      </w:r>
      <w:r w:rsidR="00C92B56" w:rsidRPr="00FB18E4">
        <w:rPr>
          <w:rFonts w:ascii="Arial" w:eastAsia="Arial" w:hAnsi="Arial" w:cs="Arial"/>
          <w:color w:val="000000" w:themeColor="text1"/>
        </w:rPr>
        <w:t>tylko aklonifen</w:t>
      </w:r>
      <w:r w:rsidR="00C92B56">
        <w:rPr>
          <w:rFonts w:ascii="Arial" w:eastAsia="Arial" w:hAnsi="Arial" w:cs="Arial"/>
          <w:color w:val="000000" w:themeColor="text1"/>
        </w:rPr>
        <w:t>,</w:t>
      </w:r>
      <w:r w:rsidR="00C92B56" w:rsidRPr="00FB18E4">
        <w:rPr>
          <w:rFonts w:ascii="Arial" w:eastAsia="Arial" w:hAnsi="Arial" w:cs="Arial"/>
          <w:color w:val="000000" w:themeColor="text1"/>
        </w:rPr>
        <w:t xml:space="preserve"> cypermetryna i</w:t>
      </w:r>
      <w:r w:rsidR="00C92B56">
        <w:rPr>
          <w:rFonts w:ascii="Arial" w:eastAsia="Arial" w:hAnsi="Arial" w:cs="Arial"/>
          <w:color w:val="000000" w:themeColor="text1"/>
        </w:rPr>
        <w:t xml:space="preserve"> alfa-cypermetryna</w:t>
      </w:r>
      <w:r w:rsidR="00A403E9">
        <w:rPr>
          <w:rFonts w:ascii="Arial" w:eastAsia="Arial" w:hAnsi="Arial" w:cs="Arial"/>
          <w:color w:val="000000" w:themeColor="text1"/>
        </w:rPr>
        <w:t xml:space="preserve">, </w:t>
      </w:r>
      <w:r w:rsidR="00A403E9" w:rsidRPr="00A403E9">
        <w:rPr>
          <w:rFonts w:ascii="Arial" w:eastAsia="Arial" w:hAnsi="Arial" w:cs="Arial"/>
          <w:color w:val="000000" w:themeColor="text1"/>
        </w:rPr>
        <w:t>a w</w:t>
      </w:r>
      <w:r w:rsidR="00A403E9">
        <w:rPr>
          <w:rFonts w:ascii="Arial" w:eastAsia="Arial" w:hAnsi="Arial" w:cs="Arial"/>
          <w:color w:val="000000" w:themeColor="text1"/>
        </w:rPr>
        <w:t xml:space="preserve"> </w:t>
      </w:r>
      <w:r w:rsidR="00A403E9" w:rsidRPr="00A403E9">
        <w:rPr>
          <w:rFonts w:ascii="Arial" w:eastAsia="Arial" w:hAnsi="Arial" w:cs="Arial"/>
          <w:color w:val="000000" w:themeColor="text1"/>
        </w:rPr>
        <w:t>2022</w:t>
      </w:r>
      <w:r w:rsidR="00A403E9">
        <w:rPr>
          <w:rFonts w:ascii="Arial" w:eastAsia="Arial" w:hAnsi="Arial" w:cs="Arial"/>
          <w:color w:val="000000" w:themeColor="text1"/>
        </w:rPr>
        <w:t xml:space="preserve"> r.</w:t>
      </w:r>
      <w:r w:rsidR="00A403E9" w:rsidRPr="00A403E9">
        <w:rPr>
          <w:rFonts w:ascii="Arial" w:eastAsia="Arial" w:hAnsi="Arial" w:cs="Arial"/>
          <w:color w:val="000000" w:themeColor="text1"/>
        </w:rPr>
        <w:t xml:space="preserve"> tylko aklonifen i</w:t>
      </w:r>
      <w:r w:rsidR="00A403E9">
        <w:rPr>
          <w:rFonts w:ascii="Arial" w:eastAsia="Arial" w:hAnsi="Arial" w:cs="Arial"/>
          <w:color w:val="000000" w:themeColor="text1"/>
        </w:rPr>
        <w:t> </w:t>
      </w:r>
      <w:r w:rsidR="00A403E9" w:rsidRPr="00A403E9">
        <w:rPr>
          <w:rFonts w:ascii="Arial" w:eastAsia="Arial" w:hAnsi="Arial" w:cs="Arial"/>
          <w:color w:val="000000" w:themeColor="text1"/>
        </w:rPr>
        <w:t>cypermetryna.</w:t>
      </w:r>
    </w:p>
    <w:p w14:paraId="7B453B05" w14:textId="77777777" w:rsidR="00F841F4" w:rsidRDefault="00F841F4" w:rsidP="007C21A7">
      <w:pPr>
        <w:pStyle w:val="NormalnyWeb"/>
        <w:tabs>
          <w:tab w:val="left" w:pos="284"/>
        </w:tabs>
        <w:spacing w:beforeAutospacing="0" w:after="120" w:afterAutospacing="0" w:line="360" w:lineRule="auto"/>
        <w:ind w:firstLine="284"/>
        <w:jc w:val="center"/>
        <w:rPr>
          <w:rFonts w:ascii="Arial" w:hAnsi="Arial" w:cs="Arial"/>
        </w:rPr>
      </w:pPr>
    </w:p>
    <w:p w14:paraId="0575BD84" w14:textId="77777777" w:rsidR="00F841F4" w:rsidRDefault="00F841F4" w:rsidP="007C21A7">
      <w:pPr>
        <w:pStyle w:val="NormalnyWeb"/>
        <w:tabs>
          <w:tab w:val="left" w:pos="284"/>
        </w:tabs>
        <w:spacing w:beforeAutospacing="0" w:after="120" w:afterAutospacing="0" w:line="360" w:lineRule="auto"/>
        <w:ind w:firstLine="284"/>
        <w:jc w:val="center"/>
        <w:rPr>
          <w:rFonts w:ascii="Arial" w:hAnsi="Arial" w:cs="Arial"/>
        </w:rPr>
      </w:pPr>
    </w:p>
    <w:p w14:paraId="0D584271" w14:textId="77777777" w:rsidR="00F841F4" w:rsidRDefault="00F841F4" w:rsidP="007C21A7">
      <w:pPr>
        <w:pStyle w:val="NormalnyWeb"/>
        <w:tabs>
          <w:tab w:val="left" w:pos="284"/>
        </w:tabs>
        <w:spacing w:beforeAutospacing="0" w:after="120" w:afterAutospacing="0" w:line="360" w:lineRule="auto"/>
        <w:ind w:firstLine="284"/>
        <w:jc w:val="center"/>
        <w:rPr>
          <w:rFonts w:ascii="Arial" w:hAnsi="Arial" w:cs="Arial"/>
        </w:rPr>
      </w:pPr>
    </w:p>
    <w:p w14:paraId="0E125D3B" w14:textId="77777777" w:rsidR="00F841F4" w:rsidRDefault="00F841F4" w:rsidP="007C21A7">
      <w:pPr>
        <w:pStyle w:val="NormalnyWeb"/>
        <w:tabs>
          <w:tab w:val="left" w:pos="284"/>
        </w:tabs>
        <w:spacing w:beforeAutospacing="0" w:after="120" w:afterAutospacing="0" w:line="360" w:lineRule="auto"/>
        <w:ind w:firstLine="284"/>
        <w:jc w:val="center"/>
        <w:rPr>
          <w:rFonts w:ascii="Arial" w:hAnsi="Arial" w:cs="Arial"/>
        </w:rPr>
      </w:pPr>
    </w:p>
    <w:p w14:paraId="4E4683AD" w14:textId="540E270B" w:rsidR="003F1C6A" w:rsidRDefault="00297B50" w:rsidP="007C21A7">
      <w:pPr>
        <w:pStyle w:val="NormalnyWeb"/>
        <w:tabs>
          <w:tab w:val="left" w:pos="284"/>
        </w:tabs>
        <w:spacing w:beforeAutospacing="0" w:after="120" w:afterAutospacing="0" w:line="360" w:lineRule="auto"/>
        <w:ind w:firstLine="284"/>
        <w:jc w:val="center"/>
        <w:rPr>
          <w:rFonts w:ascii="Arial" w:hAnsi="Arial" w:cs="Arial"/>
        </w:rPr>
      </w:pPr>
      <w:r w:rsidRPr="00297B50">
        <w:rPr>
          <w:rFonts w:ascii="Arial" w:hAnsi="Arial" w:cs="Arial"/>
        </w:rPr>
        <w:lastRenderedPageBreak/>
        <w:t>Wartość wskaźników wielkości sprzedaży i struktury sprzedaży substancji priorytetowych w</w:t>
      </w:r>
      <w:r w:rsidR="007C21A7">
        <w:rPr>
          <w:rFonts w:ascii="Arial" w:hAnsi="Arial" w:cs="Arial"/>
        </w:rPr>
        <w:t> </w:t>
      </w:r>
      <w:r w:rsidRPr="00297B50">
        <w:rPr>
          <w:rFonts w:ascii="Arial" w:hAnsi="Arial" w:cs="Arial"/>
        </w:rPr>
        <w:t>dziedzinie polityki wodnej (wskaźniki „E” - WSPW i WSSPW) za lata 2013–202</w:t>
      </w:r>
      <w:r w:rsidR="00BB5684">
        <w:rPr>
          <w:rFonts w:ascii="Arial" w:hAnsi="Arial" w:cs="Arial"/>
        </w:rPr>
        <w:t>2</w:t>
      </w:r>
      <w:r w:rsidRPr="00297B50">
        <w:rPr>
          <w:rFonts w:ascii="Arial" w:hAnsi="Arial" w:cs="Arial"/>
        </w:rPr>
        <w:t xml:space="preserve"> </w:t>
      </w:r>
    </w:p>
    <w:tbl>
      <w:tblPr>
        <w:tblW w:w="9782" w:type="dxa"/>
        <w:tblInd w:w="-292" w:type="dxa"/>
        <w:tblLayout w:type="fixed"/>
        <w:tblLook w:val="0000" w:firstRow="0" w:lastRow="0" w:firstColumn="0" w:lastColumn="0" w:noHBand="0" w:noVBand="0"/>
      </w:tblPr>
      <w:tblGrid>
        <w:gridCol w:w="993"/>
        <w:gridCol w:w="851"/>
        <w:gridCol w:w="850"/>
        <w:gridCol w:w="851"/>
        <w:gridCol w:w="850"/>
        <w:gridCol w:w="851"/>
        <w:gridCol w:w="850"/>
        <w:gridCol w:w="851"/>
        <w:gridCol w:w="850"/>
        <w:gridCol w:w="977"/>
        <w:gridCol w:w="1008"/>
      </w:tblGrid>
      <w:tr w:rsidR="00F000F4" w:rsidRPr="005F0E4B" w14:paraId="41E28747" w14:textId="5F0A2C89" w:rsidTr="00F000F4">
        <w:trPr>
          <w:trHeight w:val="543"/>
        </w:trPr>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9E4B1" w14:textId="77777777" w:rsidR="00A53FEB" w:rsidRPr="00F000F4" w:rsidRDefault="00A53FEB" w:rsidP="00A53FEB">
            <w:pPr>
              <w:spacing w:after="0" w:line="240" w:lineRule="auto"/>
              <w:jc w:val="center"/>
              <w:rPr>
                <w:rFonts w:ascii="Arial" w:eastAsia="Arial" w:hAnsi="Arial" w:cs="Arial"/>
                <w:sz w:val="16"/>
                <w:szCs w:val="16"/>
                <w:lang w:eastAsia="pl-PL"/>
              </w:rPr>
            </w:pPr>
            <w:r w:rsidRPr="00F000F4">
              <w:rPr>
                <w:rFonts w:ascii="Arial" w:eastAsia="Arial" w:hAnsi="Arial" w:cs="Arial"/>
                <w:sz w:val="16"/>
                <w:szCs w:val="16"/>
                <w:lang w:eastAsia="pl-PL"/>
              </w:rPr>
              <w:t>Pozycja/ lata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78572FA4"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2013</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3CBA282"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2014</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6263FD9"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2015</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46C53E1"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2016</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DAB5E1"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2017</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805C17"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2018</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E59D904"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2019</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E72F43"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2020</w:t>
            </w:r>
          </w:p>
        </w:tc>
        <w:tc>
          <w:tcPr>
            <w:tcW w:w="977" w:type="dxa"/>
            <w:tcBorders>
              <w:top w:val="single" w:sz="6" w:space="0" w:color="000000"/>
              <w:left w:val="single" w:sz="6" w:space="0" w:color="000000"/>
              <w:bottom w:val="single" w:sz="6" w:space="0" w:color="000000"/>
              <w:right w:val="single" w:sz="6" w:space="0" w:color="000000"/>
            </w:tcBorders>
            <w:vAlign w:val="center"/>
          </w:tcPr>
          <w:p w14:paraId="7B0D221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2021</w:t>
            </w:r>
          </w:p>
        </w:tc>
        <w:tc>
          <w:tcPr>
            <w:tcW w:w="1008" w:type="dxa"/>
            <w:tcBorders>
              <w:top w:val="single" w:sz="6" w:space="0" w:color="000000"/>
              <w:left w:val="single" w:sz="6" w:space="0" w:color="000000"/>
              <w:bottom w:val="single" w:sz="6" w:space="0" w:color="000000"/>
              <w:right w:val="single" w:sz="6" w:space="0" w:color="000000"/>
            </w:tcBorders>
            <w:vAlign w:val="center"/>
          </w:tcPr>
          <w:p w14:paraId="245B5CA3" w14:textId="295A124D"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2022</w:t>
            </w:r>
          </w:p>
        </w:tc>
      </w:tr>
      <w:tr w:rsidR="00F000F4" w:rsidRPr="005F0E4B" w14:paraId="03F6FCA9" w14:textId="39CBDD03" w:rsidTr="00F000F4">
        <w:trPr>
          <w:trHeight w:val="543"/>
        </w:trPr>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6C996B" w14:textId="77777777" w:rsidR="00A53FEB" w:rsidRPr="00F000F4" w:rsidRDefault="00A53FEB" w:rsidP="00A53FEB">
            <w:pPr>
              <w:spacing w:after="0" w:line="240" w:lineRule="auto"/>
              <w:rPr>
                <w:rFonts w:ascii="Arial" w:eastAsia="Arial" w:hAnsi="Arial" w:cs="Arial"/>
                <w:sz w:val="16"/>
                <w:szCs w:val="16"/>
                <w:lang w:eastAsia="pl-PL"/>
              </w:rPr>
            </w:pPr>
            <w:r w:rsidRPr="00F000F4">
              <w:rPr>
                <w:rFonts w:ascii="Arial" w:eastAsia="Arial" w:hAnsi="Arial" w:cs="Arial"/>
                <w:sz w:val="16"/>
                <w:szCs w:val="16"/>
                <w:lang w:eastAsia="pl-PL"/>
              </w:rPr>
              <w:t>Wskaźnik wielkości sprzedaży WS</w:t>
            </w:r>
            <w:r w:rsidRPr="00F000F4">
              <w:rPr>
                <w:rFonts w:ascii="Arial" w:eastAsia="Arial" w:hAnsi="Arial" w:cs="Arial"/>
                <w:sz w:val="16"/>
                <w:szCs w:val="16"/>
                <w:vertAlign w:val="subscript"/>
                <w:lang w:eastAsia="pl-PL"/>
              </w:rPr>
              <w:t>PW</w:t>
            </w:r>
            <w:r w:rsidRPr="00F000F4">
              <w:rPr>
                <w:rFonts w:ascii="Arial" w:eastAsia="Arial" w:hAnsi="Arial" w:cs="Arial"/>
                <w:sz w:val="16"/>
                <w:szCs w:val="16"/>
                <w:lang w:eastAsia="pl-PL"/>
              </w:rPr>
              <w:t xml:space="preserve"> [Mg]</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2346638E"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1386,70</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661593"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1459,73</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56A430"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1552,85</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E57B9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1228,44</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1C3F606"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1119,93</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5C222AA"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997,91</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3B8AF78"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1975,87</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F307506"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Times New Roman" w:hAnsi="Arial" w:cs="Arial"/>
                <w:sz w:val="16"/>
                <w:szCs w:val="16"/>
                <w:lang w:eastAsia="pl-PL"/>
              </w:rPr>
              <w:t>206,57</w:t>
            </w:r>
          </w:p>
        </w:tc>
        <w:tc>
          <w:tcPr>
            <w:tcW w:w="977" w:type="dxa"/>
            <w:tcBorders>
              <w:top w:val="single" w:sz="6" w:space="0" w:color="000000"/>
              <w:left w:val="single" w:sz="6" w:space="0" w:color="000000"/>
              <w:bottom w:val="single" w:sz="6" w:space="0" w:color="000000"/>
              <w:right w:val="single" w:sz="6" w:space="0" w:color="000000"/>
            </w:tcBorders>
            <w:vAlign w:val="center"/>
          </w:tcPr>
          <w:p w14:paraId="21062646" w14:textId="77777777"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184,04</w:t>
            </w:r>
          </w:p>
        </w:tc>
        <w:tc>
          <w:tcPr>
            <w:tcW w:w="1008" w:type="dxa"/>
            <w:tcBorders>
              <w:top w:val="single" w:sz="6" w:space="0" w:color="000000"/>
              <w:left w:val="single" w:sz="6" w:space="0" w:color="000000"/>
              <w:bottom w:val="single" w:sz="6" w:space="0" w:color="000000"/>
              <w:right w:val="single" w:sz="6" w:space="0" w:color="000000"/>
            </w:tcBorders>
            <w:vAlign w:val="center"/>
          </w:tcPr>
          <w:p w14:paraId="5CEA8F42" w14:textId="7F7CEF28"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176,89</w:t>
            </w:r>
          </w:p>
        </w:tc>
      </w:tr>
      <w:tr w:rsidR="00F000F4" w:rsidRPr="005F0E4B" w14:paraId="3D981B85" w14:textId="01863735" w:rsidTr="00F000F4">
        <w:trPr>
          <w:trHeight w:val="543"/>
        </w:trPr>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479FD5" w14:textId="22E20052" w:rsidR="00A53FEB" w:rsidRPr="00F000F4" w:rsidRDefault="00A53FEB" w:rsidP="00A53FEB">
            <w:pPr>
              <w:spacing w:after="0" w:line="240" w:lineRule="auto"/>
              <w:rPr>
                <w:rFonts w:ascii="Arial" w:eastAsia="Arial" w:hAnsi="Arial" w:cs="Arial"/>
                <w:sz w:val="16"/>
                <w:szCs w:val="16"/>
                <w:lang w:eastAsia="pl-PL"/>
              </w:rPr>
            </w:pPr>
            <w:r w:rsidRPr="00F000F4">
              <w:rPr>
                <w:rFonts w:ascii="Arial" w:eastAsia="Arial" w:hAnsi="Arial" w:cs="Arial"/>
                <w:sz w:val="16"/>
                <w:szCs w:val="16"/>
                <w:lang w:eastAsia="pl-PL"/>
              </w:rPr>
              <w:t>Sumarycz</w:t>
            </w:r>
            <w:r w:rsidR="009234A9">
              <w:rPr>
                <w:rFonts w:ascii="Arial" w:eastAsia="Arial" w:hAnsi="Arial" w:cs="Arial"/>
                <w:sz w:val="16"/>
                <w:szCs w:val="16"/>
                <w:lang w:eastAsia="pl-PL"/>
              </w:rPr>
              <w:t xml:space="preserve"> </w:t>
            </w:r>
            <w:r w:rsidRPr="00F000F4">
              <w:rPr>
                <w:rFonts w:ascii="Arial" w:eastAsia="Arial" w:hAnsi="Arial" w:cs="Arial"/>
                <w:sz w:val="16"/>
                <w:szCs w:val="16"/>
                <w:lang w:eastAsia="pl-PL"/>
              </w:rPr>
              <w:t>na sprzedaż wszystkich subst. czynnych S [Mg]</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7CB9050"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22204,41</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6C100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23556,66</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7B0850A"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24006,14</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9EC7AA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24462,51</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2AC824"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25075,08</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4CD4A3"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23178,43</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863699"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24280,66</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1E96D10"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Times New Roman" w:hAnsi="Arial" w:cs="Arial"/>
                <w:sz w:val="16"/>
                <w:szCs w:val="16"/>
                <w:lang w:eastAsia="pl-PL"/>
              </w:rPr>
              <w:t>24628,01</w:t>
            </w:r>
          </w:p>
        </w:tc>
        <w:tc>
          <w:tcPr>
            <w:tcW w:w="977" w:type="dxa"/>
            <w:tcBorders>
              <w:top w:val="single" w:sz="6" w:space="0" w:color="000000"/>
              <w:left w:val="single" w:sz="6" w:space="0" w:color="000000"/>
              <w:bottom w:val="single" w:sz="6" w:space="0" w:color="000000"/>
              <w:right w:val="single" w:sz="6" w:space="0" w:color="000000"/>
            </w:tcBorders>
            <w:vAlign w:val="center"/>
          </w:tcPr>
          <w:p w14:paraId="5309E4B7" w14:textId="77777777"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26972,68</w:t>
            </w:r>
          </w:p>
        </w:tc>
        <w:tc>
          <w:tcPr>
            <w:tcW w:w="1008" w:type="dxa"/>
            <w:tcBorders>
              <w:top w:val="single" w:sz="6" w:space="0" w:color="000000"/>
              <w:left w:val="single" w:sz="6" w:space="0" w:color="000000"/>
              <w:bottom w:val="single" w:sz="6" w:space="0" w:color="000000"/>
              <w:right w:val="single" w:sz="6" w:space="0" w:color="000000"/>
            </w:tcBorders>
            <w:vAlign w:val="center"/>
          </w:tcPr>
          <w:p w14:paraId="1500982A" w14:textId="76EFD3E7"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22320,35</w:t>
            </w:r>
          </w:p>
        </w:tc>
      </w:tr>
      <w:tr w:rsidR="00F000F4" w:rsidRPr="005F0E4B" w14:paraId="75A2AC5A" w14:textId="5BB909E2" w:rsidTr="00F000F4">
        <w:trPr>
          <w:trHeight w:val="543"/>
        </w:trPr>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648B65" w14:textId="77777777" w:rsidR="00A53FEB" w:rsidRPr="00F000F4" w:rsidRDefault="00A53FEB" w:rsidP="00A53FEB">
            <w:pPr>
              <w:spacing w:after="0" w:line="240" w:lineRule="auto"/>
              <w:rPr>
                <w:rFonts w:ascii="Arial" w:eastAsia="Arial" w:hAnsi="Arial" w:cs="Arial"/>
                <w:sz w:val="16"/>
                <w:szCs w:val="16"/>
                <w:lang w:eastAsia="pl-PL"/>
              </w:rPr>
            </w:pPr>
            <w:r w:rsidRPr="00F000F4">
              <w:rPr>
                <w:rFonts w:ascii="Arial" w:eastAsia="Arial" w:hAnsi="Arial" w:cs="Arial"/>
                <w:sz w:val="16"/>
                <w:szCs w:val="16"/>
                <w:lang w:eastAsia="pl-PL"/>
              </w:rPr>
              <w:t>Wskaźnik struktury sprzedaży WSS</w:t>
            </w:r>
            <w:r w:rsidRPr="00F000F4">
              <w:rPr>
                <w:rFonts w:ascii="Arial" w:eastAsia="Arial" w:hAnsi="Arial" w:cs="Arial"/>
                <w:sz w:val="16"/>
                <w:szCs w:val="16"/>
                <w:vertAlign w:val="subscript"/>
                <w:lang w:eastAsia="pl-PL"/>
              </w:rPr>
              <w:t>PW</w:t>
            </w:r>
            <w:r w:rsidRPr="00F000F4">
              <w:rPr>
                <w:rFonts w:ascii="Arial" w:eastAsia="Arial" w:hAnsi="Arial" w:cs="Arial"/>
                <w:sz w:val="16"/>
                <w:szCs w:val="16"/>
                <w:lang w:eastAsia="pl-PL"/>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F445F82"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6,25</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10D273"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6,20</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663F8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6,47</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A0B96C"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5,02</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AF63CB9"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4,47</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38472E7"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4,31</w:t>
            </w:r>
          </w:p>
        </w:tc>
        <w:tc>
          <w:tcPr>
            <w:tcW w:w="85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B38DEC3"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Arial" w:hAnsi="Arial" w:cs="Arial"/>
                <w:sz w:val="16"/>
                <w:szCs w:val="16"/>
                <w:lang w:eastAsia="pl-PL"/>
              </w:rPr>
              <w:t>8,14</w:t>
            </w:r>
          </w:p>
        </w:tc>
        <w:tc>
          <w:tcPr>
            <w:tcW w:w="85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FC6A652" w14:textId="77777777" w:rsidR="00A53FEB" w:rsidRPr="00A53FEB" w:rsidRDefault="00A53FEB" w:rsidP="00A53FEB">
            <w:pPr>
              <w:spacing w:after="0" w:line="240" w:lineRule="auto"/>
              <w:jc w:val="center"/>
              <w:rPr>
                <w:rFonts w:ascii="Arial" w:eastAsia="Arial" w:hAnsi="Arial" w:cs="Arial"/>
                <w:sz w:val="16"/>
                <w:szCs w:val="16"/>
                <w:lang w:eastAsia="pl-PL"/>
              </w:rPr>
            </w:pPr>
            <w:r w:rsidRPr="00A53FEB">
              <w:rPr>
                <w:rFonts w:ascii="Arial" w:eastAsia="Times New Roman" w:hAnsi="Arial" w:cs="Arial"/>
                <w:sz w:val="16"/>
                <w:szCs w:val="16"/>
                <w:lang w:eastAsia="pl-PL"/>
              </w:rPr>
              <w:t>0,84</w:t>
            </w:r>
          </w:p>
        </w:tc>
        <w:tc>
          <w:tcPr>
            <w:tcW w:w="977" w:type="dxa"/>
            <w:tcBorders>
              <w:top w:val="single" w:sz="6" w:space="0" w:color="000000"/>
              <w:left w:val="single" w:sz="6" w:space="0" w:color="000000"/>
              <w:bottom w:val="single" w:sz="6" w:space="0" w:color="000000"/>
              <w:right w:val="single" w:sz="6" w:space="0" w:color="000000"/>
            </w:tcBorders>
            <w:vAlign w:val="center"/>
          </w:tcPr>
          <w:p w14:paraId="32E77C92" w14:textId="77777777"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0,68</w:t>
            </w:r>
          </w:p>
        </w:tc>
        <w:tc>
          <w:tcPr>
            <w:tcW w:w="1008" w:type="dxa"/>
            <w:tcBorders>
              <w:top w:val="single" w:sz="6" w:space="0" w:color="000000"/>
              <w:left w:val="single" w:sz="6" w:space="0" w:color="000000"/>
              <w:bottom w:val="single" w:sz="6" w:space="0" w:color="000000"/>
              <w:right w:val="single" w:sz="6" w:space="0" w:color="000000"/>
            </w:tcBorders>
            <w:vAlign w:val="center"/>
          </w:tcPr>
          <w:p w14:paraId="64BD0960" w14:textId="69A14737" w:rsidR="00A53FEB" w:rsidRPr="00A53FEB" w:rsidRDefault="00A53FEB" w:rsidP="00A53FEB">
            <w:pPr>
              <w:spacing w:after="0" w:line="240" w:lineRule="auto"/>
              <w:jc w:val="center"/>
              <w:rPr>
                <w:rFonts w:ascii="Arial" w:eastAsia="Times New Roman" w:hAnsi="Arial" w:cs="Arial"/>
                <w:sz w:val="16"/>
                <w:szCs w:val="16"/>
                <w:lang w:eastAsia="pl-PL"/>
              </w:rPr>
            </w:pPr>
            <w:r w:rsidRPr="00A53FEB">
              <w:rPr>
                <w:rFonts w:ascii="Arial" w:eastAsia="Times New Roman" w:hAnsi="Arial" w:cs="Arial"/>
                <w:sz w:val="16"/>
                <w:szCs w:val="16"/>
                <w:lang w:eastAsia="pl-PL"/>
              </w:rPr>
              <w:t>0,79</w:t>
            </w:r>
          </w:p>
        </w:tc>
      </w:tr>
    </w:tbl>
    <w:p w14:paraId="47F82785" w14:textId="02A70306" w:rsidR="003B2F3D" w:rsidRPr="003B2F3D" w:rsidRDefault="00C5767D" w:rsidP="003B2F3D">
      <w:pPr>
        <w:widowControl w:val="0"/>
        <w:tabs>
          <w:tab w:val="left" w:pos="284"/>
        </w:tabs>
        <w:spacing w:beforeAutospacing="1" w:after="0" w:afterAutospacing="1" w:line="360" w:lineRule="auto"/>
        <w:ind w:firstLine="284"/>
        <w:jc w:val="both"/>
        <w:rPr>
          <w:rFonts w:ascii="Arial" w:eastAsia="Arial" w:hAnsi="Arial" w:cs="Arial"/>
          <w:color w:val="000000"/>
          <w:sz w:val="20"/>
          <w:szCs w:val="20"/>
          <w:lang w:eastAsia="pl-PL"/>
        </w:rPr>
      </w:pPr>
      <w:r w:rsidRPr="00C5767D">
        <w:rPr>
          <w:rFonts w:ascii="Arial" w:eastAsia="Arial" w:hAnsi="Arial" w:cs="Arial"/>
          <w:color w:val="000000"/>
          <w:sz w:val="20"/>
          <w:szCs w:val="20"/>
          <w:lang w:eastAsia="pl-PL"/>
        </w:rPr>
        <w:t>Wskaźniki z grupy „E” wykazywały stałą tendencję spadkową w latach 2015-2018, po czym w 2019</w:t>
      </w:r>
      <w:r w:rsidR="00FA6D28">
        <w:rPr>
          <w:rFonts w:ascii="Arial" w:eastAsia="Arial" w:hAnsi="Arial" w:cs="Arial"/>
          <w:color w:val="000000"/>
          <w:sz w:val="20"/>
          <w:szCs w:val="20"/>
          <w:lang w:eastAsia="pl-PL"/>
        </w:rPr>
        <w:t> r.</w:t>
      </w:r>
      <w:r w:rsidRPr="00C5767D">
        <w:rPr>
          <w:rFonts w:ascii="Arial" w:eastAsia="Arial" w:hAnsi="Arial" w:cs="Arial"/>
          <w:color w:val="000000"/>
          <w:sz w:val="20"/>
          <w:szCs w:val="20"/>
          <w:lang w:eastAsia="pl-PL"/>
        </w:rPr>
        <w:t xml:space="preserve"> nastąpił skokowy, około dwukrotny wzrost wskaźników struktury i</w:t>
      </w:r>
      <w:r w:rsidR="00A237D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 xml:space="preserve">wielkości sprzedaży. Przyczyną wzrostu wskaźników </w:t>
      </w:r>
      <w:r w:rsidR="0043425E">
        <w:rPr>
          <w:rFonts w:ascii="Arial" w:eastAsia="Arial" w:hAnsi="Arial" w:cs="Arial"/>
          <w:color w:val="000000"/>
          <w:sz w:val="20"/>
          <w:szCs w:val="20"/>
          <w:lang w:eastAsia="pl-PL"/>
        </w:rPr>
        <w:t>był</w:t>
      </w:r>
      <w:r w:rsidRPr="00C5767D">
        <w:rPr>
          <w:rFonts w:ascii="Arial" w:eastAsia="Arial" w:hAnsi="Arial" w:cs="Arial"/>
          <w:color w:val="000000"/>
          <w:sz w:val="20"/>
          <w:szCs w:val="20"/>
          <w:lang w:eastAsia="pl-PL"/>
        </w:rPr>
        <w:t xml:space="preserve"> </w:t>
      </w:r>
      <w:r w:rsidR="00AA14B3">
        <w:rPr>
          <w:rFonts w:ascii="Arial" w:eastAsia="Arial" w:hAnsi="Arial" w:cs="Arial"/>
          <w:color w:val="000000"/>
          <w:sz w:val="20"/>
          <w:szCs w:val="20"/>
          <w:lang w:eastAsia="pl-PL"/>
        </w:rPr>
        <w:t xml:space="preserve">wzrost </w:t>
      </w:r>
      <w:r w:rsidRPr="00C5767D">
        <w:rPr>
          <w:rFonts w:ascii="Arial" w:eastAsia="Arial" w:hAnsi="Arial" w:cs="Arial"/>
          <w:color w:val="000000"/>
          <w:sz w:val="20"/>
          <w:szCs w:val="20"/>
          <w:lang w:eastAsia="pl-PL"/>
        </w:rPr>
        <w:t>sprzedaży w 2019</w:t>
      </w:r>
      <w:r w:rsidR="00AA14B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r. chloropiryfosu będącego jedną z substancji priorytetowych w dziedzinie polityki wodnej. W</w:t>
      </w:r>
      <w:r w:rsidR="00AA14B3">
        <w:rPr>
          <w:rFonts w:ascii="Arial" w:eastAsia="Arial" w:hAnsi="Arial" w:cs="Arial"/>
          <w:color w:val="000000"/>
          <w:sz w:val="20"/>
          <w:szCs w:val="20"/>
          <w:lang w:eastAsia="pl-PL"/>
        </w:rPr>
        <w:t xml:space="preserve"> </w:t>
      </w:r>
      <w:r w:rsidRPr="00C5767D">
        <w:rPr>
          <w:rFonts w:ascii="Arial" w:eastAsia="Arial" w:hAnsi="Arial" w:cs="Arial"/>
          <w:color w:val="000000"/>
          <w:sz w:val="20"/>
          <w:szCs w:val="20"/>
          <w:lang w:eastAsia="pl-PL"/>
        </w:rPr>
        <w:t xml:space="preserve">2020 </w:t>
      </w:r>
      <w:r w:rsidR="00AA14B3">
        <w:rPr>
          <w:rFonts w:ascii="Arial" w:eastAsia="Arial" w:hAnsi="Arial" w:cs="Arial"/>
          <w:color w:val="000000"/>
          <w:sz w:val="20"/>
          <w:szCs w:val="20"/>
          <w:lang w:eastAsia="pl-PL"/>
        </w:rPr>
        <w:t xml:space="preserve">r. </w:t>
      </w:r>
      <w:r w:rsidRPr="00C5767D">
        <w:rPr>
          <w:rFonts w:ascii="Arial" w:eastAsia="Arial" w:hAnsi="Arial" w:cs="Arial"/>
          <w:color w:val="000000"/>
          <w:sz w:val="20"/>
          <w:szCs w:val="20"/>
          <w:lang w:eastAsia="pl-PL"/>
        </w:rPr>
        <w:t xml:space="preserve">po wycofaniu chloropyrifosu ze sprzedaży wartość wskaźnika spadła prawie 10-krotnie. W 2021 </w:t>
      </w:r>
      <w:r w:rsidR="009D065F">
        <w:rPr>
          <w:rFonts w:ascii="Arial" w:eastAsia="Arial" w:hAnsi="Arial" w:cs="Arial"/>
          <w:color w:val="000000"/>
          <w:sz w:val="20"/>
          <w:szCs w:val="20"/>
          <w:lang w:eastAsia="pl-PL"/>
        </w:rPr>
        <w:t xml:space="preserve">r. </w:t>
      </w:r>
      <w:r w:rsidRPr="00C5767D">
        <w:rPr>
          <w:rFonts w:ascii="Arial" w:eastAsia="Arial" w:hAnsi="Arial" w:cs="Arial"/>
          <w:color w:val="000000"/>
          <w:sz w:val="20"/>
          <w:szCs w:val="20"/>
          <w:lang w:eastAsia="pl-PL"/>
        </w:rPr>
        <w:t>sprzedaż substancji priorytetowych w dziedzinie polityki wodnej stanowiła 0,68% całości sprzedaży i była nieco niższa niż w 2020</w:t>
      </w:r>
      <w:r w:rsidR="00B5723A">
        <w:rPr>
          <w:rFonts w:ascii="Arial" w:eastAsia="Arial" w:hAnsi="Arial" w:cs="Arial"/>
          <w:color w:val="000000"/>
          <w:sz w:val="20"/>
          <w:szCs w:val="20"/>
          <w:lang w:eastAsia="pl-PL"/>
        </w:rPr>
        <w:t xml:space="preserve"> r</w:t>
      </w:r>
      <w:r w:rsidRPr="00C5767D">
        <w:rPr>
          <w:rFonts w:ascii="Arial" w:eastAsia="Arial" w:hAnsi="Arial" w:cs="Arial"/>
          <w:color w:val="000000"/>
          <w:sz w:val="20"/>
          <w:szCs w:val="20"/>
          <w:lang w:eastAsia="pl-PL"/>
        </w:rPr>
        <w:t>.</w:t>
      </w:r>
      <w:r w:rsidR="00374EF1">
        <w:rPr>
          <w:rFonts w:ascii="Arial" w:eastAsia="Arial" w:hAnsi="Arial" w:cs="Arial"/>
          <w:color w:val="000000"/>
          <w:sz w:val="20"/>
          <w:szCs w:val="20"/>
          <w:lang w:eastAsia="pl-PL"/>
        </w:rPr>
        <w:t xml:space="preserve"> Natomiast w</w:t>
      </w:r>
      <w:bookmarkStart w:id="52" w:name="_Hlk153448820"/>
      <w:r w:rsidR="003B2F3D" w:rsidRPr="003B2F3D">
        <w:rPr>
          <w:rFonts w:ascii="Arial" w:eastAsia="Arial" w:hAnsi="Arial" w:cs="Arial"/>
          <w:color w:val="000000"/>
          <w:sz w:val="20"/>
          <w:szCs w:val="20"/>
          <w:lang w:eastAsia="pl-PL"/>
        </w:rPr>
        <w:t xml:space="preserve"> 2022</w:t>
      </w:r>
      <w:r w:rsidR="003B2F3D">
        <w:rPr>
          <w:rFonts w:ascii="Arial" w:eastAsia="Arial" w:hAnsi="Arial" w:cs="Arial"/>
          <w:color w:val="000000"/>
          <w:sz w:val="20"/>
          <w:szCs w:val="20"/>
          <w:lang w:eastAsia="pl-PL"/>
        </w:rPr>
        <w:t xml:space="preserve"> r. </w:t>
      </w:r>
      <w:r w:rsidR="003B2F3D" w:rsidRPr="003B2F3D">
        <w:rPr>
          <w:rFonts w:ascii="Arial" w:eastAsia="Arial" w:hAnsi="Arial" w:cs="Arial"/>
          <w:color w:val="000000"/>
          <w:sz w:val="20"/>
          <w:szCs w:val="20"/>
          <w:lang w:eastAsia="pl-PL"/>
        </w:rPr>
        <w:t xml:space="preserve">sprzedaż substancji priorytetowych w dziedzinie polityki wodnej stanowiła 0,79% </w:t>
      </w:r>
      <w:bookmarkStart w:id="53" w:name="_Hlk153450360"/>
      <w:r w:rsidR="003B2F3D" w:rsidRPr="003B2F3D">
        <w:rPr>
          <w:rFonts w:ascii="Arial" w:eastAsia="Arial" w:hAnsi="Arial" w:cs="Arial"/>
          <w:color w:val="000000"/>
          <w:sz w:val="20"/>
          <w:szCs w:val="20"/>
          <w:lang w:eastAsia="pl-PL"/>
        </w:rPr>
        <w:t>całości sprzedaży i</w:t>
      </w:r>
      <w:r w:rsidR="00296ABE">
        <w:rPr>
          <w:rFonts w:ascii="Arial" w:eastAsia="Arial" w:hAnsi="Arial" w:cs="Arial"/>
          <w:color w:val="000000"/>
          <w:sz w:val="20"/>
          <w:szCs w:val="20"/>
          <w:lang w:eastAsia="pl-PL"/>
        </w:rPr>
        <w:t> </w:t>
      </w:r>
      <w:r w:rsidR="003B2F3D" w:rsidRPr="003B2F3D">
        <w:rPr>
          <w:rFonts w:ascii="Arial" w:eastAsia="Arial" w:hAnsi="Arial" w:cs="Arial"/>
          <w:color w:val="000000"/>
          <w:sz w:val="20"/>
          <w:szCs w:val="20"/>
          <w:lang w:eastAsia="pl-PL"/>
        </w:rPr>
        <w:t>była nieco niższa niż w 2021</w:t>
      </w:r>
      <w:r w:rsidR="00A5130A">
        <w:rPr>
          <w:rFonts w:ascii="Arial" w:eastAsia="Arial" w:hAnsi="Arial" w:cs="Arial"/>
          <w:color w:val="000000"/>
          <w:sz w:val="20"/>
          <w:szCs w:val="20"/>
          <w:lang w:eastAsia="pl-PL"/>
        </w:rPr>
        <w:t xml:space="preserve"> r</w:t>
      </w:r>
      <w:r w:rsidR="003B2F3D" w:rsidRPr="003B2F3D">
        <w:rPr>
          <w:rFonts w:ascii="Arial" w:eastAsia="Arial" w:hAnsi="Arial" w:cs="Arial"/>
          <w:color w:val="000000"/>
          <w:sz w:val="20"/>
          <w:szCs w:val="20"/>
          <w:lang w:eastAsia="pl-PL"/>
        </w:rPr>
        <w:t>.</w:t>
      </w:r>
    </w:p>
    <w:p w14:paraId="10E5F000" w14:textId="77777777" w:rsidR="00056846" w:rsidRPr="00925BCD" w:rsidRDefault="00E54725">
      <w:pPr>
        <w:pStyle w:val="Nagwek1"/>
        <w:numPr>
          <w:ilvl w:val="1"/>
          <w:numId w:val="9"/>
        </w:numPr>
        <w:tabs>
          <w:tab w:val="left" w:pos="284"/>
        </w:tabs>
        <w:ind w:left="426" w:hanging="426"/>
        <w:jc w:val="both"/>
        <w:rPr>
          <w:i w:val="0"/>
          <w:sz w:val="22"/>
          <w:szCs w:val="22"/>
        </w:rPr>
      </w:pPr>
      <w:bookmarkStart w:id="54" w:name="_Toc161744881"/>
      <w:bookmarkEnd w:id="52"/>
      <w:bookmarkEnd w:id="53"/>
      <w:r w:rsidRPr="00925BCD">
        <w:rPr>
          <w:i w:val="0"/>
          <w:sz w:val="22"/>
          <w:szCs w:val="22"/>
        </w:rPr>
        <w:t>Mierniki służące monitorowaniu</w:t>
      </w:r>
      <w:bookmarkEnd w:id="54"/>
    </w:p>
    <w:p w14:paraId="6034E679" w14:textId="2C8E3C2C"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bookmarkStart w:id="55" w:name="_Hlk153795224"/>
      <w:r w:rsidRPr="00925BCD">
        <w:rPr>
          <w:rFonts w:ascii="Arial" w:hAnsi="Arial" w:cs="Arial"/>
        </w:rPr>
        <w:t>Efektywność działania będzie oceniana na podstawie wyników badania jakości wody. W 2022 r. jakość wody ustalana na podstawie badania wpływu chemicznej ochrony roślin na stan wód powierzchniowych, prowadzonego przez Instytut Ochrony Roślin – PIB oraz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we współpracy z wojewódzkimi inspektoratami ochrony środowiska, powinna klasyfikować powyżej 95% </w:t>
      </w:r>
      <w:bookmarkEnd w:id="55"/>
      <w:r w:rsidRPr="00925BCD">
        <w:rPr>
          <w:rFonts w:ascii="Arial" w:hAnsi="Arial" w:cs="Arial"/>
        </w:rPr>
        <w:t>prób do kategorii A1, według normy rozporządzenia Ministra Środowiska z dnia 27 listopada 2002 r. w sprawie wymagań, jakim powinny odpowiadać wody powierzchniowe wykorzystywane do zaopatrzenia ludności w wodę przeznaczoną do spożycia.</w:t>
      </w:r>
    </w:p>
    <w:p w14:paraId="687A8BD1" w14:textId="1E83EE64"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w:t>
      </w:r>
      <w:r w:rsidRPr="00925BCD">
        <w:rPr>
          <w:rFonts w:ascii="Arial" w:hAnsi="Arial" w:cs="Arial"/>
        </w:rPr>
        <w:t xml:space="preserve"> </w:t>
      </w:r>
      <w:r w:rsidR="00990D8B" w:rsidRPr="00925BCD">
        <w:rPr>
          <w:rFonts w:ascii="Arial" w:hAnsi="Arial" w:cs="Arial"/>
        </w:rPr>
        <w:t xml:space="preserve">że </w:t>
      </w:r>
      <w:r w:rsidRPr="00925BCD">
        <w:rPr>
          <w:rFonts w:ascii="Arial" w:hAnsi="Arial" w:cs="Arial"/>
          <w:b/>
        </w:rPr>
        <w:t>96,5%</w:t>
      </w:r>
      <w:r w:rsidRPr="00925BCD">
        <w:rPr>
          <w:rFonts w:ascii="Arial" w:hAnsi="Arial" w:cs="Arial"/>
        </w:rPr>
        <w:t xml:space="preserve"> przeanalizowanych próbek wód spełniało wymagania kategorii A1, natomiast w przypadku badania prowadzonego przez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96%</w:t>
      </w:r>
      <w:r w:rsidRPr="00925BCD">
        <w:rPr>
          <w:rFonts w:ascii="Arial" w:hAnsi="Arial" w:cs="Arial"/>
        </w:rPr>
        <w:t xml:space="preserve"> prób wód spełniało wymagania kategorii A1 jakości wody, wg normy rozporządzenia Ministra Środowiska z dnia 27 listopada 2002 r. w sprawie wymagań, jakim powinny odpowiadać wody powierzchniowe wykorzystywane do zaopatrzenia ludności w wodę przeznaczoną do spożycia</w:t>
      </w:r>
      <w:r w:rsidR="003F5AD9" w:rsidRPr="00925BCD">
        <w:rPr>
          <w:rFonts w:ascii="Arial" w:hAnsi="Arial" w:cs="Arial"/>
        </w:rPr>
        <w:t>.</w:t>
      </w:r>
    </w:p>
    <w:p w14:paraId="4052C54A" w14:textId="0AD2E007" w:rsidR="003F5AD9" w:rsidRDefault="003F5AD9"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 xml:space="preserve">, że </w:t>
      </w:r>
      <w:r w:rsidRPr="00925BCD">
        <w:rPr>
          <w:rFonts w:ascii="Arial" w:hAnsi="Arial" w:cs="Arial"/>
          <w:b/>
        </w:rPr>
        <w:t>94,9%</w:t>
      </w:r>
      <w:r w:rsidRPr="00925BCD">
        <w:rPr>
          <w:rFonts w:ascii="Arial" w:hAnsi="Arial" w:cs="Arial"/>
        </w:rPr>
        <w:t xml:space="preserve"> </w:t>
      </w:r>
      <w:r w:rsidRPr="00925BCD">
        <w:rPr>
          <w:rFonts w:ascii="Arial" w:hAnsi="Arial" w:cs="Arial"/>
        </w:rPr>
        <w:lastRenderedPageBreak/>
        <w:t>przeanalizowanych próbek wód spełniało wymagania kategorii A1, natomiast w przypadku badania prowadzonego przez Instytut Ogrodnictwa</w:t>
      </w:r>
      <w:r w:rsidR="0048395C">
        <w:rPr>
          <w:rFonts w:ascii="Arial" w:hAnsi="Arial" w:cs="Arial"/>
        </w:rPr>
        <w:t xml:space="preserve"> </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93%</w:t>
      </w:r>
      <w:r w:rsidRPr="00925BCD">
        <w:rPr>
          <w:rFonts w:ascii="Arial" w:hAnsi="Arial" w:cs="Arial"/>
        </w:rPr>
        <w:t xml:space="preserve"> prób wód spełniało wymagania kategorii A1 jakości wody, wg normy </w:t>
      </w:r>
      <w:r w:rsidR="00BB5237" w:rsidRPr="002E51A8">
        <w:rPr>
          <w:rFonts w:ascii="Arial" w:hAnsi="Arial" w:cs="Arial"/>
        </w:rPr>
        <w:t xml:space="preserve">rozporządzenia </w:t>
      </w:r>
      <w:r w:rsidR="00BB5237" w:rsidRPr="00A533BA">
        <w:rPr>
          <w:rFonts w:ascii="Arial" w:hAnsi="Arial" w:cs="Arial"/>
        </w:rPr>
        <w:t>Ministra Gospodarki Morskiej i Żeglugi Śródlądowej z dnia 29</w:t>
      </w:r>
      <w:r w:rsidR="00BF7548">
        <w:rPr>
          <w:rFonts w:ascii="Arial" w:hAnsi="Arial" w:cs="Arial"/>
        </w:rPr>
        <w:t> </w:t>
      </w:r>
      <w:r w:rsidR="00BB5237" w:rsidRPr="00A533BA">
        <w:rPr>
          <w:rFonts w:ascii="Arial" w:hAnsi="Arial" w:cs="Arial"/>
        </w:rPr>
        <w:t>sierpnia 2019 r. w sprawie wymagań, jakim powinny odpowiadać wody powierzchniowe wykorzystywane do zaopatrzenia ludności w wodę przeznaczoną do spożycia przez ludzi (Dz. U. 2019</w:t>
      </w:r>
      <w:r w:rsidR="00DE26F9">
        <w:rPr>
          <w:rFonts w:ascii="Arial" w:hAnsi="Arial" w:cs="Arial"/>
        </w:rPr>
        <w:t> r.</w:t>
      </w:r>
      <w:r w:rsidR="00BB5237" w:rsidRPr="00A533BA">
        <w:rPr>
          <w:rFonts w:ascii="Arial" w:hAnsi="Arial" w:cs="Arial"/>
        </w:rPr>
        <w:t xml:space="preserve"> poz. 1747)</w:t>
      </w:r>
      <w:r w:rsidRPr="00925BCD">
        <w:rPr>
          <w:rFonts w:ascii="Arial" w:hAnsi="Arial" w:cs="Arial"/>
        </w:rPr>
        <w:t>.</w:t>
      </w:r>
    </w:p>
    <w:p w14:paraId="71876B12" w14:textId="15FD1EAA" w:rsidR="00BB5237" w:rsidRDefault="00BB5237" w:rsidP="00BB523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w:t>
      </w:r>
      <w:r>
        <w:rPr>
          <w:rFonts w:ascii="Arial" w:hAnsi="Arial" w:cs="Arial"/>
          <w:b/>
        </w:rPr>
        <w:t>20</w:t>
      </w:r>
      <w:r w:rsidRPr="00925BCD">
        <w:rPr>
          <w:rFonts w:ascii="Arial" w:hAnsi="Arial" w:cs="Arial"/>
          <w:b/>
        </w:rPr>
        <w:t xml:space="preserve"> r.</w:t>
      </w:r>
      <w:r w:rsidRPr="00925BCD">
        <w:rPr>
          <w:rFonts w:ascii="Arial" w:hAnsi="Arial" w:cs="Arial"/>
        </w:rPr>
        <w:t xml:space="preserve"> jakość wody ustalana na podstawie badania wpływu chemicznej ochrony roślin na stan wód powierzchniowych, prowadzonego przez Instytut Ochrony Roślin – PIB wykazała, że </w:t>
      </w:r>
      <w:r w:rsidRPr="00925BCD">
        <w:rPr>
          <w:rFonts w:ascii="Arial" w:hAnsi="Arial" w:cs="Arial"/>
          <w:b/>
        </w:rPr>
        <w:t>9</w:t>
      </w:r>
      <w:r>
        <w:rPr>
          <w:rFonts w:ascii="Arial" w:hAnsi="Arial" w:cs="Arial"/>
          <w:b/>
        </w:rPr>
        <w:t>5</w:t>
      </w:r>
      <w:r w:rsidRPr="00925BCD">
        <w:rPr>
          <w:rFonts w:ascii="Arial" w:hAnsi="Arial" w:cs="Arial"/>
          <w:b/>
        </w:rPr>
        <w:t>,9%</w:t>
      </w:r>
      <w:r w:rsidRPr="00925BCD">
        <w:rPr>
          <w:rFonts w:ascii="Arial" w:hAnsi="Arial" w:cs="Arial"/>
        </w:rPr>
        <w:t xml:space="preserve"> przeanalizowanych próbek wód spełniało wymagania kategorii A1, natomiast w przypadku badania prowadzonego przez Instytut Ogrodnictwa </w:t>
      </w:r>
      <w:r w:rsidR="0022277D" w:rsidRPr="00925BCD">
        <w:rPr>
          <w:rFonts w:ascii="Arial" w:hAnsi="Arial" w:cs="Arial"/>
        </w:rPr>
        <w:t xml:space="preserve">– </w:t>
      </w:r>
      <w:r w:rsidR="0022277D">
        <w:rPr>
          <w:rFonts w:ascii="Arial" w:hAnsi="Arial" w:cs="Arial"/>
        </w:rPr>
        <w:t xml:space="preserve">PIB </w:t>
      </w:r>
      <w:r w:rsidRPr="00925BCD">
        <w:rPr>
          <w:rFonts w:ascii="Arial" w:hAnsi="Arial" w:cs="Arial"/>
          <w:b/>
        </w:rPr>
        <w:t>9</w:t>
      </w:r>
      <w:r>
        <w:rPr>
          <w:rFonts w:ascii="Arial" w:hAnsi="Arial" w:cs="Arial"/>
          <w:b/>
        </w:rPr>
        <w:t>1</w:t>
      </w:r>
      <w:r w:rsidRPr="00925BCD">
        <w:rPr>
          <w:rFonts w:ascii="Arial" w:hAnsi="Arial" w:cs="Arial"/>
          <w:b/>
        </w:rPr>
        <w:t>%</w:t>
      </w:r>
      <w:r w:rsidRPr="00925BCD">
        <w:rPr>
          <w:rFonts w:ascii="Arial" w:hAnsi="Arial" w:cs="Arial"/>
        </w:rPr>
        <w:t xml:space="preserve"> prób wód spełniało wymagania kategorii A1 jakości wody, wg normy </w:t>
      </w:r>
      <w:r w:rsidRPr="002E51A8">
        <w:rPr>
          <w:rFonts w:ascii="Arial" w:hAnsi="Arial" w:cs="Arial"/>
        </w:rPr>
        <w:t xml:space="preserve">rozporządzenia </w:t>
      </w:r>
      <w:r w:rsidRPr="00A533BA">
        <w:rPr>
          <w:rFonts w:ascii="Arial" w:hAnsi="Arial" w:cs="Arial"/>
        </w:rPr>
        <w:t>Ministra Gospodarki Morskiej i Żeglugi Śródlądowej z dnia 29</w:t>
      </w:r>
      <w:r w:rsidR="00BF7548">
        <w:rPr>
          <w:rFonts w:ascii="Arial" w:hAnsi="Arial" w:cs="Arial"/>
        </w:rPr>
        <w:t> </w:t>
      </w:r>
      <w:r w:rsidRPr="00A533BA">
        <w:rPr>
          <w:rFonts w:ascii="Arial" w:hAnsi="Arial" w:cs="Arial"/>
        </w:rPr>
        <w:t>sierpnia 2019 r. w sprawie wymagań, jakim powinny odpowiadać wody powierzchniowe wykorzystywane do zaopatrzenia ludności w wodę przeznaczoną do spożycia przez ludzi</w:t>
      </w:r>
      <w:r w:rsidR="00C87F4E">
        <w:rPr>
          <w:rFonts w:ascii="Arial" w:hAnsi="Arial" w:cs="Arial"/>
        </w:rPr>
        <w:t>.</w:t>
      </w:r>
    </w:p>
    <w:p w14:paraId="5851B021" w14:textId="28831D8A" w:rsidR="001F0DB0" w:rsidRDefault="001F0DB0" w:rsidP="00BB5237">
      <w:pPr>
        <w:pStyle w:val="NormalnyWeb"/>
        <w:tabs>
          <w:tab w:val="left" w:pos="284"/>
        </w:tabs>
        <w:spacing w:beforeAutospacing="0" w:after="120" w:afterAutospacing="0" w:line="360" w:lineRule="auto"/>
        <w:ind w:firstLine="284"/>
        <w:jc w:val="both"/>
        <w:rPr>
          <w:rFonts w:ascii="Arial" w:hAnsi="Arial" w:cs="Arial"/>
        </w:rPr>
      </w:pPr>
      <w:r w:rsidRPr="00C97CC8">
        <w:rPr>
          <w:rFonts w:ascii="Arial" w:hAnsi="Arial" w:cs="Arial"/>
          <w:b/>
          <w:bCs/>
        </w:rPr>
        <w:t>W 20</w:t>
      </w:r>
      <w:r w:rsidR="00EE4516" w:rsidRPr="00C97CC8">
        <w:rPr>
          <w:rFonts w:ascii="Arial" w:hAnsi="Arial" w:cs="Arial"/>
          <w:b/>
          <w:bCs/>
        </w:rPr>
        <w:t>21 r.</w:t>
      </w:r>
      <w:r w:rsidR="009C34D8" w:rsidRPr="009C34D8">
        <w:t xml:space="preserve"> </w:t>
      </w:r>
      <w:r w:rsidR="009C34D8" w:rsidRPr="009C34D8">
        <w:rPr>
          <w:rFonts w:ascii="Arial" w:hAnsi="Arial" w:cs="Arial"/>
        </w:rPr>
        <w:t xml:space="preserve">jakość wody ustalana na podstawie badania wpływu chemicznej ochrony roślin na stan wód powierzchniowych, prowadzonego przez Instytut Ochrony Roślin – PIB wykazała, że </w:t>
      </w:r>
      <w:r w:rsidR="009C34D8" w:rsidRPr="00C97CC8">
        <w:rPr>
          <w:rFonts w:ascii="Arial" w:hAnsi="Arial" w:cs="Arial"/>
          <w:b/>
          <w:bCs/>
        </w:rPr>
        <w:t>95,</w:t>
      </w:r>
      <w:r w:rsidR="00C97CC8" w:rsidRPr="00C97CC8">
        <w:rPr>
          <w:rFonts w:ascii="Arial" w:hAnsi="Arial" w:cs="Arial"/>
          <w:b/>
          <w:bCs/>
        </w:rPr>
        <w:t>6</w:t>
      </w:r>
      <w:r w:rsidR="009C34D8" w:rsidRPr="00C97CC8">
        <w:rPr>
          <w:rFonts w:ascii="Arial" w:hAnsi="Arial" w:cs="Arial"/>
          <w:b/>
          <w:bCs/>
        </w:rPr>
        <w:t>%</w:t>
      </w:r>
      <w:r w:rsidR="009C34D8" w:rsidRPr="009C34D8">
        <w:rPr>
          <w:rFonts w:ascii="Arial" w:hAnsi="Arial" w:cs="Arial"/>
        </w:rPr>
        <w:t xml:space="preserve"> przeanalizowanych próbek wód spełniało wymagania kategorii A1, natomiast w przypadku badania prowadzonego przez Instytut Ogrodnictwa – PIB </w:t>
      </w:r>
      <w:r w:rsidR="009C34D8" w:rsidRPr="00AF13DC">
        <w:rPr>
          <w:rFonts w:ascii="Arial" w:hAnsi="Arial" w:cs="Arial"/>
          <w:b/>
          <w:bCs/>
        </w:rPr>
        <w:t>9</w:t>
      </w:r>
      <w:r w:rsidR="0010642B" w:rsidRPr="00AF13DC">
        <w:rPr>
          <w:rFonts w:ascii="Arial" w:hAnsi="Arial" w:cs="Arial"/>
          <w:b/>
          <w:bCs/>
        </w:rPr>
        <w:t>7</w:t>
      </w:r>
      <w:r w:rsidR="009C34D8" w:rsidRPr="00AF13DC">
        <w:rPr>
          <w:rFonts w:ascii="Arial" w:hAnsi="Arial" w:cs="Arial"/>
          <w:b/>
          <w:bCs/>
        </w:rPr>
        <w:t>%</w:t>
      </w:r>
      <w:r w:rsidR="009C34D8" w:rsidRPr="0010642B">
        <w:rPr>
          <w:rFonts w:ascii="Arial" w:hAnsi="Arial" w:cs="Arial"/>
        </w:rPr>
        <w:t xml:space="preserve"> prób</w:t>
      </w:r>
      <w:r w:rsidR="009C34D8" w:rsidRPr="009C34D8">
        <w:rPr>
          <w:rFonts w:ascii="Arial" w:hAnsi="Arial" w:cs="Arial"/>
        </w:rPr>
        <w:t xml:space="preserve"> wód spełniało wymagania kategorii A1 jakości wody, wg normy rozporządzenia Ministra Gospodarki Morskiej i Żeglugi Śródlądowej z dnia 29</w:t>
      </w:r>
      <w:r w:rsidR="006462C2">
        <w:rPr>
          <w:rFonts w:ascii="Arial" w:hAnsi="Arial" w:cs="Arial"/>
        </w:rPr>
        <w:t> </w:t>
      </w:r>
      <w:r w:rsidR="009C34D8" w:rsidRPr="009C34D8">
        <w:rPr>
          <w:rFonts w:ascii="Arial" w:hAnsi="Arial" w:cs="Arial"/>
        </w:rPr>
        <w:t>sierpnia 2019 r. w sprawie wymagań, jakim powinny odpowiadać wody powierzchniowe wykorzystywane do zaopatrzenia ludności w wodę przeznaczoną do spożycia przez ludzi.</w:t>
      </w:r>
    </w:p>
    <w:p w14:paraId="05E4041E" w14:textId="0DA88550" w:rsidR="003015AE" w:rsidRDefault="003015AE" w:rsidP="003015AE">
      <w:pPr>
        <w:pStyle w:val="NormalnyWeb"/>
        <w:tabs>
          <w:tab w:val="left" w:pos="284"/>
        </w:tabs>
        <w:spacing w:beforeAutospacing="0" w:after="120" w:afterAutospacing="0" w:line="360" w:lineRule="auto"/>
        <w:ind w:firstLine="284"/>
        <w:jc w:val="both"/>
        <w:rPr>
          <w:rFonts w:ascii="Arial" w:hAnsi="Arial" w:cs="Arial"/>
        </w:rPr>
      </w:pPr>
      <w:r w:rsidRPr="00A73E55">
        <w:rPr>
          <w:rFonts w:ascii="Arial" w:hAnsi="Arial" w:cs="Arial"/>
          <w:b/>
          <w:bCs/>
        </w:rPr>
        <w:t>W 2022 r.</w:t>
      </w:r>
      <w:r w:rsidRPr="00A73E55">
        <w:t xml:space="preserve"> </w:t>
      </w:r>
      <w:r w:rsidRPr="00A73E55">
        <w:rPr>
          <w:rFonts w:ascii="Arial" w:hAnsi="Arial" w:cs="Arial"/>
        </w:rPr>
        <w:t xml:space="preserve">jakość wody ustalana na podstawie badania wpływu chemicznej ochrony roślin na stan wód powierzchniowych, prowadzonego przez Instytut Ochrony Roślin – PIB wykazała, że </w:t>
      </w:r>
      <w:r w:rsidRPr="00A73E55">
        <w:rPr>
          <w:rFonts w:ascii="Arial" w:hAnsi="Arial" w:cs="Arial"/>
          <w:b/>
          <w:bCs/>
        </w:rPr>
        <w:t>9</w:t>
      </w:r>
      <w:r w:rsidR="00A73E55" w:rsidRPr="00A73E55">
        <w:rPr>
          <w:rFonts w:ascii="Arial" w:hAnsi="Arial" w:cs="Arial"/>
          <w:b/>
          <w:bCs/>
        </w:rPr>
        <w:t>4,61</w:t>
      </w:r>
      <w:r w:rsidRPr="00A73E55">
        <w:rPr>
          <w:rFonts w:ascii="Arial" w:hAnsi="Arial" w:cs="Arial"/>
          <w:b/>
          <w:bCs/>
        </w:rPr>
        <w:t>%</w:t>
      </w:r>
      <w:r w:rsidRPr="00A73E55">
        <w:rPr>
          <w:rFonts w:ascii="Arial" w:hAnsi="Arial" w:cs="Arial"/>
        </w:rPr>
        <w:t xml:space="preserve"> przeanalizowanych próbek wód spełniało wymagania kategorii A1, natomiast w przypadku badania prowadzonego przez Instytut Ogrodnictwa – PIB </w:t>
      </w:r>
      <w:r w:rsidRPr="00A73E55">
        <w:rPr>
          <w:rFonts w:ascii="Arial" w:hAnsi="Arial" w:cs="Arial"/>
          <w:b/>
          <w:bCs/>
        </w:rPr>
        <w:t>9</w:t>
      </w:r>
      <w:r w:rsidR="005E3B16" w:rsidRPr="00A73E55">
        <w:rPr>
          <w:rFonts w:ascii="Arial" w:hAnsi="Arial" w:cs="Arial"/>
          <w:b/>
          <w:bCs/>
        </w:rPr>
        <w:t>2,5</w:t>
      </w:r>
      <w:r w:rsidRPr="00A73E55">
        <w:rPr>
          <w:rFonts w:ascii="Arial" w:hAnsi="Arial" w:cs="Arial"/>
          <w:b/>
          <w:bCs/>
        </w:rPr>
        <w:t>%</w:t>
      </w:r>
      <w:r w:rsidRPr="00A73E55">
        <w:rPr>
          <w:rFonts w:ascii="Arial" w:hAnsi="Arial" w:cs="Arial"/>
        </w:rPr>
        <w:t xml:space="preserve"> prób wód spełniało wymagania kategorii </w:t>
      </w:r>
      <w:r w:rsidRPr="00D64693">
        <w:rPr>
          <w:rFonts w:ascii="Arial" w:hAnsi="Arial" w:cs="Arial"/>
        </w:rPr>
        <w:t>A1 jakości wody, wg normy rozporządzenia Ministra Gospodarki Morskiej i Żeglugi Śródlądowej z dnia 29 sierpnia 2019</w:t>
      </w:r>
      <w:r w:rsidR="00F562EE">
        <w:rPr>
          <w:rFonts w:ascii="Arial" w:hAnsi="Arial" w:cs="Arial"/>
        </w:rPr>
        <w:t> </w:t>
      </w:r>
      <w:r w:rsidRPr="00D64693">
        <w:rPr>
          <w:rFonts w:ascii="Arial" w:hAnsi="Arial" w:cs="Arial"/>
        </w:rPr>
        <w:t>r. w sprawie wymagań, jakim powinny odpowiadać wody powierzchniowe wykorzystywane do zaopatrzenia ludności w wodę przeznaczoną do spożycia przez ludzi.</w:t>
      </w:r>
    </w:p>
    <w:p w14:paraId="20A693B3" w14:textId="4776CF64" w:rsidR="00D75D8A" w:rsidRDefault="00782A4F" w:rsidP="003015A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J</w:t>
      </w:r>
      <w:r w:rsidR="00D75D8A" w:rsidRPr="00D75D8A">
        <w:rPr>
          <w:rFonts w:ascii="Arial" w:hAnsi="Arial" w:cs="Arial"/>
        </w:rPr>
        <w:t>akość wody ustalana na podstawie badania wpływu chemicznej ochrony roślin na stan wód powierzchniowych, prowadzonego przez Instytut Ochrony Roślin – PIB oraz Instytut Ogrodnictwa– PIB we współpracy z wojewódzkimi inspektoratami ochrony środowiska, powinna klasyfikować powyżej 95%</w:t>
      </w:r>
      <w:r w:rsidR="001A1C34">
        <w:rPr>
          <w:rFonts w:ascii="Arial" w:hAnsi="Arial" w:cs="Arial"/>
        </w:rPr>
        <w:t xml:space="preserve"> w 2022 r. </w:t>
      </w:r>
      <w:r>
        <w:rPr>
          <w:rFonts w:ascii="Arial" w:hAnsi="Arial" w:cs="Arial"/>
        </w:rPr>
        <w:t xml:space="preserve">Tym samym przekroczenie oczekiwanej wartości miernika nie było wysokie i założone cele zostały w dużej mierze zrealizowane. </w:t>
      </w:r>
    </w:p>
    <w:p w14:paraId="42678518" w14:textId="77777777" w:rsidR="00056846" w:rsidRPr="00925BCD" w:rsidRDefault="00E54725">
      <w:pPr>
        <w:pStyle w:val="Nagwek1"/>
        <w:numPr>
          <w:ilvl w:val="0"/>
          <w:numId w:val="9"/>
        </w:numPr>
        <w:spacing w:before="0"/>
        <w:jc w:val="both"/>
        <w:rPr>
          <w:i w:val="0"/>
          <w:sz w:val="22"/>
          <w:szCs w:val="22"/>
        </w:rPr>
      </w:pPr>
      <w:bookmarkStart w:id="56" w:name="_Toc161744882"/>
      <w:r w:rsidRPr="00925BCD">
        <w:rPr>
          <w:i w:val="0"/>
          <w:sz w:val="22"/>
          <w:szCs w:val="22"/>
        </w:rPr>
        <w:t>Działanie 8. Ograniczenie stosowania środków ochrony roślin na obszarach szczególnie wrażliwych</w:t>
      </w:r>
      <w:bookmarkEnd w:id="56"/>
    </w:p>
    <w:p w14:paraId="1869C21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zostały przyjęte szczegółowe przepisy ograniczające stosowanie środków ochrony roślin na obszarach szczególnie wrażliwych – przede wszystkim na obszarach, na których mogą przebywać osoby szczególnie narażone na zagrożenia stwarzane przez te środki (dzieci, osoby starsze, osoby chore). Działanie to służy osiągnięciu celów określonych w art. 12 dyrektywy 2009/128/WE.</w:t>
      </w:r>
    </w:p>
    <w:p w14:paraId="2C469936" w14:textId="2F99D79F"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Stosownie do przepisów art. 36 ust. 1 ustawy z dnia 8 marca 2013 r. o środkach ochrony roślin, </w:t>
      </w:r>
      <w:r w:rsidR="00A405AE" w:rsidRPr="00925BCD">
        <w:rPr>
          <w:rFonts w:ascii="Arial" w:hAnsi="Arial" w:cs="Arial"/>
        </w:rPr>
        <w:t xml:space="preserve">zabronione </w:t>
      </w:r>
      <w:r w:rsidRPr="00925BCD">
        <w:rPr>
          <w:rFonts w:ascii="Arial" w:hAnsi="Arial" w:cs="Arial"/>
        </w:rPr>
        <w:t>jest stosowanie środków ochrony roślin, które zostały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(Dz. Urz. UE L 353 z 31.12.2008, str. 1, z późn. zm.), zaklasyfikowane jako stwarzające zagrożenie dla zdrowia człowieka, na terenach placów zabaw, żłobków, przedszkoli, szkół podstawowych, szpitali, stref ochronnych „A” wydzielonych na obszarach uzdrowisk lub obszarach ochrony uzdrowiskowej w rozumieniu przepisów o lecznictwie uzdrowiskowym, uzdrowiskach i obszarach ochrony uzdrowiskowej oraz w gminach uzdrowiskowych. Odstępstwa od tej zasady mogą być stosowane jedynie w ściśle określonych przypadkach:</w:t>
      </w:r>
    </w:p>
    <w:p w14:paraId="2B706557"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agrofagów kwarantannowych; </w:t>
      </w:r>
    </w:p>
    <w:p w14:paraId="11EC8157"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t>zagrożenia przez agrofagi pomników przyrody lub zespołów przyrodniczo-krajobrazowych w rozumieniu przepisów o ochronie przyrody;</w:t>
      </w:r>
    </w:p>
    <w:p w14:paraId="392AAC11"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roślin stwarzających zagrożenie dla zdrowia ludzi; </w:t>
      </w:r>
    </w:p>
    <w:p w14:paraId="3517CA43"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t>wystąpienia organizmów szkodliwych dla roślin lub produktów roślinnych, których zwalczenie metodami niechemicznymi jest nieuzasadnione ekonomicznie lub nieskuteczne.</w:t>
      </w:r>
    </w:p>
    <w:p w14:paraId="6CB74E1E" w14:textId="77777777" w:rsidR="00056846" w:rsidRPr="00925BCD" w:rsidRDefault="00E54725" w:rsidP="000463B0">
      <w:pPr>
        <w:pStyle w:val="napakapit"/>
        <w:spacing w:before="0"/>
        <w:ind w:firstLine="426"/>
        <w:rPr>
          <w:rFonts w:cs="Arial"/>
        </w:rPr>
      </w:pPr>
      <w:r w:rsidRPr="00925BCD">
        <w:rPr>
          <w:rFonts w:cs="Arial"/>
        </w:rPr>
        <w:t xml:space="preserve">Decyzję w sprawie odstępstwa wydaje wojewódzki inspektor ochrony roślin i nasiennictwa. </w:t>
      </w:r>
    </w:p>
    <w:p w14:paraId="4F3CD6AC"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zgodnie z art. 35 ust. 1 ww. ustawy, środki ochrony roślin należy stosować w taki sposób, aby nie stwarzać zagrożenia dla zdrowia ludzi, zwierząt oraz dla środowiska, w tym przeciwdziałać zniesieniu środków ochrony roślin na obszary i obiekty niebędące celem zabiegu z zastosowaniem tych środków oraz planować stosowanie środków ochrony roślin z uwzględnieniem okresu, w którym ludzie będą przebywać na obszarze objętym zabiegiem</w:t>
      </w:r>
      <w:r w:rsidR="00A405AE" w:rsidRPr="00925BCD">
        <w:rPr>
          <w:rFonts w:ascii="Arial" w:hAnsi="Arial" w:cs="Arial"/>
        </w:rPr>
        <w:t>.</w:t>
      </w:r>
    </w:p>
    <w:p w14:paraId="6C047566"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zostały przyjęte środki prawne do ograniczenia stosowania środków ochrony roślin na obszarach szczególnie wrażliwych i wyeliminowania ryzyka z tym związanego w odniesieniu do szczególnie narażonych grup ludności. </w:t>
      </w:r>
    </w:p>
    <w:p w14:paraId="0218BFFF" w14:textId="5E188436" w:rsidR="003F5AD9"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działania w 2018 r. stosownie do przepisów art. 36 ust. 1 ustawy z dnia 8 marca 2013 r. o środkach ochrony roślin inspektorzy Państwowej Inspekcji Ochrony Roślin i Nasiennictwa przeprowadzili 1 280 kontroli, w tym 1 233 bez nieprawidłowości, natomiast w 2019 r. 1 084 kontrole, w</w:t>
      </w:r>
      <w:r w:rsidR="000463B0" w:rsidRPr="00925BCD">
        <w:rPr>
          <w:rFonts w:ascii="Arial" w:hAnsi="Arial" w:cs="Arial"/>
        </w:rPr>
        <w:t> </w:t>
      </w:r>
      <w:r w:rsidRPr="00925BCD">
        <w:rPr>
          <w:rFonts w:ascii="Arial" w:hAnsi="Arial" w:cs="Arial"/>
        </w:rPr>
        <w:t>tym 1 074 bez nieprawidłowości.</w:t>
      </w:r>
    </w:p>
    <w:p w14:paraId="13C6BC29" w14:textId="36B97B4C" w:rsidR="00CD5EF9" w:rsidRDefault="00BB5237" w:rsidP="000463B0">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2020 r. ze względu na sytuacją związaną z SARS-CoV 2 takich kontroli inspektorzy przeprowadzili 245, w tym bez nieprawidłowości 211.</w:t>
      </w:r>
      <w:r w:rsidR="006A655E">
        <w:rPr>
          <w:rFonts w:ascii="Arial" w:hAnsi="Arial" w:cs="Arial"/>
        </w:rPr>
        <w:t xml:space="preserve"> </w:t>
      </w:r>
      <w:r w:rsidR="00730B21">
        <w:rPr>
          <w:rFonts w:ascii="Arial" w:hAnsi="Arial" w:cs="Arial"/>
        </w:rPr>
        <w:t xml:space="preserve">W 2021 r. liczba kontroli </w:t>
      </w:r>
      <w:r w:rsidR="009F6075">
        <w:rPr>
          <w:rFonts w:ascii="Arial" w:hAnsi="Arial" w:cs="Arial"/>
        </w:rPr>
        <w:t>wzrosła do 712</w:t>
      </w:r>
      <w:r w:rsidR="00E03AED">
        <w:rPr>
          <w:rFonts w:ascii="Arial" w:hAnsi="Arial" w:cs="Arial"/>
        </w:rPr>
        <w:t xml:space="preserve">, w tym bez </w:t>
      </w:r>
      <w:r w:rsidR="00A3375D">
        <w:rPr>
          <w:rFonts w:ascii="Arial" w:hAnsi="Arial" w:cs="Arial"/>
        </w:rPr>
        <w:t>nieprawidłowości 686.</w:t>
      </w:r>
      <w:r w:rsidR="00750EFE">
        <w:rPr>
          <w:rFonts w:ascii="Arial" w:hAnsi="Arial" w:cs="Arial"/>
        </w:rPr>
        <w:t xml:space="preserve"> W 2022</w:t>
      </w:r>
      <w:r w:rsidR="00C9221F">
        <w:rPr>
          <w:rFonts w:ascii="Arial" w:hAnsi="Arial" w:cs="Arial"/>
        </w:rPr>
        <w:t xml:space="preserve"> </w:t>
      </w:r>
      <w:r w:rsidR="006051BE">
        <w:rPr>
          <w:rFonts w:ascii="Arial" w:hAnsi="Arial" w:cs="Arial"/>
        </w:rPr>
        <w:t xml:space="preserve">r. liczba kontroli </w:t>
      </w:r>
      <w:r w:rsidR="00C65166">
        <w:rPr>
          <w:rFonts w:ascii="Arial" w:hAnsi="Arial" w:cs="Arial"/>
        </w:rPr>
        <w:t xml:space="preserve">wzrosła o </w:t>
      </w:r>
      <w:r w:rsidR="001E0C3B">
        <w:rPr>
          <w:rFonts w:ascii="Arial" w:hAnsi="Arial" w:cs="Arial"/>
        </w:rPr>
        <w:t xml:space="preserve">kolejne 23 kontrole, wynosząc </w:t>
      </w:r>
      <w:r w:rsidR="00732200">
        <w:rPr>
          <w:rFonts w:ascii="Arial" w:hAnsi="Arial" w:cs="Arial"/>
        </w:rPr>
        <w:t>735, w tym bez nieprawidłowości 717.</w:t>
      </w:r>
    </w:p>
    <w:p w14:paraId="0C1569A9" w14:textId="58722B1B" w:rsidR="00E24649" w:rsidRDefault="00E24649" w:rsidP="000463B0">
      <w:pPr>
        <w:pStyle w:val="NormalnyWeb"/>
        <w:tabs>
          <w:tab w:val="left" w:pos="284"/>
        </w:tabs>
        <w:spacing w:beforeAutospacing="0" w:after="120" w:afterAutospacing="0" w:line="360" w:lineRule="auto"/>
        <w:ind w:firstLine="284"/>
        <w:jc w:val="both"/>
        <w:rPr>
          <w:rFonts w:ascii="Arial" w:hAnsi="Arial" w:cs="Arial"/>
        </w:rPr>
      </w:pPr>
    </w:p>
    <w:p w14:paraId="2EEC8134" w14:textId="6D479649" w:rsidR="00E24649" w:rsidRDefault="00E24649" w:rsidP="000463B0">
      <w:pPr>
        <w:pStyle w:val="NormalnyWeb"/>
        <w:tabs>
          <w:tab w:val="left" w:pos="284"/>
        </w:tabs>
        <w:spacing w:beforeAutospacing="0" w:after="120" w:afterAutospacing="0" w:line="360" w:lineRule="auto"/>
        <w:ind w:firstLine="284"/>
        <w:jc w:val="both"/>
        <w:rPr>
          <w:rFonts w:ascii="Arial" w:hAnsi="Arial" w:cs="Arial"/>
        </w:rPr>
      </w:pPr>
    </w:p>
    <w:p w14:paraId="6E5D577E" w14:textId="77777777" w:rsidR="00E24649" w:rsidRDefault="00E24649" w:rsidP="000463B0">
      <w:pPr>
        <w:pStyle w:val="NormalnyWeb"/>
        <w:tabs>
          <w:tab w:val="left" w:pos="284"/>
        </w:tabs>
        <w:spacing w:beforeAutospacing="0" w:after="120" w:afterAutospacing="0" w:line="360" w:lineRule="auto"/>
        <w:ind w:firstLine="284"/>
        <w:jc w:val="both"/>
        <w:rPr>
          <w:rFonts w:ascii="Arial" w:hAnsi="Arial" w:cs="Arial"/>
        </w:rPr>
      </w:pPr>
    </w:p>
    <w:tbl>
      <w:tblPr>
        <w:tblStyle w:val="Tabela-Siatka"/>
        <w:tblW w:w="0" w:type="auto"/>
        <w:tblLook w:val="04A0" w:firstRow="1" w:lastRow="0" w:firstColumn="1" w:lastColumn="0" w:noHBand="0" w:noVBand="1"/>
      </w:tblPr>
      <w:tblGrid>
        <w:gridCol w:w="988"/>
        <w:gridCol w:w="4819"/>
        <w:gridCol w:w="3255"/>
      </w:tblGrid>
      <w:tr w:rsidR="00B42E97" w14:paraId="394E0069" w14:textId="77777777" w:rsidTr="00A86D63">
        <w:tc>
          <w:tcPr>
            <w:tcW w:w="988" w:type="dxa"/>
            <w:vAlign w:val="center"/>
          </w:tcPr>
          <w:p w14:paraId="7290ED05" w14:textId="6EC77C8F" w:rsidR="00B42E97" w:rsidRPr="00665D1D" w:rsidRDefault="00B42E97" w:rsidP="00712296">
            <w:pPr>
              <w:pStyle w:val="NormalnyWeb"/>
              <w:tabs>
                <w:tab w:val="left" w:pos="284"/>
              </w:tabs>
              <w:spacing w:beforeAutospacing="0" w:after="120" w:afterAutospacing="0" w:line="360" w:lineRule="auto"/>
              <w:jc w:val="center"/>
              <w:rPr>
                <w:rFonts w:ascii="Arial" w:hAnsi="Arial" w:cs="Arial"/>
                <w:b/>
                <w:bCs/>
              </w:rPr>
            </w:pPr>
            <w:r w:rsidRPr="00665D1D">
              <w:rPr>
                <w:rFonts w:ascii="Arial" w:hAnsi="Arial" w:cs="Arial"/>
                <w:b/>
                <w:bCs/>
              </w:rPr>
              <w:lastRenderedPageBreak/>
              <w:t>Rok</w:t>
            </w:r>
          </w:p>
        </w:tc>
        <w:tc>
          <w:tcPr>
            <w:tcW w:w="4819" w:type="dxa"/>
            <w:vAlign w:val="center"/>
          </w:tcPr>
          <w:p w14:paraId="3CE1C4A4" w14:textId="684F4D65" w:rsidR="00B42E97" w:rsidRPr="009555B2" w:rsidRDefault="003A6F66" w:rsidP="009555B2">
            <w:pPr>
              <w:jc w:val="center"/>
              <w:rPr>
                <w:rFonts w:ascii="Arial" w:hAnsi="Arial" w:cs="Arial"/>
                <w:b/>
                <w:bCs/>
              </w:rPr>
            </w:pPr>
            <w:r w:rsidRPr="009555B2">
              <w:rPr>
                <w:rFonts w:ascii="Arial" w:hAnsi="Arial" w:cs="Arial"/>
                <w:b/>
                <w:bCs/>
                <w:color w:val="000000"/>
                <w:sz w:val="20"/>
                <w:szCs w:val="20"/>
              </w:rPr>
              <w:t>Licz</w:t>
            </w:r>
            <w:r w:rsidR="00F02192" w:rsidRPr="009555B2">
              <w:rPr>
                <w:rFonts w:ascii="Arial" w:hAnsi="Arial" w:cs="Arial"/>
                <w:b/>
                <w:bCs/>
                <w:color w:val="000000"/>
                <w:sz w:val="20"/>
                <w:szCs w:val="20"/>
              </w:rPr>
              <w:t xml:space="preserve">ba przeprowadzonych planowanych </w:t>
            </w:r>
            <w:r w:rsidR="007F346B" w:rsidRPr="009555B2">
              <w:rPr>
                <w:rFonts w:ascii="Arial" w:hAnsi="Arial" w:cs="Arial"/>
                <w:b/>
                <w:bCs/>
                <w:color w:val="000000"/>
                <w:sz w:val="20"/>
                <w:szCs w:val="20"/>
              </w:rPr>
              <w:t>kontroli</w:t>
            </w:r>
            <w:r w:rsidR="00F02192" w:rsidRPr="009555B2">
              <w:rPr>
                <w:rFonts w:ascii="Arial" w:hAnsi="Arial" w:cs="Arial"/>
                <w:b/>
                <w:bCs/>
                <w:color w:val="000000"/>
                <w:sz w:val="20"/>
                <w:szCs w:val="20"/>
              </w:rPr>
              <w:t xml:space="preserve"> </w:t>
            </w:r>
            <w:r w:rsidR="007F346B" w:rsidRPr="009555B2">
              <w:rPr>
                <w:rFonts w:ascii="Arial" w:hAnsi="Arial" w:cs="Arial"/>
                <w:b/>
                <w:bCs/>
                <w:color w:val="000000"/>
                <w:sz w:val="20"/>
                <w:szCs w:val="20"/>
              </w:rPr>
              <w:t xml:space="preserve">w </w:t>
            </w:r>
            <w:r w:rsidR="00F02192" w:rsidRPr="009555B2">
              <w:rPr>
                <w:rFonts w:ascii="Arial" w:hAnsi="Arial" w:cs="Arial"/>
                <w:b/>
                <w:bCs/>
                <w:color w:val="000000"/>
                <w:sz w:val="20"/>
                <w:szCs w:val="20"/>
              </w:rPr>
              <w:t>miejscach wys</w:t>
            </w:r>
            <w:r w:rsidR="00D465BF" w:rsidRPr="009555B2">
              <w:rPr>
                <w:rFonts w:ascii="Arial" w:hAnsi="Arial" w:cs="Arial"/>
                <w:b/>
                <w:bCs/>
                <w:color w:val="000000"/>
                <w:sz w:val="20"/>
                <w:szCs w:val="20"/>
              </w:rPr>
              <w:t>zczególnionych w art. 36 ust. 1 ustawy</w:t>
            </w:r>
            <w:r w:rsidR="007F346B" w:rsidRPr="009555B2">
              <w:rPr>
                <w:rFonts w:ascii="Arial" w:hAnsi="Arial" w:cs="Arial"/>
                <w:b/>
                <w:bCs/>
                <w:color w:val="000000"/>
                <w:sz w:val="20"/>
                <w:szCs w:val="20"/>
              </w:rPr>
              <w:t xml:space="preserve"> o środkach ochrony roślin</w:t>
            </w:r>
          </w:p>
        </w:tc>
        <w:tc>
          <w:tcPr>
            <w:tcW w:w="3255" w:type="dxa"/>
            <w:vAlign w:val="center"/>
          </w:tcPr>
          <w:p w14:paraId="3C4189BE" w14:textId="4E33AA4B" w:rsidR="00B42E97" w:rsidRPr="009555B2" w:rsidRDefault="00753B53" w:rsidP="009555B2">
            <w:pPr>
              <w:jc w:val="center"/>
              <w:rPr>
                <w:rFonts w:ascii="Arial" w:hAnsi="Arial" w:cs="Arial"/>
                <w:b/>
                <w:bCs/>
                <w:color w:val="000000"/>
                <w:sz w:val="20"/>
                <w:szCs w:val="20"/>
              </w:rPr>
            </w:pPr>
            <w:r w:rsidRPr="009555B2">
              <w:rPr>
                <w:rFonts w:ascii="Arial" w:hAnsi="Arial" w:cs="Arial"/>
                <w:b/>
                <w:bCs/>
                <w:color w:val="000000"/>
                <w:sz w:val="20"/>
                <w:szCs w:val="20"/>
              </w:rPr>
              <w:t xml:space="preserve">Liczba </w:t>
            </w:r>
            <w:r w:rsidR="00291A92" w:rsidRPr="009555B2">
              <w:rPr>
                <w:rFonts w:ascii="Arial" w:hAnsi="Arial" w:cs="Arial"/>
                <w:b/>
                <w:bCs/>
                <w:color w:val="000000"/>
                <w:sz w:val="20"/>
                <w:szCs w:val="20"/>
              </w:rPr>
              <w:t>przeprowadzonych kontroli bez nieprawidłowości</w:t>
            </w:r>
          </w:p>
        </w:tc>
      </w:tr>
      <w:tr w:rsidR="00B42E97" w14:paraId="5C286E17" w14:textId="77777777" w:rsidTr="00A86D63">
        <w:tc>
          <w:tcPr>
            <w:tcW w:w="988" w:type="dxa"/>
            <w:vAlign w:val="center"/>
          </w:tcPr>
          <w:p w14:paraId="00729371" w14:textId="0B8261E1" w:rsidR="00B42E97" w:rsidRDefault="00291A92"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20</w:t>
            </w:r>
            <w:r w:rsidR="00C24304">
              <w:rPr>
                <w:rFonts w:ascii="Arial" w:hAnsi="Arial" w:cs="Arial"/>
              </w:rPr>
              <w:t>18</w:t>
            </w:r>
          </w:p>
        </w:tc>
        <w:tc>
          <w:tcPr>
            <w:tcW w:w="4819" w:type="dxa"/>
          </w:tcPr>
          <w:p w14:paraId="468EFA9E" w14:textId="10FBB369" w:rsidR="00463DAA" w:rsidRDefault="00C24304"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1</w:t>
            </w:r>
            <w:r w:rsidR="00463DAA">
              <w:rPr>
                <w:rFonts w:ascii="Arial" w:hAnsi="Arial" w:cs="Arial"/>
              </w:rPr>
              <w:t> 280</w:t>
            </w:r>
          </w:p>
        </w:tc>
        <w:tc>
          <w:tcPr>
            <w:tcW w:w="3255" w:type="dxa"/>
          </w:tcPr>
          <w:p w14:paraId="76314B73" w14:textId="763CDBB0" w:rsidR="00B42E97" w:rsidRDefault="00463DAA"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1 233</w:t>
            </w:r>
          </w:p>
        </w:tc>
      </w:tr>
      <w:tr w:rsidR="00B42E97" w14:paraId="1AF74F5B" w14:textId="77777777" w:rsidTr="00A86D63">
        <w:tc>
          <w:tcPr>
            <w:tcW w:w="988" w:type="dxa"/>
            <w:vAlign w:val="center"/>
          </w:tcPr>
          <w:p w14:paraId="1614572D" w14:textId="7EC82391" w:rsidR="00B42E97" w:rsidRDefault="00C24304"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2019</w:t>
            </w:r>
          </w:p>
        </w:tc>
        <w:tc>
          <w:tcPr>
            <w:tcW w:w="4819" w:type="dxa"/>
          </w:tcPr>
          <w:p w14:paraId="256125A0" w14:textId="2320F613" w:rsidR="00B42E97" w:rsidRDefault="00463DAA"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1 084</w:t>
            </w:r>
          </w:p>
        </w:tc>
        <w:tc>
          <w:tcPr>
            <w:tcW w:w="3255" w:type="dxa"/>
          </w:tcPr>
          <w:p w14:paraId="1AED4185" w14:textId="6225AC22" w:rsidR="00B42E97" w:rsidRDefault="00463DAA"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1 074</w:t>
            </w:r>
          </w:p>
        </w:tc>
      </w:tr>
      <w:tr w:rsidR="00B42E97" w14:paraId="1E2C2BFB" w14:textId="77777777" w:rsidTr="00A86D63">
        <w:tc>
          <w:tcPr>
            <w:tcW w:w="988" w:type="dxa"/>
            <w:vAlign w:val="center"/>
          </w:tcPr>
          <w:p w14:paraId="1CAC06D7" w14:textId="30875432" w:rsidR="00B42E97" w:rsidRDefault="00C24304"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2020</w:t>
            </w:r>
          </w:p>
        </w:tc>
        <w:tc>
          <w:tcPr>
            <w:tcW w:w="4819" w:type="dxa"/>
          </w:tcPr>
          <w:p w14:paraId="0E8F231A" w14:textId="73C6F2AD" w:rsidR="00B42E97" w:rsidRDefault="00463DAA"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245</w:t>
            </w:r>
          </w:p>
        </w:tc>
        <w:tc>
          <w:tcPr>
            <w:tcW w:w="3255" w:type="dxa"/>
          </w:tcPr>
          <w:p w14:paraId="24424A61" w14:textId="10827F8C" w:rsidR="00B42E97" w:rsidRDefault="00463DAA"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211</w:t>
            </w:r>
          </w:p>
        </w:tc>
      </w:tr>
      <w:tr w:rsidR="00B42E97" w14:paraId="7249EB69" w14:textId="77777777" w:rsidTr="00A86D63">
        <w:tc>
          <w:tcPr>
            <w:tcW w:w="988" w:type="dxa"/>
            <w:vAlign w:val="center"/>
          </w:tcPr>
          <w:p w14:paraId="1F9FED44" w14:textId="3720D53E" w:rsidR="00B42E97" w:rsidRDefault="00C24304"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4819" w:type="dxa"/>
          </w:tcPr>
          <w:p w14:paraId="555DFC34" w14:textId="6205E003" w:rsidR="00B42E97" w:rsidRDefault="006E2419"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712</w:t>
            </w:r>
          </w:p>
        </w:tc>
        <w:tc>
          <w:tcPr>
            <w:tcW w:w="3255" w:type="dxa"/>
          </w:tcPr>
          <w:p w14:paraId="11A14111" w14:textId="40DBC88F" w:rsidR="00B42E97" w:rsidRDefault="006E2419"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686</w:t>
            </w:r>
          </w:p>
        </w:tc>
      </w:tr>
      <w:tr w:rsidR="00B42E97" w14:paraId="3ED4C99F" w14:textId="77777777" w:rsidTr="00A86D63">
        <w:tc>
          <w:tcPr>
            <w:tcW w:w="988" w:type="dxa"/>
            <w:vAlign w:val="center"/>
          </w:tcPr>
          <w:p w14:paraId="18D90ADE" w14:textId="23736710" w:rsidR="00B42E97" w:rsidRDefault="00C24304"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2022</w:t>
            </w:r>
          </w:p>
        </w:tc>
        <w:tc>
          <w:tcPr>
            <w:tcW w:w="4819" w:type="dxa"/>
          </w:tcPr>
          <w:p w14:paraId="59829387" w14:textId="7FD887C4" w:rsidR="00B42E97" w:rsidRDefault="0059297D"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735</w:t>
            </w:r>
          </w:p>
        </w:tc>
        <w:tc>
          <w:tcPr>
            <w:tcW w:w="3255" w:type="dxa"/>
          </w:tcPr>
          <w:p w14:paraId="01629AAF" w14:textId="22BC8D37" w:rsidR="00B42E97" w:rsidRDefault="0059297D" w:rsidP="00712296">
            <w:pPr>
              <w:pStyle w:val="NormalnyWeb"/>
              <w:tabs>
                <w:tab w:val="left" w:pos="284"/>
              </w:tabs>
              <w:spacing w:beforeAutospacing="0" w:after="120" w:afterAutospacing="0" w:line="360" w:lineRule="auto"/>
              <w:jc w:val="center"/>
              <w:rPr>
                <w:rFonts w:ascii="Arial" w:hAnsi="Arial" w:cs="Arial"/>
              </w:rPr>
            </w:pPr>
            <w:r>
              <w:rPr>
                <w:rFonts w:ascii="Arial" w:hAnsi="Arial" w:cs="Arial"/>
              </w:rPr>
              <w:t>717</w:t>
            </w:r>
          </w:p>
        </w:tc>
      </w:tr>
    </w:tbl>
    <w:p w14:paraId="37287FB9" w14:textId="77777777" w:rsidR="008F4092" w:rsidRDefault="008F4092" w:rsidP="000463B0">
      <w:pPr>
        <w:pStyle w:val="NormalnyWeb"/>
        <w:tabs>
          <w:tab w:val="left" w:pos="284"/>
        </w:tabs>
        <w:spacing w:beforeAutospacing="0" w:after="120" w:afterAutospacing="0" w:line="360" w:lineRule="auto"/>
        <w:ind w:firstLine="284"/>
        <w:jc w:val="both"/>
        <w:rPr>
          <w:rFonts w:ascii="Arial" w:hAnsi="Arial" w:cs="Arial"/>
        </w:rPr>
      </w:pPr>
    </w:p>
    <w:p w14:paraId="0A8A4985" w14:textId="04D9EB67" w:rsidR="003F5AD9" w:rsidRPr="00925BCD" w:rsidRDefault="00A405AE" w:rsidP="000463B0">
      <w:pPr>
        <w:pStyle w:val="NormalnyWeb"/>
        <w:tabs>
          <w:tab w:val="left" w:pos="284"/>
        </w:tabs>
        <w:spacing w:beforeAutospacing="0" w:after="120" w:afterAutospacing="0" w:line="360" w:lineRule="auto"/>
        <w:ind w:firstLine="284"/>
        <w:jc w:val="both"/>
      </w:pPr>
      <w:r w:rsidRPr="00A772AC">
        <w:rPr>
          <w:rFonts w:ascii="Arial" w:hAnsi="Arial" w:cs="Arial"/>
        </w:rPr>
        <w:t xml:space="preserve">Jednocześnie </w:t>
      </w:r>
      <w:r w:rsidR="00E43D44" w:rsidRPr="00A772AC">
        <w:rPr>
          <w:rFonts w:ascii="Arial" w:hAnsi="Arial" w:cs="Arial"/>
        </w:rPr>
        <w:t>w</w:t>
      </w:r>
      <w:r w:rsidR="003F5AD9" w:rsidRPr="00A772AC">
        <w:rPr>
          <w:rFonts w:ascii="Arial" w:hAnsi="Arial" w:cs="Arial"/>
        </w:rPr>
        <w:t xml:space="preserve">ojewódzcy inspektorzy ochrony roślin i nasiennictwa w </w:t>
      </w:r>
      <w:r w:rsidR="00FA26B8" w:rsidRPr="00A772AC">
        <w:rPr>
          <w:rFonts w:ascii="Arial" w:hAnsi="Arial" w:cs="Arial"/>
        </w:rPr>
        <w:t xml:space="preserve">latach </w:t>
      </w:r>
      <w:r w:rsidR="003F5AD9" w:rsidRPr="00A772AC">
        <w:rPr>
          <w:rFonts w:ascii="Arial" w:hAnsi="Arial" w:cs="Arial"/>
        </w:rPr>
        <w:t>2018</w:t>
      </w:r>
      <w:r w:rsidR="00524598" w:rsidRPr="00A772AC">
        <w:rPr>
          <w:rFonts w:cs="Arial"/>
        </w:rPr>
        <w:t>–</w:t>
      </w:r>
      <w:r w:rsidR="00FA26B8" w:rsidRPr="00A772AC">
        <w:rPr>
          <w:rFonts w:ascii="Arial" w:hAnsi="Arial" w:cs="Arial"/>
        </w:rPr>
        <w:t>202</w:t>
      </w:r>
      <w:r w:rsidR="00A772AC" w:rsidRPr="00A772AC">
        <w:rPr>
          <w:rFonts w:ascii="Arial" w:hAnsi="Arial" w:cs="Arial"/>
        </w:rPr>
        <w:t>2</w:t>
      </w:r>
      <w:r w:rsidR="00410D56" w:rsidRPr="00A772AC">
        <w:rPr>
          <w:rFonts w:ascii="Arial" w:hAnsi="Arial" w:cs="Arial"/>
        </w:rPr>
        <w:t xml:space="preserve"> </w:t>
      </w:r>
      <w:r w:rsidR="003F5AD9" w:rsidRPr="00A772AC">
        <w:rPr>
          <w:rFonts w:ascii="Arial" w:hAnsi="Arial" w:cs="Arial"/>
        </w:rPr>
        <w:t>nie wydali żadnej decyzji w sprawie odstępstwa</w:t>
      </w:r>
      <w:r w:rsidR="00410D56" w:rsidRPr="00A772AC">
        <w:rPr>
          <w:rFonts w:ascii="Arial" w:hAnsi="Arial" w:cs="Arial"/>
        </w:rPr>
        <w:t>.</w:t>
      </w:r>
      <w:r w:rsidR="00BB5237">
        <w:rPr>
          <w:rFonts w:ascii="Arial" w:hAnsi="Arial" w:cs="Arial"/>
        </w:rPr>
        <w:t xml:space="preserve"> </w:t>
      </w:r>
    </w:p>
    <w:p w14:paraId="7633296A" w14:textId="1CB755FA" w:rsidR="003F5AD9" w:rsidRPr="00925BCD" w:rsidRDefault="003F5AD9" w:rsidP="000463B0">
      <w:pPr>
        <w:pStyle w:val="NormalnyWeb"/>
        <w:tabs>
          <w:tab w:val="left" w:pos="284"/>
        </w:tabs>
        <w:spacing w:beforeAutospacing="0" w:after="120" w:afterAutospacing="0" w:line="360" w:lineRule="auto"/>
        <w:ind w:firstLine="284"/>
        <w:jc w:val="both"/>
      </w:pPr>
      <w:r w:rsidRPr="00BF05E4">
        <w:rPr>
          <w:rFonts w:ascii="Arial" w:hAnsi="Arial" w:cs="Arial"/>
        </w:rPr>
        <w:t>Za naruszanie przepisów art. 35 ust. 1 ww. ustawy (</w:t>
      </w:r>
      <w:r w:rsidR="00A405AE" w:rsidRPr="00BF05E4">
        <w:rPr>
          <w:rFonts w:ascii="Arial" w:hAnsi="Arial" w:cs="Arial"/>
        </w:rPr>
        <w:t xml:space="preserve">stosownie do przepisów karnych </w:t>
      </w:r>
      <w:r w:rsidRPr="00BF05E4">
        <w:rPr>
          <w:rFonts w:ascii="Arial" w:hAnsi="Arial" w:cs="Arial"/>
        </w:rPr>
        <w:t>art. 76 ust. 1 pkt. 20</w:t>
      </w:r>
      <w:r w:rsidR="00A405AE" w:rsidRPr="00BF05E4">
        <w:rPr>
          <w:rFonts w:ascii="Arial" w:hAnsi="Arial" w:cs="Arial"/>
        </w:rPr>
        <w:t xml:space="preserve"> ww. ustawy</w:t>
      </w:r>
      <w:r w:rsidRPr="00BF05E4">
        <w:rPr>
          <w:rFonts w:ascii="Arial" w:hAnsi="Arial" w:cs="Arial"/>
        </w:rPr>
        <w:t xml:space="preserve">) w 2018 r. wydano 201 mandatów, </w:t>
      </w:r>
      <w:r w:rsidR="00410D56" w:rsidRPr="00BF05E4">
        <w:rPr>
          <w:rFonts w:ascii="Arial" w:hAnsi="Arial" w:cs="Arial"/>
        </w:rPr>
        <w:t>w 2019 r. – 129</w:t>
      </w:r>
      <w:r w:rsidR="000E524E">
        <w:rPr>
          <w:rFonts w:ascii="Arial" w:hAnsi="Arial" w:cs="Arial"/>
        </w:rPr>
        <w:t>,</w:t>
      </w:r>
      <w:r w:rsidR="00BB5237" w:rsidRPr="00BF05E4">
        <w:rPr>
          <w:rFonts w:ascii="Arial" w:hAnsi="Arial" w:cs="Arial"/>
        </w:rPr>
        <w:t xml:space="preserve"> w 2020 r. </w:t>
      </w:r>
      <w:r w:rsidR="00BD1866" w:rsidRPr="00BF05E4">
        <w:rPr>
          <w:rFonts w:ascii="Arial" w:hAnsi="Arial" w:cs="Arial"/>
        </w:rPr>
        <w:t xml:space="preserve">– </w:t>
      </w:r>
      <w:r w:rsidR="00FA26B8" w:rsidRPr="00BF05E4">
        <w:rPr>
          <w:rFonts w:ascii="Arial" w:hAnsi="Arial" w:cs="Arial"/>
        </w:rPr>
        <w:t>24</w:t>
      </w:r>
      <w:r w:rsidR="00BD1866" w:rsidRPr="00BF05E4">
        <w:rPr>
          <w:rFonts w:ascii="Arial" w:hAnsi="Arial" w:cs="Arial"/>
        </w:rPr>
        <w:t>,</w:t>
      </w:r>
      <w:r w:rsidR="00FA26B8" w:rsidRPr="00BF05E4">
        <w:rPr>
          <w:rFonts w:ascii="Arial" w:hAnsi="Arial" w:cs="Arial"/>
        </w:rPr>
        <w:t xml:space="preserve"> </w:t>
      </w:r>
      <w:r w:rsidR="00BD1866" w:rsidRPr="00BF05E4">
        <w:rPr>
          <w:rFonts w:ascii="Arial" w:hAnsi="Arial" w:cs="Arial"/>
        </w:rPr>
        <w:t>w 2021 r</w:t>
      </w:r>
      <w:bookmarkStart w:id="57" w:name="_Hlk153285019"/>
      <w:r w:rsidR="00BD1866" w:rsidRPr="00BF05E4">
        <w:rPr>
          <w:rFonts w:ascii="Arial" w:hAnsi="Arial" w:cs="Arial"/>
        </w:rPr>
        <w:t xml:space="preserve">. </w:t>
      </w:r>
      <w:r w:rsidR="00BF05E4" w:rsidRPr="00BF05E4">
        <w:rPr>
          <w:rFonts w:ascii="Arial" w:hAnsi="Arial" w:cs="Arial"/>
        </w:rPr>
        <w:t xml:space="preserve">– </w:t>
      </w:r>
      <w:bookmarkEnd w:id="57"/>
      <w:r w:rsidR="00BF05E4" w:rsidRPr="0063762C">
        <w:rPr>
          <w:rFonts w:ascii="Arial" w:hAnsi="Arial" w:cs="Arial"/>
        </w:rPr>
        <w:t>19</w:t>
      </w:r>
      <w:r w:rsidR="005015C6" w:rsidRPr="0063762C">
        <w:rPr>
          <w:rFonts w:ascii="Arial" w:hAnsi="Arial" w:cs="Arial"/>
        </w:rPr>
        <w:t>, natomiast w 2022 r.</w:t>
      </w:r>
      <w:r w:rsidR="0063762C" w:rsidRPr="0063762C">
        <w:rPr>
          <w:rFonts w:ascii="Arial" w:hAnsi="Arial" w:cs="Arial"/>
        </w:rPr>
        <w:t xml:space="preserve"> – 45 mandatów.</w:t>
      </w:r>
      <w:r w:rsidR="00BB5237">
        <w:rPr>
          <w:rFonts w:ascii="Arial" w:hAnsi="Arial" w:cs="Arial"/>
        </w:rPr>
        <w:t xml:space="preserve"> </w:t>
      </w:r>
    </w:p>
    <w:p w14:paraId="23C8BDE3" w14:textId="77777777" w:rsidR="00056846" w:rsidRPr="00925BCD" w:rsidRDefault="00E54725">
      <w:pPr>
        <w:pStyle w:val="Nagwek1"/>
        <w:numPr>
          <w:ilvl w:val="1"/>
          <w:numId w:val="9"/>
        </w:numPr>
        <w:tabs>
          <w:tab w:val="left" w:pos="284"/>
        </w:tabs>
        <w:ind w:left="426" w:hanging="426"/>
        <w:jc w:val="both"/>
        <w:rPr>
          <w:i w:val="0"/>
          <w:sz w:val="22"/>
          <w:szCs w:val="22"/>
        </w:rPr>
      </w:pPr>
      <w:bookmarkStart w:id="58" w:name="_Toc161744883"/>
      <w:r w:rsidRPr="00925BCD">
        <w:rPr>
          <w:i w:val="0"/>
          <w:sz w:val="22"/>
          <w:szCs w:val="22"/>
        </w:rPr>
        <w:t>Mierniki służące monitorowaniu</w:t>
      </w:r>
      <w:bookmarkEnd w:id="58"/>
    </w:p>
    <w:p w14:paraId="672977DE" w14:textId="56602E0D"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w:t>
      </w:r>
      <w:r w:rsidR="00873617">
        <w:rPr>
          <w:rFonts w:ascii="Arial" w:hAnsi="Arial" w:cs="Arial"/>
        </w:rPr>
        <w:t>jest</w:t>
      </w:r>
      <w:r w:rsidR="00873617" w:rsidRPr="00925BCD">
        <w:rPr>
          <w:rFonts w:ascii="Arial" w:hAnsi="Arial" w:cs="Arial"/>
        </w:rPr>
        <w:t xml:space="preserve"> </w:t>
      </w:r>
      <w:r w:rsidRPr="00925BCD">
        <w:rPr>
          <w:rFonts w:ascii="Arial" w:hAnsi="Arial" w:cs="Arial"/>
        </w:rPr>
        <w:t xml:space="preserve">oceniana na podstawie poziomu nieprawidłowości w zakresie stosowania środków ochrony roślin na obszarach szczególnie wrażliwych. W 2022 r. poziom nieprawidłowości </w:t>
      </w:r>
      <w:r w:rsidR="00997E5B" w:rsidRPr="00925BCD">
        <w:rPr>
          <w:rFonts w:ascii="Arial" w:hAnsi="Arial" w:cs="Arial"/>
        </w:rPr>
        <w:t>w</w:t>
      </w:r>
      <w:r w:rsidR="00997E5B">
        <w:rPr>
          <w:rFonts w:ascii="Arial" w:hAnsi="Arial" w:cs="Arial"/>
        </w:rPr>
        <w:t> </w:t>
      </w:r>
      <w:r w:rsidRPr="00925BCD">
        <w:rPr>
          <w:rFonts w:ascii="Arial" w:hAnsi="Arial" w:cs="Arial"/>
        </w:rPr>
        <w:t>tym zakresie, stwierdzanych w ramach kontroli przeprowadzanej  przez Państwową Inspekcję Ochrony Roślin i Nasiennictwa, powinien wynosić poniżej 1%.</w:t>
      </w:r>
    </w:p>
    <w:p w14:paraId="3CE867A6" w14:textId="35F0353A" w:rsidR="003F5AD9"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6464D5">
        <w:rPr>
          <w:rFonts w:ascii="Arial" w:hAnsi="Arial" w:cs="Arial"/>
        </w:rPr>
        <w:t>W 2018 r. poziomu nieprawidłowości w zakresie stosowania środków ochrony roślin na obszarach szczególnie wrażliwych wyniósł 3,67%</w:t>
      </w:r>
      <w:r w:rsidR="003F5AD9" w:rsidRPr="006464D5">
        <w:rPr>
          <w:rFonts w:ascii="Arial" w:hAnsi="Arial" w:cs="Arial"/>
        </w:rPr>
        <w:t>,</w:t>
      </w:r>
      <w:r w:rsidR="00410D56" w:rsidRPr="006464D5">
        <w:rPr>
          <w:rFonts w:ascii="Arial" w:hAnsi="Arial" w:cs="Arial"/>
        </w:rPr>
        <w:t xml:space="preserve"> w 2019 r. </w:t>
      </w:r>
      <w:r w:rsidR="00CA5B73" w:rsidRPr="006464D5">
        <w:rPr>
          <w:rFonts w:ascii="Arial" w:hAnsi="Arial" w:cs="Arial"/>
        </w:rPr>
        <w:t xml:space="preserve"> – </w:t>
      </w:r>
      <w:r w:rsidR="00410D56" w:rsidRPr="006464D5">
        <w:rPr>
          <w:rFonts w:ascii="Arial" w:hAnsi="Arial" w:cs="Arial"/>
        </w:rPr>
        <w:t xml:space="preserve"> 1,46%</w:t>
      </w:r>
      <w:r w:rsidR="00BB5237" w:rsidRPr="006464D5">
        <w:rPr>
          <w:rFonts w:ascii="Arial" w:hAnsi="Arial" w:cs="Arial"/>
        </w:rPr>
        <w:t xml:space="preserve">, w 2020 r. </w:t>
      </w:r>
      <w:r w:rsidR="00CA5B73" w:rsidRPr="006464D5">
        <w:rPr>
          <w:rFonts w:ascii="Arial" w:hAnsi="Arial" w:cs="Arial"/>
        </w:rPr>
        <w:t xml:space="preserve">– </w:t>
      </w:r>
      <w:r w:rsidR="00FA26B8" w:rsidRPr="006464D5">
        <w:rPr>
          <w:rFonts w:ascii="Arial" w:hAnsi="Arial" w:cs="Arial"/>
        </w:rPr>
        <w:t>1,83%</w:t>
      </w:r>
      <w:r w:rsidR="00D45943" w:rsidRPr="006464D5">
        <w:rPr>
          <w:rFonts w:ascii="Arial" w:hAnsi="Arial" w:cs="Arial"/>
        </w:rPr>
        <w:t xml:space="preserve">, w 2021 r. </w:t>
      </w:r>
      <w:r w:rsidR="007824C6" w:rsidRPr="006464D5">
        <w:rPr>
          <w:rFonts w:ascii="Arial" w:hAnsi="Arial" w:cs="Arial"/>
        </w:rPr>
        <w:t xml:space="preserve">– </w:t>
      </w:r>
      <w:r w:rsidR="00517482" w:rsidRPr="006464D5">
        <w:rPr>
          <w:rFonts w:ascii="Arial" w:hAnsi="Arial" w:cs="Arial"/>
        </w:rPr>
        <w:t>3,89%</w:t>
      </w:r>
      <w:r w:rsidR="007824C6" w:rsidRPr="006464D5">
        <w:rPr>
          <w:rFonts w:ascii="Arial" w:hAnsi="Arial" w:cs="Arial"/>
        </w:rPr>
        <w:t>, a</w:t>
      </w:r>
      <w:r w:rsidR="00C4786F">
        <w:rPr>
          <w:rFonts w:ascii="Arial" w:hAnsi="Arial" w:cs="Arial"/>
        </w:rPr>
        <w:t> </w:t>
      </w:r>
      <w:r w:rsidR="007824C6" w:rsidRPr="006464D5">
        <w:rPr>
          <w:rFonts w:ascii="Arial" w:hAnsi="Arial" w:cs="Arial"/>
        </w:rPr>
        <w:t>w</w:t>
      </w:r>
      <w:r w:rsidR="00C4786F">
        <w:rPr>
          <w:rFonts w:ascii="Arial" w:hAnsi="Arial" w:cs="Arial"/>
        </w:rPr>
        <w:t> </w:t>
      </w:r>
      <w:r w:rsidR="007824C6" w:rsidRPr="006464D5">
        <w:rPr>
          <w:rFonts w:ascii="Arial" w:hAnsi="Arial" w:cs="Arial"/>
        </w:rPr>
        <w:t xml:space="preserve">2002 r. wyniósł </w:t>
      </w:r>
      <w:r w:rsidR="006464D5" w:rsidRPr="006464D5">
        <w:rPr>
          <w:rFonts w:ascii="Arial" w:hAnsi="Arial" w:cs="Arial"/>
        </w:rPr>
        <w:t>3,09%.</w:t>
      </w:r>
      <w:r w:rsidR="00C4786F">
        <w:rPr>
          <w:rFonts w:ascii="Arial" w:hAnsi="Arial" w:cs="Arial"/>
        </w:rPr>
        <w:t xml:space="preserve"> </w:t>
      </w:r>
      <w:r w:rsidR="00782A4F">
        <w:rPr>
          <w:rFonts w:ascii="Arial" w:hAnsi="Arial" w:cs="Arial"/>
        </w:rPr>
        <w:t xml:space="preserve">Tym samym przekroczenie oczekiwanej wartości miernika nie było wysokie (2,09%) i założone cele zostały w dużej mierze zrealizowane. </w:t>
      </w:r>
      <w:r w:rsidR="00873617">
        <w:rPr>
          <w:rFonts w:ascii="Arial" w:hAnsi="Arial" w:cs="Arial"/>
        </w:rPr>
        <w:t xml:space="preserve"> </w:t>
      </w:r>
    </w:p>
    <w:p w14:paraId="3ADD29A4" w14:textId="77777777" w:rsidR="00056846" w:rsidRPr="00925BCD" w:rsidRDefault="00E54725">
      <w:pPr>
        <w:pStyle w:val="Nagwek1"/>
        <w:numPr>
          <w:ilvl w:val="0"/>
          <w:numId w:val="9"/>
        </w:numPr>
        <w:jc w:val="both"/>
        <w:rPr>
          <w:i w:val="0"/>
          <w:sz w:val="22"/>
          <w:szCs w:val="22"/>
        </w:rPr>
      </w:pPr>
      <w:bookmarkStart w:id="59" w:name="_Toc161744884"/>
      <w:r w:rsidRPr="00925BCD">
        <w:rPr>
          <w:i w:val="0"/>
          <w:sz w:val="22"/>
          <w:szCs w:val="22"/>
        </w:rPr>
        <w:t>Działanie 9. Wyeliminowanie zagrożeń na poszczególnych etapach wykonywania zabiegów ochrony roślin</w:t>
      </w:r>
      <w:bookmarkEnd w:id="59"/>
      <w:r w:rsidRPr="00925BCD">
        <w:rPr>
          <w:i w:val="0"/>
          <w:sz w:val="22"/>
          <w:szCs w:val="22"/>
        </w:rPr>
        <w:t xml:space="preserve"> </w:t>
      </w:r>
    </w:p>
    <w:p w14:paraId="5193465A"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Zagrożenia związane ze stosowaniem środków ochrony roślin mogą wystąpić nie tylko podczas samego stosowania tych środków, ale również na innych etapach przygotowywania i wykonywania zabiegu. Szczególne znaczenie dla zapewnienia bezpieczeństwa ma właściwe przechowywanie środków ochrony roślin (w celu uniemożliwienia ich przeniknięcia do wód lub środowiska glebowego w razie przypadkowego wylania lub rozsypania środka, przypadkowego kontaktu ze środkiem osób nieuprawnionych lub zwierząt – szczególnie niebezpieczne jest spożycie środka ochrony roślin, co może się zdarzyć w przypadku przechowywania go w opakowaniach po żywności), sporządzanie cieczy użytkowej (istnieje duże ryzyko rozlana środka i powstania skażeń punktowych), a także zagospodarowywania pozostałości cieczy użytkowej i mycia sprzętu przeznaczonego do wykonywania zabiegu po jego przeprowadzeniu. Działanie to służy osiągnięciu celów określonych w art. 13 dyrektywy 2009/128/WE.</w:t>
      </w:r>
    </w:p>
    <w:p w14:paraId="19FED95E"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Ponieważ użytkownicy nieprofesjonalni środków ochrony roślin na ogół nie są w stanie spełnić wymogów dotyczących właściwego przechowywania środków ochrony roślin, mycia użytego sprzętu lub zagospodarowywania resztek po zabiegu (środki ochrony roślin są przechowywane i wykorzystywane przez amatorów m.in. w pomieszczeniach mieszkalnych), osoby takie nie powinny mieć swobodnego dostępu do środków szczególnie niebezpiecznych. </w:t>
      </w:r>
    </w:p>
    <w:p w14:paraId="60E5A97D" w14:textId="254240FD"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 powyższym zostały przyjęte przepisy określające szczegółowo sposób wykonywania poszczególnych czynności związanych z ochroną roślin</w:t>
      </w:r>
      <w:r w:rsidR="00C05D8B">
        <w:rPr>
          <w:rFonts w:ascii="Arial" w:hAnsi="Arial" w:cs="Arial"/>
        </w:rPr>
        <w:t xml:space="preserve"> przez użytkowników profesjonalnych</w:t>
      </w:r>
      <w:r w:rsidRPr="00925BCD">
        <w:rPr>
          <w:rFonts w:ascii="Arial" w:hAnsi="Arial" w:cs="Arial"/>
        </w:rPr>
        <w:t>, w tym sposób:</w:t>
      </w:r>
    </w:p>
    <w:p w14:paraId="65A3FF0B" w14:textId="77777777" w:rsidR="00056846" w:rsidRPr="00925BCD" w:rsidRDefault="00E54725" w:rsidP="000463B0">
      <w:pPr>
        <w:pStyle w:val="napakapit"/>
        <w:numPr>
          <w:ilvl w:val="0"/>
          <w:numId w:val="6"/>
        </w:numPr>
        <w:tabs>
          <w:tab w:val="clear" w:pos="4536"/>
        </w:tabs>
        <w:spacing w:before="0"/>
        <w:ind w:left="709"/>
        <w:rPr>
          <w:rFonts w:cs="Arial"/>
        </w:rPr>
      </w:pPr>
      <w:r w:rsidRPr="00925BCD">
        <w:rPr>
          <w:rFonts w:cs="Arial"/>
        </w:rPr>
        <w:t>przechowywania środków ochrony roślin (obejmujący wymogi bezpieczeństwa i higieny pracy, wymagania dla obiektów, w jakich środki te są przechowywane);</w:t>
      </w:r>
    </w:p>
    <w:p w14:paraId="5F7C32A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sporządzania cieczy użytkowej (minimalna odległość wykonywania takich czynności od zbiorników i cieków wodnych);</w:t>
      </w:r>
    </w:p>
    <w:p w14:paraId="3AAFC220"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stosowania środków ochrony roślin (w tym wymogi dotyczące zachowania stref buforowych, warunków atmosferycznych, w jakich mogą być wykonywane zabiegi);</w:t>
      </w:r>
    </w:p>
    <w:p w14:paraId="03B72BD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czyszczenia sprzętu przeznaczonego do stosowania środków ochrony roślin (określający minimalną odległość, w jakiej te czynności mogą być wykonywane od zbiorników i cieków wodnych);</w:t>
      </w:r>
    </w:p>
    <w:p w14:paraId="25193491"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postępowania z pozostałościami cieczy użytkowej po zakończonych zabiegach;</w:t>
      </w:r>
    </w:p>
    <w:p w14:paraId="53025C44"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 xml:space="preserve">postępowania z pustymi opakowaniami po środkach ochrony roślin. </w:t>
      </w:r>
    </w:p>
    <w:p w14:paraId="1C9A8262"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Sposób postępowania, eliminujący ryzyko związane z wykonywaniem każdej z powyższych czynności został określony w rozporządzeniu Ministra Rolnictwa i Rozwoju Wsi z dnia 24 czerwca 2002 r. w sprawie bezpieczeństwa i higieny pracy przy stosowaniu i magazynowaniu środków ochrony roślin oraz nawozów mineralnych i organiczno-mineralnych (Dz. U. poz. 896, z późn. zm.), rozporządzeniu Ministra Rolnictwa i Rozwoju Wsi z dnia 22 maja 2013 r. w sprawie sposobu postępowania przy stosowaniu i przechowywaniu środków ochrony roślin, ustawie z dnia 13 czerwca 2013 r. o gospodarce opakowaniami i odpadami opakowaniowymi (Dz. U. z 2018 r. poz. 150, z późn. zm.) oraz rozporządzeniu Ministra Rolnictwa i Rozwoju Wsi z dnia 31 marca 2014 r. w sprawie warunków stosowania środków ochrony roślin.</w:t>
      </w:r>
    </w:p>
    <w:p w14:paraId="6E88AFBB"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Zostały przyjęte także rozwiązania ograniczające dostęp użytkowników nieprofesjonalnych do preparatów stwarzających największe zagrożenie. Osoby takie na ogół nie mają bowiem szczegółowej wiedzy dotyczącej bezpiecznego stosowania środków ochrony roślin, jak również wykorzystują te środki w miejscach, w których trudno jest zachować warunki bezpiecznego ich stosowania (w pomieszczeniach mieszkalnych, na balkonach i w ogrodach przydomowych). </w:t>
      </w:r>
    </w:p>
    <w:p w14:paraId="0CCA99BD"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36 ust. 4 ustawy z dnia 8 marca 2013 r. o środkach ochrony roślin zostało zabronione stosowanie przez użytkowników nieprofesjonalnych, w formie oprysku lub fumigacji, a także wykorzystywanie do zaprawiania nasion, środków ochrony roślin zaklasyfikowanych, zgodnie z przepisami rozporządzenia Parlamentu Europejskiego i Rady (WE) nr 1272/2008 z dnia 16 grudnia </w:t>
      </w:r>
      <w:r w:rsidRPr="00925BCD">
        <w:rPr>
          <w:rFonts w:ascii="Arial" w:hAnsi="Arial" w:cs="Arial"/>
        </w:rPr>
        <w:lastRenderedPageBreak/>
        <w:t xml:space="preserve">2008 r. w sprawie klasyfikacji, oznakowania i pakowania substancji i mieszanin, zmieniającego i uchylającego dyrektywy 67/548/EWG i 1999/45/WE oraz zmieniającego rozporządzenie (WE) nr 1907/2006, do co najmniej jednej z poniższych klas i kategorii zagrożenia: </w:t>
      </w:r>
    </w:p>
    <w:p w14:paraId="5378A46D" w14:textId="77777777" w:rsidR="00056846" w:rsidRPr="00925BCD" w:rsidRDefault="00E54725" w:rsidP="000463B0">
      <w:pPr>
        <w:pStyle w:val="napakapit"/>
        <w:numPr>
          <w:ilvl w:val="0"/>
          <w:numId w:val="11"/>
        </w:numPr>
        <w:spacing w:before="0"/>
        <w:ind w:left="709" w:hanging="425"/>
      </w:pPr>
      <w:r w:rsidRPr="00925BCD">
        <w:t>toksyczność ostra kategoria 1, 2 i 3;</w:t>
      </w:r>
    </w:p>
    <w:p w14:paraId="5648CF59" w14:textId="77777777" w:rsidR="00056846" w:rsidRPr="00925BCD" w:rsidRDefault="00E54725" w:rsidP="000463B0">
      <w:pPr>
        <w:pStyle w:val="napakapit"/>
        <w:numPr>
          <w:ilvl w:val="0"/>
          <w:numId w:val="11"/>
        </w:numPr>
        <w:spacing w:before="0"/>
        <w:ind w:left="709" w:hanging="425"/>
      </w:pPr>
      <w:r w:rsidRPr="00925BCD">
        <w:t>działanie rakotwórcze;</w:t>
      </w:r>
    </w:p>
    <w:p w14:paraId="42477CCC" w14:textId="77777777" w:rsidR="00056846" w:rsidRPr="00925BCD" w:rsidRDefault="00E54725" w:rsidP="000463B0">
      <w:pPr>
        <w:pStyle w:val="napakapit"/>
        <w:numPr>
          <w:ilvl w:val="0"/>
          <w:numId w:val="11"/>
        </w:numPr>
        <w:spacing w:before="0"/>
        <w:ind w:left="709" w:hanging="425"/>
      </w:pPr>
      <w:r w:rsidRPr="00925BCD">
        <w:t>działanie mutagenne;</w:t>
      </w:r>
    </w:p>
    <w:p w14:paraId="4B8B746D" w14:textId="77777777" w:rsidR="00056846" w:rsidRPr="00925BCD" w:rsidRDefault="00E54725" w:rsidP="000463B0">
      <w:pPr>
        <w:pStyle w:val="napakapit"/>
        <w:numPr>
          <w:ilvl w:val="0"/>
          <w:numId w:val="11"/>
        </w:numPr>
        <w:spacing w:before="0"/>
        <w:ind w:left="709" w:hanging="425"/>
      </w:pPr>
      <w:r w:rsidRPr="00925BCD">
        <w:t>działanie szkodliwe na rozrodczość;</w:t>
      </w:r>
    </w:p>
    <w:p w14:paraId="3FFE5D07"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jednorazowym (STOT SE) kategoria 1;</w:t>
      </w:r>
    </w:p>
    <w:p w14:paraId="1C43B0CF"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powtarzanym (STOT RE) kategoria 1.</w:t>
      </w:r>
    </w:p>
    <w:p w14:paraId="6BE2B1D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Wyeliminowanie zagrożeń na poszczególnych etapach wykonywania zabiegów ochrony roślin to także dbałość, aby środki ochrony były stosowane w sposób nie stwarzający zagrożenia dla zdrowia ludzi i zwierząt oraz dla środowiska (promowanie dobrych praktyk dotyczyć musi nie tylko wykonywania oprysków, ale i innych metod stosowania środków ochrony roślin, jak np. zaprawianie nasion), a także przeciwdziałanie zniesieniu środków ochrony roślin na obszary i obiekty niebędące celem zabiegu. Szczególną uwagę należy zwrócić przy tym na ochronę owadów zapylających.</w:t>
      </w:r>
    </w:p>
    <w:p w14:paraId="72CC76BD" w14:textId="766123E4"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w </w:t>
      </w:r>
      <w:r w:rsidR="00FA26B8">
        <w:rPr>
          <w:rFonts w:ascii="Arial" w:hAnsi="Arial" w:cs="Arial"/>
        </w:rPr>
        <w:t xml:space="preserve">latach </w:t>
      </w:r>
      <w:r w:rsidRPr="00925BCD">
        <w:rPr>
          <w:rFonts w:ascii="Arial" w:hAnsi="Arial" w:cs="Arial"/>
        </w:rPr>
        <w:t>2018</w:t>
      </w:r>
      <w:r w:rsidR="00FA26B8">
        <w:rPr>
          <w:rFonts w:ascii="Arial" w:hAnsi="Arial" w:cs="Arial"/>
        </w:rPr>
        <w:t>–202</w:t>
      </w:r>
      <w:r w:rsidR="00CE7058">
        <w:rPr>
          <w:rFonts w:ascii="Arial" w:hAnsi="Arial" w:cs="Arial"/>
        </w:rPr>
        <w:t>2</w:t>
      </w:r>
      <w:r w:rsidR="00FA26B8">
        <w:rPr>
          <w:rFonts w:ascii="Arial" w:hAnsi="Arial" w:cs="Arial"/>
        </w:rPr>
        <w:t xml:space="preserve"> </w:t>
      </w:r>
      <w:r w:rsidR="003F5AD9" w:rsidRPr="00925BCD">
        <w:rPr>
          <w:rFonts w:ascii="Arial" w:hAnsi="Arial" w:cs="Arial"/>
        </w:rPr>
        <w:t xml:space="preserve"> </w:t>
      </w:r>
      <w:r w:rsidRPr="00925BCD">
        <w:rPr>
          <w:rFonts w:ascii="Arial" w:hAnsi="Arial" w:cs="Arial"/>
        </w:rPr>
        <w:t>inspektorzy Państwowej Inspekcji Ochrony Roślin i</w:t>
      </w:r>
      <w:r w:rsidR="003F5AD9" w:rsidRPr="00925BCD">
        <w:rPr>
          <w:rFonts w:ascii="Arial" w:hAnsi="Arial" w:cs="Arial"/>
        </w:rPr>
        <w:t> </w:t>
      </w:r>
      <w:r w:rsidRPr="00925BCD">
        <w:rPr>
          <w:rFonts w:ascii="Arial" w:hAnsi="Arial" w:cs="Arial"/>
        </w:rPr>
        <w:t>Nasiennictwa prowadzili kontrole dotyczące bezpiecznego stosowania środków ochrony roślin i ich przechowywania.</w:t>
      </w:r>
    </w:p>
    <w:p w14:paraId="28F42C5E" w14:textId="00FCB364" w:rsidR="003F5AD9" w:rsidRPr="00925BCD"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Liczba stwierdzonych nieprawidłowości </w:t>
      </w:r>
      <w:r w:rsidR="006D456B">
        <w:rPr>
          <w:rFonts w:ascii="Arial" w:hAnsi="Arial" w:cs="Arial"/>
        </w:rPr>
        <w:t xml:space="preserve">w zakresie </w:t>
      </w:r>
      <w:r w:rsidR="006D456B" w:rsidRPr="00925BCD">
        <w:rPr>
          <w:rFonts w:ascii="Arial" w:hAnsi="Arial" w:cs="Arial"/>
        </w:rPr>
        <w:t xml:space="preserve">bezpiecznego stosowania środków ochrony roślin i ich przechowywania </w:t>
      </w:r>
      <w:r w:rsidRPr="00925BCD">
        <w:rPr>
          <w:rFonts w:ascii="Arial" w:hAnsi="Arial" w:cs="Arial"/>
        </w:rPr>
        <w:t xml:space="preserve">wyniosła </w:t>
      </w:r>
      <w:r w:rsidR="006D456B" w:rsidRPr="00925BCD">
        <w:rPr>
          <w:rFonts w:ascii="Arial" w:hAnsi="Arial" w:cs="Arial"/>
        </w:rPr>
        <w:t xml:space="preserve">odpowiednio </w:t>
      </w:r>
      <w:r w:rsidRPr="00925BCD">
        <w:rPr>
          <w:rFonts w:ascii="Arial" w:hAnsi="Arial" w:cs="Arial"/>
        </w:rPr>
        <w:t>w 2018 r. 53 i 6, w 2019 r. 308 i 29</w:t>
      </w:r>
      <w:r w:rsidR="00BB5237">
        <w:rPr>
          <w:rFonts w:ascii="Arial" w:hAnsi="Arial" w:cs="Arial"/>
        </w:rPr>
        <w:t>,</w:t>
      </w:r>
      <w:r w:rsidR="00BB5237" w:rsidRPr="00BB5237">
        <w:rPr>
          <w:rFonts w:ascii="Arial" w:hAnsi="Arial" w:cs="Arial"/>
        </w:rPr>
        <w:t xml:space="preserve"> </w:t>
      </w:r>
      <w:r w:rsidR="00EA5F44">
        <w:rPr>
          <w:rFonts w:ascii="Arial" w:hAnsi="Arial" w:cs="Arial"/>
        </w:rPr>
        <w:t>w</w:t>
      </w:r>
      <w:r w:rsidR="004B45E9">
        <w:rPr>
          <w:rFonts w:ascii="Arial" w:hAnsi="Arial" w:cs="Arial"/>
        </w:rPr>
        <w:t> </w:t>
      </w:r>
      <w:r w:rsidR="00C7299F">
        <w:rPr>
          <w:rFonts w:ascii="Arial" w:hAnsi="Arial" w:cs="Arial"/>
        </w:rPr>
        <w:t>2020 </w:t>
      </w:r>
      <w:r w:rsidR="00EA5F44">
        <w:rPr>
          <w:rFonts w:ascii="Arial" w:hAnsi="Arial" w:cs="Arial"/>
        </w:rPr>
        <w:t>r. 257 i</w:t>
      </w:r>
      <w:r w:rsidR="00DF7E3E">
        <w:rPr>
          <w:rFonts w:ascii="Arial" w:hAnsi="Arial" w:cs="Arial"/>
        </w:rPr>
        <w:t> 11</w:t>
      </w:r>
      <w:r w:rsidR="000E44E2">
        <w:rPr>
          <w:rFonts w:ascii="Arial" w:hAnsi="Arial" w:cs="Arial"/>
        </w:rPr>
        <w:t>,</w:t>
      </w:r>
      <w:r w:rsidR="00DF7E3E">
        <w:rPr>
          <w:rFonts w:ascii="Arial" w:hAnsi="Arial" w:cs="Arial"/>
        </w:rPr>
        <w:t xml:space="preserve"> w 2021 r. 128 i 68</w:t>
      </w:r>
      <w:r w:rsidR="000E44E2">
        <w:rPr>
          <w:rFonts w:ascii="Arial" w:hAnsi="Arial" w:cs="Arial"/>
        </w:rPr>
        <w:t xml:space="preserve">, </w:t>
      </w:r>
      <w:r w:rsidR="000E44E2" w:rsidRPr="00925BCD">
        <w:rPr>
          <w:rFonts w:ascii="Arial" w:hAnsi="Arial" w:cs="Arial"/>
        </w:rPr>
        <w:t>natomiast</w:t>
      </w:r>
      <w:r w:rsidR="000E44E2">
        <w:rPr>
          <w:rFonts w:ascii="Arial" w:hAnsi="Arial" w:cs="Arial"/>
        </w:rPr>
        <w:t xml:space="preserve"> w 2022 r. </w:t>
      </w:r>
      <w:r w:rsidR="0043534C">
        <w:rPr>
          <w:rFonts w:ascii="Arial" w:hAnsi="Arial" w:cs="Arial"/>
        </w:rPr>
        <w:t>232 i 12</w:t>
      </w:r>
      <w:r w:rsidR="00DF7E3E">
        <w:rPr>
          <w:rFonts w:ascii="Arial" w:hAnsi="Arial" w:cs="Arial"/>
        </w:rPr>
        <w:t>.</w:t>
      </w:r>
    </w:p>
    <w:p w14:paraId="3A56E7CB" w14:textId="77777777" w:rsidR="00056846" w:rsidRPr="00925BCD" w:rsidRDefault="00E54725">
      <w:pPr>
        <w:pStyle w:val="Nagwek1"/>
        <w:numPr>
          <w:ilvl w:val="1"/>
          <w:numId w:val="9"/>
        </w:numPr>
        <w:tabs>
          <w:tab w:val="left" w:pos="284"/>
        </w:tabs>
        <w:ind w:left="426" w:hanging="426"/>
        <w:jc w:val="both"/>
        <w:rPr>
          <w:i w:val="0"/>
          <w:sz w:val="22"/>
          <w:szCs w:val="22"/>
        </w:rPr>
      </w:pPr>
      <w:bookmarkStart w:id="60" w:name="_Toc161744885"/>
      <w:r w:rsidRPr="00925BCD">
        <w:rPr>
          <w:i w:val="0"/>
          <w:sz w:val="22"/>
          <w:szCs w:val="22"/>
        </w:rPr>
        <w:t>Mierniki służące monitorowaniu</w:t>
      </w:r>
      <w:bookmarkEnd w:id="60"/>
    </w:p>
    <w:p w14:paraId="330721D3" w14:textId="58C22811"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w:t>
      </w:r>
      <w:r w:rsidR="00C05D8B">
        <w:rPr>
          <w:rFonts w:ascii="Arial" w:hAnsi="Arial" w:cs="Arial"/>
        </w:rPr>
        <w:t>jest</w:t>
      </w:r>
      <w:r w:rsidR="00C05D8B" w:rsidRPr="00925BCD">
        <w:rPr>
          <w:rFonts w:ascii="Arial" w:hAnsi="Arial" w:cs="Arial"/>
        </w:rPr>
        <w:t xml:space="preserve"> </w:t>
      </w:r>
      <w:r w:rsidRPr="00925BCD">
        <w:rPr>
          <w:rFonts w:ascii="Arial" w:hAnsi="Arial" w:cs="Arial"/>
        </w:rPr>
        <w:t>oceniana na podstawie liczby nieprawidłowości w zakresie wykonywania zabiegów ochrony roślin. W 2022 r. poziom nieprawidłowości w zakresie warunków bezpiecznego stosowania środków ochrony roślin, jak i warunków przechowywania środków ochrony roślin, stwierdzanych w ramach kontroli przeprowadzanej przez Państwową Inspekcję Ochrony Roślin i Nasiennictwa, powinien wynosić poniżej 1%.</w:t>
      </w:r>
    </w:p>
    <w:p w14:paraId="33A975A4" w14:textId="4E0A599B"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8D1215">
        <w:rPr>
          <w:rFonts w:ascii="Arial" w:hAnsi="Arial" w:cs="Arial"/>
        </w:rPr>
        <w:t>W 2018</w:t>
      </w:r>
      <w:r w:rsidR="00690109">
        <w:rPr>
          <w:rFonts w:ascii="Arial" w:hAnsi="Arial" w:cs="Arial"/>
        </w:rPr>
        <w:t> </w:t>
      </w:r>
      <w:r w:rsidRPr="008D1215">
        <w:rPr>
          <w:rFonts w:ascii="Arial" w:hAnsi="Arial" w:cs="Arial"/>
        </w:rPr>
        <w:t>r. poziom nieprawidłowości w zakresie warunków bezpiecznego stosowania środków ochrony roślin, jak i warunków przechowywania środków ochrony roślin, stwierdzanych w ramach kontroli przeprowadzanej przez Państwową Inspekcję Ochrony Roślin i Nasiennictwa wyniósł 0,95%</w:t>
      </w:r>
      <w:r w:rsidR="003F5AD9" w:rsidRPr="008D1215">
        <w:rPr>
          <w:rFonts w:ascii="Arial" w:hAnsi="Arial" w:cs="Arial"/>
        </w:rPr>
        <w:t xml:space="preserve">, </w:t>
      </w:r>
      <w:r w:rsidR="00410D56" w:rsidRPr="008D1215">
        <w:rPr>
          <w:rFonts w:ascii="Arial" w:hAnsi="Arial" w:cs="Arial"/>
        </w:rPr>
        <w:t> w</w:t>
      </w:r>
      <w:r w:rsidR="004B45E9" w:rsidRPr="008D1215">
        <w:rPr>
          <w:rFonts w:ascii="Arial" w:hAnsi="Arial" w:cs="Arial"/>
        </w:rPr>
        <w:t> </w:t>
      </w:r>
      <w:r w:rsidR="00410D56" w:rsidRPr="008D1215">
        <w:rPr>
          <w:rFonts w:ascii="Arial" w:hAnsi="Arial" w:cs="Arial"/>
        </w:rPr>
        <w:t>2019 r. wyniósł 1,45%</w:t>
      </w:r>
      <w:r w:rsidR="00EA5F44" w:rsidRPr="008D1215">
        <w:rPr>
          <w:rFonts w:ascii="Arial" w:hAnsi="Arial" w:cs="Arial"/>
        </w:rPr>
        <w:t>, w 2020 r.</w:t>
      </w:r>
      <w:r w:rsidR="00FA26B8" w:rsidRPr="008D1215">
        <w:rPr>
          <w:rFonts w:ascii="Arial" w:hAnsi="Arial" w:cs="Arial"/>
        </w:rPr>
        <w:t xml:space="preserve"> wyniósł 1,48%</w:t>
      </w:r>
      <w:r w:rsidR="00B3226E" w:rsidRPr="008D1215">
        <w:rPr>
          <w:rFonts w:ascii="Arial" w:hAnsi="Arial" w:cs="Arial"/>
        </w:rPr>
        <w:t>, w 2021 r</w:t>
      </w:r>
      <w:r w:rsidR="00CF054A" w:rsidRPr="008D1215">
        <w:rPr>
          <w:rFonts w:ascii="Arial" w:hAnsi="Arial" w:cs="Arial"/>
        </w:rPr>
        <w:t xml:space="preserve">. wyniósł </w:t>
      </w:r>
      <w:r w:rsidR="002B6DFD" w:rsidRPr="008D1215">
        <w:rPr>
          <w:rFonts w:ascii="Arial" w:hAnsi="Arial" w:cs="Arial"/>
        </w:rPr>
        <w:t>0,93%</w:t>
      </w:r>
      <w:r w:rsidR="00A7175A" w:rsidRPr="008D1215">
        <w:rPr>
          <w:rFonts w:ascii="Arial" w:hAnsi="Arial" w:cs="Arial"/>
        </w:rPr>
        <w:t>,</w:t>
      </w:r>
      <w:r w:rsidRPr="008D1215">
        <w:rPr>
          <w:rFonts w:ascii="Arial" w:hAnsi="Arial" w:cs="Arial"/>
        </w:rPr>
        <w:t xml:space="preserve"> </w:t>
      </w:r>
      <w:r w:rsidR="00A7175A" w:rsidRPr="008D1215">
        <w:rPr>
          <w:rFonts w:ascii="Arial" w:hAnsi="Arial" w:cs="Arial"/>
        </w:rPr>
        <w:t>natomiast w 2022 r. wyniósł 1,14%.</w:t>
      </w:r>
      <w:r w:rsidR="008D1215" w:rsidRPr="008D1215">
        <w:rPr>
          <w:rFonts w:ascii="Arial" w:hAnsi="Arial" w:cs="Arial"/>
        </w:rPr>
        <w:t xml:space="preserve"> Tym samym </w:t>
      </w:r>
      <w:r w:rsidR="00C05D8B">
        <w:rPr>
          <w:rFonts w:ascii="Arial" w:hAnsi="Arial" w:cs="Arial"/>
        </w:rPr>
        <w:t xml:space="preserve">wartość dla </w:t>
      </w:r>
      <w:r w:rsidR="008D1215" w:rsidRPr="008D1215">
        <w:rPr>
          <w:rFonts w:ascii="Arial" w:hAnsi="Arial" w:cs="Arial"/>
        </w:rPr>
        <w:t>miernik</w:t>
      </w:r>
      <w:r w:rsidR="00C05D8B">
        <w:rPr>
          <w:rFonts w:ascii="Arial" w:hAnsi="Arial" w:cs="Arial"/>
        </w:rPr>
        <w:t>a</w:t>
      </w:r>
      <w:r w:rsidR="008D1215" w:rsidRPr="008D1215">
        <w:rPr>
          <w:rFonts w:ascii="Arial" w:hAnsi="Arial" w:cs="Arial"/>
        </w:rPr>
        <w:t xml:space="preserve"> 9.1 </w:t>
      </w:r>
      <w:r w:rsidR="00C05D8B">
        <w:rPr>
          <w:rFonts w:ascii="Arial" w:hAnsi="Arial" w:cs="Arial"/>
        </w:rPr>
        <w:t>jest bliska założonej wartości docelowej</w:t>
      </w:r>
      <w:r w:rsidR="00782A4F">
        <w:rPr>
          <w:rFonts w:ascii="Arial" w:hAnsi="Arial" w:cs="Arial"/>
        </w:rPr>
        <w:t xml:space="preserve"> i cele zadania zostały zrealizowane</w:t>
      </w:r>
      <w:r w:rsidR="00C05D8B">
        <w:rPr>
          <w:rFonts w:ascii="Arial" w:hAnsi="Arial" w:cs="Arial"/>
        </w:rPr>
        <w:t>.</w:t>
      </w:r>
    </w:p>
    <w:p w14:paraId="0712F431" w14:textId="77777777" w:rsidR="00056846" w:rsidRPr="00925BCD" w:rsidRDefault="00E54725">
      <w:pPr>
        <w:pStyle w:val="Nagwek1"/>
        <w:numPr>
          <w:ilvl w:val="0"/>
          <w:numId w:val="9"/>
        </w:numPr>
        <w:jc w:val="both"/>
        <w:rPr>
          <w:i w:val="0"/>
          <w:sz w:val="22"/>
          <w:szCs w:val="22"/>
        </w:rPr>
      </w:pPr>
      <w:bookmarkStart w:id="61" w:name="_Toc161744886"/>
      <w:r w:rsidRPr="00925BCD">
        <w:rPr>
          <w:i w:val="0"/>
          <w:sz w:val="22"/>
          <w:szCs w:val="22"/>
        </w:rPr>
        <w:t>Działanie 10. Integrowana ochrona roślin</w:t>
      </w:r>
      <w:bookmarkEnd w:id="61"/>
    </w:p>
    <w:p w14:paraId="7D2EA695"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Podstawowym celem krajowego planu działania jest upowszechnianie zasad integrowanej ochrony </w:t>
      </w:r>
      <w:r w:rsidRPr="00925BCD">
        <w:rPr>
          <w:rFonts w:ascii="Arial" w:hAnsi="Arial" w:cs="Arial"/>
        </w:rPr>
        <w:lastRenderedPageBreak/>
        <w:t>roślin. Działanie to służy osiągnięciu celów określonych w art. 14 dyrektywy 2009/128/WE.</w:t>
      </w:r>
    </w:p>
    <w:p w14:paraId="01B99779"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Wdrożenie zasad integrowanej ochrony roślin, której głównym założeniem jest racjonalne stosowanie środków ochrony roślin, na podstawie faktycznej potrzeby wykonania zabiegu, z uwzględnieniem w pierwszej kolejności metod niechemicznych, w najbardziej efektywny sposób ogranicza zagrożenia związane ze stosowaniem środków ochrony roślin. </w:t>
      </w:r>
    </w:p>
    <w:p w14:paraId="47F49B74"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to stanowi kontynuację działań realizowanych w ramach krajowego planu działania na lata 2013–2017, dzięki którym upowszechniono głównie wśród użytkowników profesjonalnych środków ochrony roślin zasady integrowanej ochrony roślin, ograniczając tym samym zagrożenia związane z wykorzystywaniem tych środków.  </w:t>
      </w:r>
    </w:p>
    <w:p w14:paraId="0DFC8837"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Promowanie zasad integrowanej ochrony roślin realizowane było w ramach następujących zadań szczegółowych.</w:t>
      </w:r>
    </w:p>
    <w:p w14:paraId="2C024CA5" w14:textId="77777777" w:rsidR="00056846" w:rsidRPr="00925BCD" w:rsidRDefault="00E54725">
      <w:pPr>
        <w:pStyle w:val="Nagwek2"/>
        <w:jc w:val="both"/>
        <w:rPr>
          <w:i w:val="0"/>
          <w:sz w:val="20"/>
          <w:szCs w:val="20"/>
        </w:rPr>
      </w:pPr>
      <w:bookmarkStart w:id="62" w:name="_Toc161744887"/>
      <w:r w:rsidRPr="00925BCD">
        <w:rPr>
          <w:i w:val="0"/>
          <w:sz w:val="20"/>
          <w:szCs w:val="20"/>
        </w:rPr>
        <w:t>Zadanie 1. Upowszechnianie wiedzy z zakresu integrowanej ochrony roślin</w:t>
      </w:r>
      <w:bookmarkEnd w:id="62"/>
    </w:p>
    <w:p w14:paraId="6F43254A"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Zadaniem priorytetowym drugiego krajowego planu działania jest dalsze upowszechnianie wiedzy na temat integrowanej ochrony roślin. </w:t>
      </w:r>
    </w:p>
    <w:p w14:paraId="7DFA6F6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Zadanie to realizowane jest przez:</w:t>
      </w:r>
    </w:p>
    <w:p w14:paraId="0B91D05E"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prowadzenie specjalistycznych szkoleń, seminariów i konferencji, pokazów najlepszych praktyk i doświadczeń polowych oraz innych przedsięwzięć w zakresie ochrony roślin;</w:t>
      </w:r>
    </w:p>
    <w:p w14:paraId="73F34DEF"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przygotowywanie i upowszechnianie wyników badań naukowych, materiałów informacyjnych, szkoleniowych oraz publikację informacji z zakresu ochrony roślin w prasie branżowej;</w:t>
      </w:r>
    </w:p>
    <w:p w14:paraId="5801B4F8"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utrzymanie i rozwój Platformy Sygnalizacji Agrofagów, na której będą udostępniane metodyki integrowanej ochrony roślin, systemy wspomagania decyzji, programy ochrony roślin oraz opracowania naukowe dotyczące ochrony roślin.</w:t>
      </w:r>
    </w:p>
    <w:p w14:paraId="548884B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Sposobem promowania idei integrowanej ochrony roślin, a tym samym podnoszenia wiedzy o zrównoważonych metodach ochrony upraw, jest właściwa edukacja producentów rolnych oraz doradców, a także dostarczenie im niezbędnych narzędzi do stosowania zasad integrowanej ochrony roślin. Rozwój elektronicznej formy przekazu informacji stanowi płaszczyznę i narzędzie wymiany doświadczeń oraz transferu wiedzy pomiędzy nauką a praktyką przy wdrażaniu integrowanej ochrony roślin. </w:t>
      </w:r>
    </w:p>
    <w:p w14:paraId="1457DBD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Podstawowym źródłem wiedzy o integrowanej ochronie roślin dla osób związanych z ochroną roślin, są obowiązkowe szkolenia dla profesjonalnych użytkowników środków ochrony roślin, osób dokonujących sprzedaży tych środków oraz doradców świadczących usługi w zakresie ochrony roślin. Szczegóły dotyczące tego typu szkoleń zostały przedstawione w opisie realizacji Działania 1 KPD, natomiast poniżej zaprezentowane zostały dodatkowe działania uzupełniające wiedzę uzyskiwaną w ramach obowiązkowych szkoleń. </w:t>
      </w:r>
    </w:p>
    <w:p w14:paraId="0999708B" w14:textId="1CFBB5DC"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programu wieloletniego „Ochrona roślin uprawnych z uwzględnieniem bezpieczeństwa żywności oraz ograniczenia strat w plonach i zagrożeń dla zdrowia ludzi, zwierząt domowych </w:t>
      </w:r>
      <w:r w:rsidRPr="00925BCD">
        <w:rPr>
          <w:rFonts w:ascii="Arial" w:hAnsi="Arial" w:cs="Arial"/>
        </w:rPr>
        <w:lastRenderedPageBreak/>
        <w:t xml:space="preserve">i środowiska” przyjętego na lata 2016–2020, </w:t>
      </w:r>
      <w:r w:rsidRPr="00925BCD">
        <w:rPr>
          <w:rFonts w:ascii="Arial" w:hAnsi="Arial" w:cs="Arial"/>
          <w:b/>
        </w:rPr>
        <w:t>Instytut Ochrony Roślin – PIB</w:t>
      </w:r>
      <w:r w:rsidRPr="00925BCD">
        <w:rPr>
          <w:rFonts w:ascii="Arial" w:hAnsi="Arial" w:cs="Arial"/>
        </w:rPr>
        <w:t xml:space="preserve"> realizował zadanie „Upowszechnianie i wdrażanie wiedzy o integrowanej ochronie roślin”. W ramach tego zadania </w:t>
      </w:r>
      <w:r w:rsidRPr="00B108D5">
        <w:rPr>
          <w:rFonts w:ascii="Arial" w:hAnsi="Arial" w:cs="Arial"/>
          <w:b/>
          <w:bCs/>
        </w:rPr>
        <w:t>w 2018 r.</w:t>
      </w:r>
      <w:r w:rsidRPr="00925BCD">
        <w:rPr>
          <w:rFonts w:ascii="Arial" w:hAnsi="Arial" w:cs="Arial"/>
        </w:rPr>
        <w:t xml:space="preserve">, na terenie województw: lubelskiego, mazowieckiego </w:t>
      </w:r>
      <w:r w:rsidR="00BA2BC9" w:rsidRPr="00925BCD">
        <w:rPr>
          <w:rFonts w:ascii="Arial" w:hAnsi="Arial" w:cs="Arial"/>
        </w:rPr>
        <w:t>(</w:t>
      </w:r>
      <w:r w:rsidRPr="00925BCD">
        <w:rPr>
          <w:rFonts w:ascii="Arial" w:hAnsi="Arial" w:cs="Arial"/>
        </w:rPr>
        <w:t>2</w:t>
      </w:r>
      <w:r w:rsidR="00BA2BC9" w:rsidRPr="00925BCD">
        <w:rPr>
          <w:rFonts w:ascii="Arial" w:hAnsi="Arial" w:cs="Arial"/>
        </w:rPr>
        <w:t xml:space="preserve"> razy)</w:t>
      </w:r>
      <w:r w:rsidRPr="00925BCD">
        <w:rPr>
          <w:rFonts w:ascii="Arial" w:hAnsi="Arial" w:cs="Arial"/>
        </w:rPr>
        <w:t xml:space="preserve">, oraz kujawsko-pomorskiego zorganizowane zostały 4 szkolenia z zakresu integrowanej ochrony roślin dla 313 osób. </w:t>
      </w:r>
      <w:r w:rsidRPr="00B108D5">
        <w:rPr>
          <w:rFonts w:ascii="Arial" w:hAnsi="Arial" w:cs="Arial"/>
          <w:b/>
          <w:bCs/>
        </w:rPr>
        <w:t>W 2019 r.</w:t>
      </w:r>
      <w:r w:rsidRPr="00925BCD">
        <w:rPr>
          <w:rFonts w:ascii="Arial" w:hAnsi="Arial" w:cs="Arial"/>
        </w:rPr>
        <w:t xml:space="preserve"> odbyło się jedno szkolenie na terenie województwa małopolskiego</w:t>
      </w:r>
      <w:r w:rsidR="000F4B47" w:rsidRPr="00925BCD">
        <w:rPr>
          <w:rFonts w:ascii="Arial" w:hAnsi="Arial" w:cs="Arial"/>
        </w:rPr>
        <w:t>,</w:t>
      </w:r>
      <w:r w:rsidRPr="00925BCD">
        <w:rPr>
          <w:rFonts w:ascii="Arial" w:hAnsi="Arial" w:cs="Arial"/>
        </w:rPr>
        <w:t xml:space="preserve"> w którym uczestniczyło 85 osób</w:t>
      </w:r>
      <w:r w:rsidR="00EA5F44">
        <w:rPr>
          <w:rFonts w:ascii="Arial" w:hAnsi="Arial" w:cs="Arial"/>
        </w:rPr>
        <w:t xml:space="preserve">, natomiast </w:t>
      </w:r>
      <w:r w:rsidR="00EA5F44" w:rsidRPr="00B108D5">
        <w:rPr>
          <w:rFonts w:ascii="Arial" w:hAnsi="Arial" w:cs="Arial"/>
          <w:b/>
          <w:bCs/>
        </w:rPr>
        <w:t>w</w:t>
      </w:r>
      <w:r w:rsidR="000C04FF" w:rsidRPr="00B108D5">
        <w:rPr>
          <w:rFonts w:ascii="Arial" w:hAnsi="Arial" w:cs="Arial"/>
          <w:b/>
          <w:bCs/>
        </w:rPr>
        <w:t xml:space="preserve"> 2020</w:t>
      </w:r>
      <w:r w:rsidR="00B108D5">
        <w:rPr>
          <w:rFonts w:ascii="Arial" w:hAnsi="Arial" w:cs="Arial"/>
          <w:b/>
          <w:bCs/>
        </w:rPr>
        <w:t> </w:t>
      </w:r>
      <w:r w:rsidR="000C04FF" w:rsidRPr="00B108D5">
        <w:rPr>
          <w:rFonts w:ascii="Arial" w:hAnsi="Arial" w:cs="Arial"/>
          <w:b/>
          <w:bCs/>
        </w:rPr>
        <w:t>r.</w:t>
      </w:r>
      <w:r w:rsidR="000C04FF">
        <w:rPr>
          <w:rFonts w:ascii="Arial" w:hAnsi="Arial" w:cs="Arial"/>
        </w:rPr>
        <w:t xml:space="preserve"> </w:t>
      </w:r>
      <w:r w:rsidR="000C04FF" w:rsidRPr="00125F0E">
        <w:rPr>
          <w:rFonts w:ascii="Arial" w:hAnsi="Arial" w:cs="Arial"/>
        </w:rPr>
        <w:t>na terenie województw: świętokrzyskiego, pomorskiego, podlaskiego oraz warmińsko-mazurskiego zorganizowane zostały cztery szkolenia (dwa stacjonarnie i dwa w formie zdalnej) dla 481 osób.</w:t>
      </w:r>
      <w:r w:rsidRPr="00925BCD">
        <w:rPr>
          <w:rFonts w:ascii="Arial" w:hAnsi="Arial" w:cs="Arial"/>
        </w:rPr>
        <w:t xml:space="preserve"> Oprócz zagadnień prawnych om</w:t>
      </w:r>
      <w:r w:rsidR="000C04FF">
        <w:rPr>
          <w:rFonts w:ascii="Arial" w:hAnsi="Arial" w:cs="Arial"/>
        </w:rPr>
        <w:t>awiano</w:t>
      </w:r>
      <w:r w:rsidRPr="00925BCD">
        <w:rPr>
          <w:rFonts w:ascii="Arial" w:hAnsi="Arial" w:cs="Arial"/>
        </w:rPr>
        <w:t xml:space="preserve"> zasady prowadzenia integrowanej ochrony roślin. Uczestnicy podczas wykładów jak i zajęć praktycznych zapoznali się z ważnymi gospodarczo sprawcami chorób, szkodnikami i chwastami, zostali również przeszkoleni z obsługi Platformy Sygnalizacji Agrofagów (www.agrofagi.com.pl), którą mogą wykorzystywać do podejmowania decyzji o wykonywaniu zabiegów środkami ochrony roślin.</w:t>
      </w:r>
    </w:p>
    <w:p w14:paraId="5E7F4921" w14:textId="36F475F1"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kierowane były głównie do doradców rolnych, których zadaniem był następnie transfer zdobytej wiedzy do producentów. </w:t>
      </w:r>
    </w:p>
    <w:p w14:paraId="5B5D6402" w14:textId="6575578E" w:rsidR="00A403E9" w:rsidRDefault="00A403E9" w:rsidP="004A1341">
      <w:pPr>
        <w:pStyle w:val="NormalnyWeb"/>
        <w:tabs>
          <w:tab w:val="left" w:pos="284"/>
        </w:tabs>
        <w:spacing w:beforeAutospacing="0" w:after="120" w:afterAutospacing="0" w:line="360" w:lineRule="auto"/>
        <w:ind w:firstLine="284"/>
        <w:jc w:val="both"/>
        <w:rPr>
          <w:rFonts w:ascii="Arial" w:hAnsi="Arial" w:cs="Arial"/>
        </w:rPr>
      </w:pPr>
      <w:r w:rsidRPr="00A403E9">
        <w:rPr>
          <w:rFonts w:ascii="Arial" w:hAnsi="Arial" w:cs="Arial"/>
        </w:rPr>
        <w:t>W 2021</w:t>
      </w:r>
      <w:r>
        <w:rPr>
          <w:rFonts w:ascii="Arial" w:hAnsi="Arial" w:cs="Arial"/>
        </w:rPr>
        <w:t xml:space="preserve"> r.</w:t>
      </w:r>
      <w:r w:rsidRPr="00A403E9">
        <w:rPr>
          <w:rFonts w:ascii="Arial" w:hAnsi="Arial" w:cs="Arial"/>
        </w:rPr>
        <w:t xml:space="preserve"> nie realizowano zadania.</w:t>
      </w:r>
    </w:p>
    <w:p w14:paraId="4B26A9B0" w14:textId="3A2804CC" w:rsidR="00AB671B" w:rsidRDefault="003A21D7" w:rsidP="00AB671B">
      <w:pPr>
        <w:pStyle w:val="NormalnyWeb"/>
        <w:tabs>
          <w:tab w:val="left" w:pos="284"/>
        </w:tabs>
        <w:spacing w:beforeAutospacing="0" w:after="120" w:afterAutospacing="0" w:line="360" w:lineRule="auto"/>
        <w:ind w:firstLine="284"/>
        <w:jc w:val="both"/>
        <w:rPr>
          <w:rFonts w:ascii="Arial" w:hAnsi="Arial" w:cs="Arial"/>
        </w:rPr>
      </w:pPr>
      <w:r w:rsidRPr="00B108D5">
        <w:rPr>
          <w:rFonts w:ascii="Arial" w:hAnsi="Arial" w:cs="Arial"/>
          <w:b/>
          <w:bCs/>
        </w:rPr>
        <w:t>W 2022</w:t>
      </w:r>
      <w:r w:rsidR="00645CC4" w:rsidRPr="00B108D5">
        <w:rPr>
          <w:rFonts w:ascii="Arial" w:hAnsi="Arial" w:cs="Arial"/>
          <w:b/>
          <w:bCs/>
        </w:rPr>
        <w:t xml:space="preserve"> </w:t>
      </w:r>
      <w:r w:rsidRPr="00B108D5">
        <w:rPr>
          <w:rFonts w:ascii="Arial" w:hAnsi="Arial" w:cs="Arial"/>
          <w:b/>
          <w:bCs/>
        </w:rPr>
        <w:t>r.</w:t>
      </w:r>
      <w:r>
        <w:rPr>
          <w:rFonts w:ascii="Arial" w:hAnsi="Arial" w:cs="Arial"/>
        </w:rPr>
        <w:t xml:space="preserve"> w</w:t>
      </w:r>
      <w:r w:rsidR="00AB671B" w:rsidRPr="005204E6">
        <w:rPr>
          <w:rFonts w:ascii="Arial" w:hAnsi="Arial" w:cs="Arial"/>
        </w:rPr>
        <w:t xml:space="preserve"> ramach dotacji celowej M</w:t>
      </w:r>
      <w:r w:rsidR="009159AD">
        <w:rPr>
          <w:rFonts w:ascii="Arial" w:hAnsi="Arial" w:cs="Arial"/>
        </w:rPr>
        <w:t xml:space="preserve">inisterstwa </w:t>
      </w:r>
      <w:r w:rsidR="00AB671B" w:rsidRPr="005204E6">
        <w:rPr>
          <w:rFonts w:ascii="Arial" w:hAnsi="Arial" w:cs="Arial"/>
        </w:rPr>
        <w:t>R</w:t>
      </w:r>
      <w:r w:rsidR="009159AD">
        <w:rPr>
          <w:rFonts w:ascii="Arial" w:hAnsi="Arial" w:cs="Arial"/>
        </w:rPr>
        <w:t>olnictwa</w:t>
      </w:r>
      <w:r w:rsidR="007F6F5B">
        <w:rPr>
          <w:rFonts w:ascii="Arial" w:hAnsi="Arial" w:cs="Arial"/>
        </w:rPr>
        <w:t xml:space="preserve"> i R</w:t>
      </w:r>
      <w:r w:rsidR="009159AD">
        <w:rPr>
          <w:rFonts w:ascii="Arial" w:hAnsi="Arial" w:cs="Arial"/>
        </w:rPr>
        <w:t>ozwoju Wsi</w:t>
      </w:r>
      <w:r w:rsidR="007F6F5B">
        <w:rPr>
          <w:rFonts w:ascii="Arial" w:hAnsi="Arial" w:cs="Arial"/>
        </w:rPr>
        <w:t xml:space="preserve"> </w:t>
      </w:r>
      <w:r w:rsidR="00572AA1" w:rsidRPr="00925BCD">
        <w:rPr>
          <w:rFonts w:ascii="Arial" w:hAnsi="Arial" w:cs="Arial"/>
          <w:b/>
        </w:rPr>
        <w:t>Instytut Ochrony Roślin – PIB</w:t>
      </w:r>
      <w:r w:rsidR="00910AEA">
        <w:rPr>
          <w:rFonts w:ascii="Arial" w:hAnsi="Arial" w:cs="Arial"/>
          <w:b/>
        </w:rPr>
        <w:t>,</w:t>
      </w:r>
      <w:r w:rsidR="00572AA1" w:rsidRPr="005204E6">
        <w:rPr>
          <w:rFonts w:ascii="Arial" w:hAnsi="Arial" w:cs="Arial"/>
        </w:rPr>
        <w:t xml:space="preserve"> </w:t>
      </w:r>
      <w:r w:rsidR="00BE7C02">
        <w:rPr>
          <w:rFonts w:ascii="Arial" w:hAnsi="Arial" w:cs="Arial"/>
        </w:rPr>
        <w:t xml:space="preserve">po rocznej przerwie, ponownie </w:t>
      </w:r>
      <w:r w:rsidR="00AB671B" w:rsidRPr="005204E6">
        <w:rPr>
          <w:rFonts w:ascii="Arial" w:hAnsi="Arial" w:cs="Arial"/>
        </w:rPr>
        <w:t>realizował zadanie „Upowszechnianie i wdrażanie wiedzy o</w:t>
      </w:r>
      <w:r w:rsidR="007F6F5B">
        <w:rPr>
          <w:rFonts w:ascii="Arial" w:hAnsi="Arial" w:cs="Arial"/>
        </w:rPr>
        <w:t> </w:t>
      </w:r>
      <w:r w:rsidR="00AB671B" w:rsidRPr="005204E6">
        <w:rPr>
          <w:rFonts w:ascii="Arial" w:hAnsi="Arial" w:cs="Arial"/>
        </w:rPr>
        <w:t>integrowanej ochronie roślin”. W</w:t>
      </w:r>
      <w:r w:rsidR="0009423F">
        <w:rPr>
          <w:rFonts w:ascii="Arial" w:hAnsi="Arial" w:cs="Arial"/>
        </w:rPr>
        <w:t> </w:t>
      </w:r>
      <w:r w:rsidR="00AB671B" w:rsidRPr="005204E6">
        <w:rPr>
          <w:rFonts w:ascii="Arial" w:hAnsi="Arial" w:cs="Arial"/>
        </w:rPr>
        <w:t>ramach zadania zorganizowano w formie zdalnej trzy ogólnopolskie szkolenia dotyczące zróżnicowanych zagadnień integrowanej ochrony rośli</w:t>
      </w:r>
      <w:r w:rsidR="003D4CAC">
        <w:rPr>
          <w:rFonts w:ascii="Arial" w:hAnsi="Arial" w:cs="Arial"/>
        </w:rPr>
        <w:t>.</w:t>
      </w:r>
      <w:r w:rsidR="00AB671B" w:rsidRPr="005204E6">
        <w:rPr>
          <w:rFonts w:ascii="Arial" w:hAnsi="Arial" w:cs="Arial"/>
        </w:rPr>
        <w:t xml:space="preserve"> Pierwsze webinarium poświęcone zostało tematowi wykorzystania metod biologicznych w ochronie roślin,</w:t>
      </w:r>
      <w:r w:rsidR="00FE702D">
        <w:rPr>
          <w:rFonts w:ascii="Arial" w:hAnsi="Arial" w:cs="Arial"/>
        </w:rPr>
        <w:t xml:space="preserve"> oraz</w:t>
      </w:r>
      <w:r w:rsidR="00AB671B" w:rsidRPr="005204E6">
        <w:rPr>
          <w:rFonts w:ascii="Arial" w:hAnsi="Arial" w:cs="Arial"/>
        </w:rPr>
        <w:t xml:space="preserve"> rol</w:t>
      </w:r>
      <w:r w:rsidR="00C22113">
        <w:rPr>
          <w:rFonts w:ascii="Arial" w:hAnsi="Arial" w:cs="Arial"/>
        </w:rPr>
        <w:t>i</w:t>
      </w:r>
      <w:r w:rsidR="00AB671B" w:rsidRPr="005204E6">
        <w:rPr>
          <w:rFonts w:ascii="Arial" w:hAnsi="Arial" w:cs="Arial"/>
        </w:rPr>
        <w:t xml:space="preserve"> mikro- i</w:t>
      </w:r>
      <w:r w:rsidR="00C22113">
        <w:rPr>
          <w:rFonts w:ascii="Arial" w:hAnsi="Arial" w:cs="Arial"/>
        </w:rPr>
        <w:t> </w:t>
      </w:r>
      <w:r w:rsidR="00AB671B" w:rsidRPr="005204E6">
        <w:rPr>
          <w:rFonts w:ascii="Arial" w:hAnsi="Arial" w:cs="Arial"/>
        </w:rPr>
        <w:t xml:space="preserve">makroorganizmów w ograniczaniu populacji agrofagów i ochronie bioróżnorodności. </w:t>
      </w:r>
      <w:r w:rsidR="00566F6B">
        <w:rPr>
          <w:rFonts w:ascii="Arial" w:hAnsi="Arial" w:cs="Arial"/>
        </w:rPr>
        <w:t>Podczas d</w:t>
      </w:r>
      <w:r w:rsidR="00AB671B" w:rsidRPr="005204E6">
        <w:rPr>
          <w:rFonts w:ascii="Arial" w:hAnsi="Arial" w:cs="Arial"/>
        </w:rPr>
        <w:t>rugie</w:t>
      </w:r>
      <w:r w:rsidR="00566F6B">
        <w:rPr>
          <w:rFonts w:ascii="Arial" w:hAnsi="Arial" w:cs="Arial"/>
        </w:rPr>
        <w:t>go</w:t>
      </w:r>
      <w:r w:rsidR="00AB671B" w:rsidRPr="005204E6">
        <w:rPr>
          <w:rFonts w:ascii="Arial" w:hAnsi="Arial" w:cs="Arial"/>
        </w:rPr>
        <w:t xml:space="preserve"> webinarium przedstawiono techniki monitoringu agrofagów</w:t>
      </w:r>
      <w:r w:rsidR="000A07D5">
        <w:rPr>
          <w:rFonts w:ascii="Arial" w:hAnsi="Arial" w:cs="Arial"/>
        </w:rPr>
        <w:t xml:space="preserve"> oraz</w:t>
      </w:r>
      <w:r w:rsidR="00AB671B" w:rsidRPr="005204E6">
        <w:rPr>
          <w:rFonts w:ascii="Arial" w:hAnsi="Arial" w:cs="Arial"/>
        </w:rPr>
        <w:t xml:space="preserve"> omówiono wpływ zmian klimatycznych na występowanie szkodników w kontekście pojawu nowych gatunków szkodliwych. Podczas trzeciego szkolenia omówiono nowe wyzwania w doborze fungicydów i insektycydów ze szczególnym uwzględnieniem ochrony zapylaczy. Łącznie we wszystkich spotkaniach uczestniczyły </w:t>
      </w:r>
      <w:r w:rsidR="00AB671B" w:rsidRPr="00DA0C17">
        <w:rPr>
          <w:rFonts w:ascii="Arial" w:hAnsi="Arial" w:cs="Arial"/>
          <w:i/>
          <w:iCs/>
        </w:rPr>
        <w:t>2</w:t>
      </w:r>
      <w:r w:rsidR="00DA0C17">
        <w:rPr>
          <w:rFonts w:ascii="Arial" w:hAnsi="Arial" w:cs="Arial"/>
          <w:i/>
          <w:iCs/>
        </w:rPr>
        <w:t> </w:t>
      </w:r>
      <w:r w:rsidR="00AB671B" w:rsidRPr="00DA0C17">
        <w:rPr>
          <w:rFonts w:ascii="Arial" w:hAnsi="Arial" w:cs="Arial"/>
          <w:i/>
          <w:iCs/>
        </w:rPr>
        <w:t>3</w:t>
      </w:r>
      <w:r w:rsidR="00AB671B" w:rsidRPr="005204E6">
        <w:rPr>
          <w:rFonts w:ascii="Arial" w:hAnsi="Arial" w:cs="Arial"/>
        </w:rPr>
        <w:t>33 osoby. Byli to przede wszystkim pracownicy: Centrum Doradztwa Rolniczego i ośrodków doradztwa rolniczego (805), Państwowej Inspekcji Ochrony Roślin i Nasiennictwa (768), 18 uczelni wyższych i 6 instytutów naukowo-badawczych (218), Centralnego Ośrodka Badania Odmian Roślin Uprawnych (101), spółek hodowlano-nasiennych (92) oraz nauczyciele i uczniowie 25 średnich szkół rolniczych (78). W</w:t>
      </w:r>
      <w:r w:rsidR="00570731">
        <w:rPr>
          <w:rFonts w:ascii="Arial" w:hAnsi="Arial" w:cs="Arial"/>
        </w:rPr>
        <w:t> </w:t>
      </w:r>
      <w:r w:rsidR="00AB671B" w:rsidRPr="005204E6">
        <w:rPr>
          <w:rFonts w:ascii="Arial" w:hAnsi="Arial" w:cs="Arial"/>
        </w:rPr>
        <w:t xml:space="preserve">webinariach wzięli udział również producenci rolni, przedstawiciele firm związanych z ochroną roślin, dystrybutorzy oraz redaktorzy czasopism rolniczych. </w:t>
      </w:r>
    </w:p>
    <w:p w14:paraId="639419D5" w14:textId="4910BF8C" w:rsidR="00A67A70" w:rsidRPr="0051352E" w:rsidRDefault="00A67A70" w:rsidP="00007CA7">
      <w:pPr>
        <w:pStyle w:val="NormalnyWeb"/>
        <w:tabs>
          <w:tab w:val="left" w:pos="284"/>
        </w:tabs>
        <w:spacing w:beforeAutospacing="0" w:after="120" w:afterAutospacing="0" w:line="360" w:lineRule="auto"/>
        <w:ind w:firstLine="284"/>
        <w:jc w:val="both"/>
        <w:rPr>
          <w:rFonts w:ascii="Arial" w:hAnsi="Arial" w:cs="Arial"/>
        </w:rPr>
      </w:pPr>
      <w:r w:rsidRPr="0051352E">
        <w:rPr>
          <w:rFonts w:ascii="Arial" w:hAnsi="Arial" w:cs="Arial"/>
        </w:rPr>
        <w:t>Instytut Ochrony Roślin – PIB w 2022 r. prowadził również zajęcia dydaktyczne dla uczniów szkół i</w:t>
      </w:r>
      <w:r w:rsidR="00562F37">
        <w:rPr>
          <w:rFonts w:ascii="Arial" w:hAnsi="Arial" w:cs="Arial"/>
        </w:rPr>
        <w:t> </w:t>
      </w:r>
      <w:r w:rsidRPr="0051352E">
        <w:rPr>
          <w:rFonts w:ascii="Arial" w:hAnsi="Arial" w:cs="Arial"/>
        </w:rPr>
        <w:t xml:space="preserve">studentów uczelni rolniczych. </w:t>
      </w:r>
      <w:r w:rsidR="00562F37">
        <w:rPr>
          <w:rFonts w:ascii="Arial" w:hAnsi="Arial" w:cs="Arial"/>
        </w:rPr>
        <w:t>Z</w:t>
      </w:r>
      <w:r w:rsidRPr="0051352E">
        <w:rPr>
          <w:rFonts w:ascii="Arial" w:hAnsi="Arial" w:cs="Arial"/>
        </w:rPr>
        <w:t xml:space="preserve">organizowano warsztaty dla studentów kierunków przyrodniczych pt. ,,Nowoczesne techniki do diagnostyki wirusów roślin” (29–30.09.2022 r.). </w:t>
      </w:r>
      <w:r w:rsidR="0013641B">
        <w:rPr>
          <w:rFonts w:ascii="Arial" w:hAnsi="Arial" w:cs="Arial"/>
        </w:rPr>
        <w:t>Z</w:t>
      </w:r>
      <w:r w:rsidRPr="0051352E">
        <w:rPr>
          <w:rFonts w:ascii="Arial" w:hAnsi="Arial" w:cs="Arial"/>
        </w:rPr>
        <w:t xml:space="preserve">organizowano </w:t>
      </w:r>
      <w:r w:rsidR="0013641B">
        <w:rPr>
          <w:rFonts w:ascii="Arial" w:hAnsi="Arial" w:cs="Arial"/>
        </w:rPr>
        <w:t xml:space="preserve">także </w:t>
      </w:r>
      <w:r w:rsidRPr="0051352E">
        <w:rPr>
          <w:rFonts w:ascii="Arial" w:hAnsi="Arial" w:cs="Arial"/>
        </w:rPr>
        <w:t xml:space="preserve">wizyty </w:t>
      </w:r>
      <w:r w:rsidR="0013641B">
        <w:rPr>
          <w:rFonts w:ascii="Arial" w:hAnsi="Arial" w:cs="Arial"/>
        </w:rPr>
        <w:t xml:space="preserve">dla </w:t>
      </w:r>
      <w:r w:rsidRPr="0051352E">
        <w:rPr>
          <w:rFonts w:ascii="Arial" w:hAnsi="Arial" w:cs="Arial"/>
        </w:rPr>
        <w:t xml:space="preserve">uczniów szkół podstawowych i średnich, które były doskonałą okazją, aby przekazać wiedzę dotyczącą wybranych zagadnień związanych z ochroną roślin. Podczas spotkań uczestnicy mieli okazję porównania roślin zdrowych i chorych, zobaczenia kultur grzybów i bakterii oraz poznania wielu gatunków owadów, pajęczaków i ślimaków. Starsi uczniowie wysłuchali wykładów, zwiedzili laboratorium badania pozostałości środków ochrony roślin, szklarnie oraz Centrum Badania </w:t>
      </w:r>
      <w:r w:rsidRPr="0051352E">
        <w:rPr>
          <w:rFonts w:ascii="Arial" w:hAnsi="Arial" w:cs="Arial"/>
        </w:rPr>
        <w:lastRenderedPageBreak/>
        <w:t>Organizmów Kwarantannowych i Genetycznie Zmodyfikowanych.</w:t>
      </w:r>
    </w:p>
    <w:p w14:paraId="06562AFC" w14:textId="4D12AF2F" w:rsidR="00A5448A" w:rsidRPr="005204E6" w:rsidRDefault="00A67A70" w:rsidP="00007CA7">
      <w:pPr>
        <w:pStyle w:val="NormalnyWeb"/>
        <w:tabs>
          <w:tab w:val="left" w:pos="284"/>
        </w:tabs>
        <w:spacing w:beforeAutospacing="0" w:after="120" w:afterAutospacing="0" w:line="360" w:lineRule="auto"/>
        <w:ind w:firstLine="284"/>
        <w:jc w:val="both"/>
        <w:rPr>
          <w:rFonts w:ascii="Arial" w:hAnsi="Arial" w:cs="Arial"/>
        </w:rPr>
      </w:pPr>
      <w:r w:rsidRPr="00007CA7">
        <w:rPr>
          <w:rFonts w:ascii="Arial" w:hAnsi="Arial" w:cs="Arial"/>
        </w:rPr>
        <w:t>Dla młodzieży ze szkół średnich kształcących w kierunkach rolniczych przygotowano konkurs pt. „Rolnictwo ekologiczne – twoje pole do popisu”</w:t>
      </w:r>
      <w:r w:rsidR="00E0493F" w:rsidRPr="00007CA7">
        <w:rPr>
          <w:rFonts w:ascii="Arial" w:hAnsi="Arial" w:cs="Arial"/>
        </w:rPr>
        <w:t>.</w:t>
      </w:r>
      <w:r w:rsidRPr="00007CA7">
        <w:rPr>
          <w:rFonts w:ascii="Arial" w:hAnsi="Arial" w:cs="Arial"/>
        </w:rPr>
        <w:t xml:space="preserve"> Wydarzenie miało na celu przygotowanie plakatu dotyczącego rolnictwa ekologicznego aby wzbudzić wśród młodzieży zainteresowanie tym tematem. </w:t>
      </w:r>
    </w:p>
    <w:p w14:paraId="54255F83" w14:textId="28EB40EB" w:rsidR="007335D7"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bookmarkStart w:id="63" w:name="_Hlk90556575"/>
      <w:r w:rsidRPr="00925BCD">
        <w:rPr>
          <w:rFonts w:ascii="Arial" w:hAnsi="Arial" w:cs="Arial"/>
          <w:b/>
        </w:rPr>
        <w:t>Instytut Ochrony Roślin – PIB</w:t>
      </w:r>
      <w:r w:rsidRPr="00925BCD">
        <w:rPr>
          <w:rFonts w:ascii="Arial" w:hAnsi="Arial" w:cs="Arial"/>
        </w:rPr>
        <w:t xml:space="preserve"> </w:t>
      </w:r>
      <w:bookmarkEnd w:id="63"/>
      <w:r w:rsidRPr="00925BCD">
        <w:rPr>
          <w:rFonts w:ascii="Arial" w:hAnsi="Arial" w:cs="Arial"/>
          <w:color w:val="000000"/>
        </w:rPr>
        <w:t xml:space="preserve">upowszechniał wiedzę z zakresu </w:t>
      </w:r>
      <w:r w:rsidRPr="00925BCD">
        <w:rPr>
          <w:rFonts w:ascii="Arial" w:hAnsi="Arial" w:cs="Arial"/>
        </w:rPr>
        <w:t xml:space="preserve">integrowanej ochrony roślin również podczas spotkań i wydarzeń poświęconych rolnictwu, podczas których </w:t>
      </w:r>
      <w:r w:rsidR="00CE064D" w:rsidRPr="00925BCD">
        <w:rPr>
          <w:rFonts w:ascii="Arial" w:hAnsi="Arial" w:cs="Arial"/>
        </w:rPr>
        <w:t>przekazywał</w:t>
      </w:r>
      <w:r w:rsidRPr="00925BCD">
        <w:rPr>
          <w:rFonts w:ascii="Arial" w:hAnsi="Arial" w:cs="Arial"/>
        </w:rPr>
        <w:t xml:space="preserve"> zainteresowanym ulotki, plakaty jak również inne materiały informacyjne. </w:t>
      </w:r>
      <w:r w:rsidR="00E0318F" w:rsidRPr="00925BCD">
        <w:rPr>
          <w:rFonts w:ascii="Arial" w:hAnsi="Arial" w:cs="Arial"/>
          <w:b/>
        </w:rPr>
        <w:t>W 2018</w:t>
      </w:r>
      <w:r w:rsidR="00E0318F">
        <w:rPr>
          <w:rFonts w:ascii="Arial" w:hAnsi="Arial" w:cs="Arial"/>
          <w:b/>
        </w:rPr>
        <w:t xml:space="preserve"> </w:t>
      </w:r>
      <w:r w:rsidR="00E0318F" w:rsidRPr="00925BCD">
        <w:rPr>
          <w:rFonts w:ascii="Arial" w:hAnsi="Arial" w:cs="Arial"/>
          <w:b/>
        </w:rPr>
        <w:t xml:space="preserve">r. </w:t>
      </w:r>
      <w:r w:rsidR="00E0318F" w:rsidRPr="00E0318F">
        <w:rPr>
          <w:rFonts w:ascii="Arial" w:hAnsi="Arial" w:cs="Arial"/>
          <w:bCs/>
        </w:rPr>
        <w:t>d</w:t>
      </w:r>
      <w:r w:rsidRPr="00E0318F">
        <w:rPr>
          <w:rFonts w:ascii="Arial" w:hAnsi="Arial" w:cs="Arial"/>
          <w:bCs/>
        </w:rPr>
        <w:t>o</w:t>
      </w:r>
      <w:r w:rsidRPr="00925BCD">
        <w:rPr>
          <w:rFonts w:ascii="Arial" w:hAnsi="Arial" w:cs="Arial"/>
        </w:rPr>
        <w:t xml:space="preserve"> najważniejszych należały</w:t>
      </w:r>
      <w:r w:rsidR="00CE064D" w:rsidRPr="00925BCD">
        <w:rPr>
          <w:rFonts w:ascii="Arial" w:hAnsi="Arial" w:cs="Arial"/>
        </w:rPr>
        <w:t>:</w:t>
      </w:r>
      <w:r w:rsidR="007335D7" w:rsidRPr="00925BCD">
        <w:rPr>
          <w:rFonts w:ascii="Arial" w:hAnsi="Arial" w:cs="Arial"/>
        </w:rPr>
        <w:t xml:space="preserve"> „7 dni z IOR-em” – dni otwarte Instytutu Ochrony Roślin – PIB, Poznań, Sośnicowice, Białystok, Toruń 4–10 czerwca 2018 r.</w:t>
      </w:r>
      <w:r w:rsidR="000C3B88" w:rsidRPr="00925BCD">
        <w:rPr>
          <w:rFonts w:ascii="Arial" w:hAnsi="Arial" w:cs="Arial"/>
        </w:rPr>
        <w:t xml:space="preserve">, </w:t>
      </w:r>
      <w:r w:rsidR="007335D7" w:rsidRPr="00925BCD">
        <w:rPr>
          <w:rFonts w:ascii="Arial" w:hAnsi="Arial" w:cs="Arial"/>
        </w:rPr>
        <w:t>Dni Pola pt.: „Spotkanie z technologią uprawy pszenicy ozimej i rzepaku ozimego”, Winna Góra 8 czerwca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XXIV. Międzynarodowe Targi Techniki Rolnej Agrotech w Kielcach, </w:t>
      </w:r>
      <w:r w:rsidR="007335D7" w:rsidRPr="00925BCD">
        <w:rPr>
          <w:rFonts w:ascii="Arial" w:hAnsi="Arial" w:cs="Arial"/>
        </w:rPr>
        <w:t>16</w:t>
      </w:r>
      <w:r w:rsidR="000C3B88" w:rsidRPr="00925BCD">
        <w:rPr>
          <w:rFonts w:ascii="Arial" w:hAnsi="Arial" w:cs="Arial"/>
        </w:rPr>
        <w:t>-</w:t>
      </w:r>
      <w:r w:rsidR="007335D7" w:rsidRPr="00925BCD">
        <w:rPr>
          <w:rFonts w:ascii="Arial" w:hAnsi="Arial" w:cs="Arial"/>
        </w:rPr>
        <w:t>18 marca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Wojewódzko-Archidiecezjalnych Dożynkach Wielkopolskich w Poznaniu,</w:t>
      </w:r>
      <w:r w:rsidR="007335D7" w:rsidRPr="00925BCD">
        <w:rPr>
          <w:rFonts w:ascii="Arial" w:hAnsi="Arial" w:cs="Arial"/>
        </w:rPr>
        <w:t xml:space="preserve"> 26 sierpnia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Dni Ogrodnika – Targi Międzynarodowe w</w:t>
      </w:r>
      <w:r w:rsidR="0081721A">
        <w:rPr>
          <w:rFonts w:ascii="Arial" w:hAnsi="Arial" w:cs="Arial"/>
        </w:rPr>
        <w:t> </w:t>
      </w:r>
      <w:r w:rsidR="000C3B88" w:rsidRPr="00925BCD">
        <w:rPr>
          <w:rFonts w:ascii="Arial" w:hAnsi="Arial" w:cs="Arial"/>
        </w:rPr>
        <w:t>Gołuchowie koło Kalisza,</w:t>
      </w:r>
      <w:r w:rsidR="007335D7" w:rsidRPr="00925BCD">
        <w:rPr>
          <w:rFonts w:ascii="Arial" w:hAnsi="Arial" w:cs="Arial"/>
        </w:rPr>
        <w:t xml:space="preserve"> 14 i 15 września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Narodowa Wystawa Rolnicza na terenie Międzynarodowych Targów Poznańskich w Poznaniu, </w:t>
      </w:r>
      <w:r w:rsidR="007335D7" w:rsidRPr="00925BCD">
        <w:rPr>
          <w:rFonts w:ascii="Arial" w:hAnsi="Arial" w:cs="Arial"/>
        </w:rPr>
        <w:t xml:space="preserve">30 listopada ‒ 2 grudnia 2018 r. </w:t>
      </w:r>
    </w:p>
    <w:p w14:paraId="38CE0D57" w14:textId="0A6B3509" w:rsidR="00056846" w:rsidRDefault="007335D7"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Pr="00D8548F">
        <w:rPr>
          <w:rFonts w:ascii="Arial" w:hAnsi="Arial" w:cs="Arial"/>
          <w:bCs/>
        </w:rPr>
        <w:t xml:space="preserve">Instytut </w:t>
      </w:r>
      <w:r w:rsidR="000C3B88" w:rsidRPr="00925BCD">
        <w:rPr>
          <w:rFonts w:ascii="Arial" w:hAnsi="Arial" w:cs="Arial"/>
        </w:rPr>
        <w:t xml:space="preserve">kontynuował zdanie i </w:t>
      </w:r>
      <w:r w:rsidRPr="00925BCD">
        <w:rPr>
          <w:rFonts w:ascii="Arial" w:hAnsi="Arial" w:cs="Arial"/>
        </w:rPr>
        <w:t xml:space="preserve">upowszechniał wiedzę z zakresu integrowanej ochrony roślin podczas spotkań i wydarzeń poświęconych rolnictwu, podczas których przekazywał zainteresowanym ulotki, plakaty jak również inne materiały informacyjne. Do najważniejszych należały: </w:t>
      </w:r>
      <w:r w:rsidR="00E54725" w:rsidRPr="00925BCD">
        <w:rPr>
          <w:rFonts w:ascii="Arial" w:hAnsi="Arial" w:cs="Arial"/>
        </w:rPr>
        <w:t>Centralne Targi Rolnicze w Nadarzynie, 1‒3 lutego 2019 r., Europejskie Forum Rolnicze w Jasionce, 1‒2 marca 2019</w:t>
      </w:r>
      <w:r w:rsidR="000F4B47" w:rsidRPr="00925BCD">
        <w:rPr>
          <w:rFonts w:ascii="Arial" w:hAnsi="Arial" w:cs="Arial"/>
        </w:rPr>
        <w:t> </w:t>
      </w:r>
      <w:r w:rsidR="00E54725" w:rsidRPr="00925BCD">
        <w:rPr>
          <w:rFonts w:ascii="Arial" w:hAnsi="Arial" w:cs="Arial"/>
        </w:rPr>
        <w:t>r., XXV Międzynarodowe Targi Techniki Rolnej Agrotech w Kielcach, 15‒17 marca 2019 r., XVII Dni Pola Krajowej Spółki Cukrowej S.A., 27 czerwca 2019 r.</w:t>
      </w:r>
      <w:r w:rsidR="000F4B47" w:rsidRPr="00925BCD">
        <w:rPr>
          <w:rFonts w:ascii="Arial" w:hAnsi="Arial" w:cs="Arial"/>
        </w:rPr>
        <w:t>,</w:t>
      </w:r>
      <w:r w:rsidR="00E54725" w:rsidRPr="00925BCD">
        <w:rPr>
          <w:rFonts w:ascii="Arial" w:hAnsi="Arial" w:cs="Arial"/>
        </w:rPr>
        <w:t xml:space="preserve"> Dni Otwartych Drzwi w PODR w Boguchwale, 29‒30 czerwca 2019 r.</w:t>
      </w:r>
      <w:r w:rsidR="000F4B47" w:rsidRPr="00925BCD">
        <w:rPr>
          <w:rFonts w:ascii="Arial" w:hAnsi="Arial" w:cs="Arial"/>
        </w:rPr>
        <w:t>,</w:t>
      </w:r>
      <w:r w:rsidR="00E54725" w:rsidRPr="00925BCD">
        <w:rPr>
          <w:rFonts w:ascii="Arial" w:hAnsi="Arial" w:cs="Arial"/>
        </w:rPr>
        <w:t xml:space="preserve"> XXI Wojewódzko-Archidiecezjalne Dożynki Wielkopolskie, 25</w:t>
      </w:r>
      <w:r w:rsidR="00CA7701" w:rsidRPr="00925BCD">
        <w:rPr>
          <w:rFonts w:ascii="Arial" w:hAnsi="Arial" w:cs="Arial"/>
        </w:rPr>
        <w:t> </w:t>
      </w:r>
      <w:r w:rsidR="00E54725" w:rsidRPr="00925BCD">
        <w:rPr>
          <w:rFonts w:ascii="Arial" w:hAnsi="Arial" w:cs="Arial"/>
        </w:rPr>
        <w:t>sierpnia 2019</w:t>
      </w:r>
      <w:r w:rsidR="003E2012">
        <w:rPr>
          <w:rFonts w:ascii="Arial" w:hAnsi="Arial" w:cs="Arial"/>
        </w:rPr>
        <w:t> </w:t>
      </w:r>
      <w:r w:rsidR="00E54725" w:rsidRPr="00925BCD">
        <w:rPr>
          <w:rFonts w:ascii="Arial" w:hAnsi="Arial" w:cs="Arial"/>
        </w:rPr>
        <w:t>r.</w:t>
      </w:r>
      <w:r w:rsidR="000F4B47" w:rsidRPr="00925BCD">
        <w:rPr>
          <w:rFonts w:ascii="Arial" w:hAnsi="Arial" w:cs="Arial"/>
        </w:rPr>
        <w:t xml:space="preserve">, </w:t>
      </w:r>
      <w:r w:rsidR="00E54725" w:rsidRPr="00925BCD">
        <w:rPr>
          <w:rFonts w:ascii="Arial" w:hAnsi="Arial" w:cs="Arial"/>
        </w:rPr>
        <w:t>XXVIII Krajowa Wystawa Rolnicza w Częstochowie ‒ Dożynki Ogólnopolskie, 31</w:t>
      </w:r>
      <w:r w:rsidR="00CA7701" w:rsidRPr="00925BCD">
        <w:rPr>
          <w:rFonts w:ascii="Arial" w:hAnsi="Arial" w:cs="Arial"/>
        </w:rPr>
        <w:t> </w:t>
      </w:r>
      <w:r w:rsidR="00E54725" w:rsidRPr="00925BCD">
        <w:rPr>
          <w:rFonts w:ascii="Arial" w:hAnsi="Arial" w:cs="Arial"/>
        </w:rPr>
        <w:t>sierpnia – 1 września 2019 r.</w:t>
      </w:r>
      <w:r w:rsidR="000F4B47" w:rsidRPr="00925BCD">
        <w:rPr>
          <w:rFonts w:ascii="Arial" w:hAnsi="Arial" w:cs="Arial"/>
        </w:rPr>
        <w:t>,</w:t>
      </w:r>
      <w:r w:rsidR="00E54725" w:rsidRPr="00925BCD">
        <w:rPr>
          <w:rFonts w:ascii="Arial" w:hAnsi="Arial" w:cs="Arial"/>
        </w:rPr>
        <w:t xml:space="preserve"> Targi Polagra Food, 31 września – 1 październik 2019 r.</w:t>
      </w:r>
    </w:p>
    <w:p w14:paraId="5F9FF6DE" w14:textId="3AE2F49F" w:rsidR="000C04FF" w:rsidRDefault="000C04FF" w:rsidP="009D21DC">
      <w:pPr>
        <w:pStyle w:val="NormalnyWeb"/>
        <w:tabs>
          <w:tab w:val="left" w:pos="284"/>
        </w:tabs>
        <w:spacing w:beforeAutospacing="0" w:after="120" w:afterAutospacing="0" w:line="360" w:lineRule="auto"/>
        <w:ind w:firstLine="284"/>
        <w:jc w:val="both"/>
        <w:rPr>
          <w:rFonts w:ascii="Arial" w:hAnsi="Arial" w:cs="Arial"/>
        </w:rPr>
      </w:pPr>
      <w:bookmarkStart w:id="64" w:name="_Hlk123034718"/>
      <w:r w:rsidRPr="009D21DC">
        <w:rPr>
          <w:rFonts w:ascii="Arial" w:hAnsi="Arial" w:cs="Arial"/>
          <w:b/>
          <w:bCs/>
        </w:rPr>
        <w:t>W 2020 r.</w:t>
      </w:r>
      <w:r w:rsidRPr="00E0318F">
        <w:rPr>
          <w:rFonts w:ascii="Arial" w:hAnsi="Arial" w:cs="Arial"/>
        </w:rPr>
        <w:t xml:space="preserve"> </w:t>
      </w:r>
      <w:bookmarkEnd w:id="64"/>
      <w:r w:rsidRPr="00E0318F">
        <w:rPr>
          <w:rFonts w:ascii="Arial" w:hAnsi="Arial" w:cs="Arial"/>
        </w:rPr>
        <w:t>były to m.in. XXIX Krajowa Wystawa Rolnicza w Częstochowie, Dni Pola w Boguchwale czy Wystawa Ogrodniczo-Pszczelarska w Barzkowicach. Ze względu na sytuację epidemiologiczną w</w:t>
      </w:r>
      <w:r w:rsidR="002F734A">
        <w:rPr>
          <w:rFonts w:ascii="Arial" w:hAnsi="Arial" w:cs="Arial"/>
        </w:rPr>
        <w:t> </w:t>
      </w:r>
      <w:r w:rsidRPr="00E0318F">
        <w:rPr>
          <w:rFonts w:ascii="Arial" w:hAnsi="Arial" w:cs="Arial"/>
        </w:rPr>
        <w:t xml:space="preserve">2020 r. zwiększono publikowanie i udostępnianie w prasie rolniczej, stacjach radiowych oraz mediach społecznościowych materiałów: ulotek, plakatów, treści broszur dotyczących ograniczania przekroczeń norm pozostałości środków ochrony roślin w żywności oraz ochrony zapylaczy. </w:t>
      </w:r>
    </w:p>
    <w:p w14:paraId="5811CE31" w14:textId="3309EAD1" w:rsidR="00EB0D9F" w:rsidRDefault="00841163" w:rsidP="00EB0D9F">
      <w:pPr>
        <w:pStyle w:val="NormalnyWeb"/>
        <w:tabs>
          <w:tab w:val="left" w:pos="284"/>
        </w:tabs>
        <w:spacing w:beforeAutospacing="0" w:after="120" w:afterAutospacing="0" w:line="360" w:lineRule="auto"/>
        <w:ind w:firstLine="284"/>
        <w:jc w:val="both"/>
        <w:rPr>
          <w:rFonts w:ascii="Arial" w:hAnsi="Arial" w:cs="Arial"/>
        </w:rPr>
      </w:pPr>
      <w:r w:rsidRPr="009D21DC">
        <w:rPr>
          <w:rFonts w:ascii="Arial" w:hAnsi="Arial" w:cs="Arial"/>
          <w:b/>
          <w:bCs/>
        </w:rPr>
        <w:t xml:space="preserve">W </w:t>
      </w:r>
      <w:r w:rsidR="00997E5B" w:rsidRPr="009D21DC">
        <w:rPr>
          <w:rFonts w:ascii="Arial" w:hAnsi="Arial" w:cs="Arial"/>
          <w:b/>
          <w:bCs/>
        </w:rPr>
        <w:t>2021</w:t>
      </w:r>
      <w:r w:rsidR="00997E5B">
        <w:rPr>
          <w:rFonts w:ascii="Arial" w:hAnsi="Arial" w:cs="Arial"/>
          <w:b/>
          <w:bCs/>
        </w:rPr>
        <w:t> </w:t>
      </w:r>
      <w:r w:rsidRPr="009D21DC">
        <w:rPr>
          <w:rFonts w:ascii="Arial" w:hAnsi="Arial" w:cs="Arial"/>
          <w:b/>
          <w:bCs/>
        </w:rPr>
        <w:t>r.</w:t>
      </w:r>
      <w:r w:rsidR="009D21DC">
        <w:rPr>
          <w:rFonts w:ascii="Arial" w:hAnsi="Arial" w:cs="Arial"/>
          <w:b/>
          <w:bCs/>
        </w:rPr>
        <w:t xml:space="preserve"> </w:t>
      </w:r>
      <w:r w:rsidR="009D21DC">
        <w:rPr>
          <w:rFonts w:ascii="Arial" w:hAnsi="Arial" w:cs="Arial"/>
        </w:rPr>
        <w:t>w ramach</w:t>
      </w:r>
      <w:r w:rsidR="009D21DC" w:rsidRPr="00925BCD">
        <w:rPr>
          <w:rFonts w:ascii="Arial" w:hAnsi="Arial" w:cs="Arial"/>
        </w:rPr>
        <w:t xml:space="preserve"> upowszechnia</w:t>
      </w:r>
      <w:r w:rsidR="009D21DC">
        <w:rPr>
          <w:rFonts w:ascii="Arial" w:hAnsi="Arial" w:cs="Arial"/>
        </w:rPr>
        <w:t xml:space="preserve">nia </w:t>
      </w:r>
      <w:r w:rsidR="009D21DC" w:rsidRPr="00925BCD">
        <w:rPr>
          <w:rFonts w:ascii="Arial" w:hAnsi="Arial" w:cs="Arial"/>
        </w:rPr>
        <w:t>wiedz</w:t>
      </w:r>
      <w:r w:rsidR="009D21DC">
        <w:rPr>
          <w:rFonts w:ascii="Arial" w:hAnsi="Arial" w:cs="Arial"/>
        </w:rPr>
        <w:t>y</w:t>
      </w:r>
      <w:r w:rsidR="009D21DC" w:rsidRPr="00925BCD">
        <w:rPr>
          <w:rFonts w:ascii="Arial" w:hAnsi="Arial" w:cs="Arial"/>
        </w:rPr>
        <w:t xml:space="preserve"> z zakresu integrowanej ochrony roślin</w:t>
      </w:r>
      <w:r w:rsidR="00FD164C">
        <w:rPr>
          <w:rFonts w:ascii="Arial" w:hAnsi="Arial" w:cs="Arial"/>
        </w:rPr>
        <w:t xml:space="preserve"> </w:t>
      </w:r>
      <w:r w:rsidR="00FD164C" w:rsidRPr="00FD164C">
        <w:rPr>
          <w:rFonts w:ascii="Arial" w:hAnsi="Arial" w:cs="Arial"/>
        </w:rPr>
        <w:t>Instytut Ochrony Roślin – PIB</w:t>
      </w:r>
      <w:r w:rsidR="00EB0D9F">
        <w:rPr>
          <w:rFonts w:ascii="Arial" w:hAnsi="Arial" w:cs="Arial"/>
        </w:rPr>
        <w:t xml:space="preserve"> </w:t>
      </w:r>
      <w:r w:rsidR="007531CD">
        <w:rPr>
          <w:rFonts w:ascii="Arial" w:hAnsi="Arial" w:cs="Arial"/>
        </w:rPr>
        <w:t xml:space="preserve">udzielił </w:t>
      </w:r>
      <w:r w:rsidR="00EB0D9F" w:rsidRPr="00EB0D9F">
        <w:rPr>
          <w:rFonts w:ascii="Arial" w:hAnsi="Arial" w:cs="Arial"/>
        </w:rPr>
        <w:t xml:space="preserve">wywiadu radiowego „Innowacyjna Platforma Sygnalizacji Agrofagów”, Radio Poznań, 18.05.2021, </w:t>
      </w:r>
      <w:hyperlink r:id="rId22" w:history="1">
        <w:r w:rsidR="00C922F5" w:rsidRPr="00D62A13">
          <w:rPr>
            <w:rStyle w:val="Hipercze"/>
            <w:rFonts w:ascii="Arial" w:hAnsi="Arial" w:cs="Arial"/>
          </w:rPr>
          <w:t>https://radiopoznan.fm/audycja/berwinskiego-5/berwinskiego-5-profesor-dr-hab-anna-tratwal</w:t>
        </w:r>
      </w:hyperlink>
      <w:r w:rsidR="00EB0D9F" w:rsidRPr="00EB0D9F">
        <w:rPr>
          <w:rFonts w:ascii="Arial" w:hAnsi="Arial" w:cs="Arial"/>
        </w:rPr>
        <w:t>,</w:t>
      </w:r>
      <w:r w:rsidR="00C922F5">
        <w:rPr>
          <w:rFonts w:ascii="Arial" w:hAnsi="Arial" w:cs="Arial"/>
        </w:rPr>
        <w:t xml:space="preserve"> </w:t>
      </w:r>
      <w:r w:rsidR="00D97C44">
        <w:rPr>
          <w:rFonts w:ascii="Arial" w:hAnsi="Arial" w:cs="Arial"/>
        </w:rPr>
        <w:t xml:space="preserve">oraz </w:t>
      </w:r>
      <w:r w:rsidR="00ED17AC" w:rsidRPr="00ED17AC">
        <w:rPr>
          <w:rFonts w:ascii="Arial" w:hAnsi="Arial" w:cs="Arial"/>
        </w:rPr>
        <w:t xml:space="preserve">przekazywał zainteresowanym ulotki, plakaty jak również inne materiały informacyjne </w:t>
      </w:r>
      <w:r w:rsidR="00ED17AC">
        <w:rPr>
          <w:rFonts w:ascii="Arial" w:hAnsi="Arial" w:cs="Arial"/>
        </w:rPr>
        <w:t xml:space="preserve">podczas </w:t>
      </w:r>
      <w:r w:rsidR="00EB0D9F" w:rsidRPr="00EB0D9F">
        <w:rPr>
          <w:rFonts w:ascii="Arial" w:hAnsi="Arial" w:cs="Arial"/>
        </w:rPr>
        <w:t>Dnia Pola w Polowej Stacji Doświadczalnej IOR – PIB w Winnej Górze, 01.06.2021</w:t>
      </w:r>
      <w:r w:rsidR="00394EC7">
        <w:rPr>
          <w:rFonts w:ascii="Arial" w:hAnsi="Arial" w:cs="Arial"/>
        </w:rPr>
        <w:t xml:space="preserve"> oraz </w:t>
      </w:r>
      <w:r w:rsidR="00EB0D9F" w:rsidRPr="00EB0D9F">
        <w:rPr>
          <w:rFonts w:ascii="Arial" w:hAnsi="Arial" w:cs="Arial"/>
        </w:rPr>
        <w:t>Krajowych Dniach Pola w Minikowie, 19-29.-6.2021.</w:t>
      </w:r>
    </w:p>
    <w:p w14:paraId="39852A80" w14:textId="19601D31" w:rsidR="00D910C2" w:rsidRPr="00EB0D9F" w:rsidRDefault="004E62A0" w:rsidP="00EB0D9F">
      <w:pPr>
        <w:pStyle w:val="NormalnyWeb"/>
        <w:tabs>
          <w:tab w:val="left" w:pos="284"/>
        </w:tabs>
        <w:spacing w:beforeAutospacing="0" w:after="120" w:afterAutospacing="0" w:line="360" w:lineRule="auto"/>
        <w:ind w:firstLine="284"/>
        <w:jc w:val="both"/>
        <w:rPr>
          <w:rFonts w:ascii="Arial" w:hAnsi="Arial" w:cs="Arial"/>
        </w:rPr>
      </w:pPr>
      <w:r w:rsidRPr="004E62A0">
        <w:rPr>
          <w:rFonts w:ascii="Arial" w:hAnsi="Arial" w:cs="Arial"/>
          <w:b/>
          <w:bCs/>
        </w:rPr>
        <w:t>W 2022 r.</w:t>
      </w:r>
      <w:r>
        <w:rPr>
          <w:rFonts w:ascii="Arial" w:hAnsi="Arial" w:cs="Arial"/>
        </w:rPr>
        <w:t xml:space="preserve"> </w:t>
      </w:r>
      <w:r w:rsidR="00E66A79" w:rsidRPr="00E66A79">
        <w:rPr>
          <w:rFonts w:ascii="Arial" w:hAnsi="Arial" w:cs="Arial"/>
        </w:rPr>
        <w:t>Instytut Ochrony Roślin – PIB zorganizował Konferencję Ochrony Roślin – 62. Sesję Naukową IOR – PIB, w całości poświęconą zagadnieniom ochrony roślin. W wydarzeniu, odbywającym się w formie zdalnej, uczestniczyło 813 osób reprezentujących 136 instytucj</w:t>
      </w:r>
      <w:r w:rsidR="00101105">
        <w:rPr>
          <w:rFonts w:ascii="Arial" w:hAnsi="Arial" w:cs="Arial"/>
        </w:rPr>
        <w:t>i.</w:t>
      </w:r>
      <w:r w:rsidR="00EA048D">
        <w:rPr>
          <w:rFonts w:ascii="Arial" w:hAnsi="Arial" w:cs="Arial"/>
        </w:rPr>
        <w:t xml:space="preserve"> I</w:t>
      </w:r>
      <w:r w:rsidR="0043561A" w:rsidRPr="0043561A">
        <w:rPr>
          <w:rFonts w:ascii="Arial" w:hAnsi="Arial" w:cs="Arial"/>
        </w:rPr>
        <w:t xml:space="preserve">nstytut upowszechniał wiedzę z zakresu integrowanej ochrony roślin również podczas spotkań i wydarzeń poświęconych </w:t>
      </w:r>
      <w:r w:rsidR="0043561A" w:rsidRPr="0043561A">
        <w:rPr>
          <w:rFonts w:ascii="Arial" w:hAnsi="Arial" w:cs="Arial"/>
        </w:rPr>
        <w:lastRenderedPageBreak/>
        <w:t>rolnictwu</w:t>
      </w:r>
      <w:r w:rsidR="009A52A2">
        <w:rPr>
          <w:rFonts w:ascii="Arial" w:hAnsi="Arial" w:cs="Arial"/>
        </w:rPr>
        <w:t xml:space="preserve">. </w:t>
      </w:r>
      <w:r w:rsidR="0043561A" w:rsidRPr="0043561A">
        <w:rPr>
          <w:rFonts w:ascii="Arial" w:hAnsi="Arial" w:cs="Arial"/>
        </w:rPr>
        <w:t>Były to m.in.: III Krajowe Dni Pola w Płońsku (11–13 czerwca 2022 r.), II Warmińsko-Mazurskie Dni Pola (27 czerwca–1 lipca 2022 r.), Ogólnopolskie Dożynki i XXXI. Krajowa Wystawa Rolnicza w Częstochowie (3–4 września 2022 r.), XXI Dni Ogrodnika – Targi Międzynarodowe (10–11 września 2022 r.).</w:t>
      </w:r>
      <w:r w:rsidR="0043561A">
        <w:rPr>
          <w:rFonts w:ascii="Arial" w:hAnsi="Arial" w:cs="Arial"/>
        </w:rPr>
        <w:t xml:space="preserve"> </w:t>
      </w:r>
    </w:p>
    <w:p w14:paraId="53E299E5"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w zakresie upowszechniania wiedzy z zakresu integrowanej ochrony roślin prowadzone były również przez </w:t>
      </w:r>
      <w:r w:rsidRPr="00925BCD">
        <w:rPr>
          <w:rFonts w:ascii="Arial" w:hAnsi="Arial" w:cs="Arial"/>
          <w:b/>
        </w:rPr>
        <w:t>Centrum Doradztwa Rolniczego</w:t>
      </w:r>
      <w:r w:rsidRPr="00925BCD">
        <w:rPr>
          <w:rFonts w:ascii="Arial" w:hAnsi="Arial" w:cs="Arial"/>
        </w:rPr>
        <w:t xml:space="preserve">. </w:t>
      </w:r>
      <w:r w:rsidRPr="0069021B">
        <w:rPr>
          <w:rFonts w:ascii="Arial" w:hAnsi="Arial" w:cs="Arial"/>
          <w:b/>
          <w:bCs/>
        </w:rPr>
        <w:t>W 2018 r.</w:t>
      </w:r>
      <w:r w:rsidRPr="00925BCD">
        <w:rPr>
          <w:rFonts w:ascii="Arial" w:hAnsi="Arial" w:cs="Arial"/>
        </w:rPr>
        <w:t xml:space="preserve"> zorganizowano dla pracowników jednostek doradztwa rolniczego, izb rolniczych oraz nauczycieli szkól rolniczych szkolenia, w których uczestniczyły 193 osoby. Tematyka szkoleń obejmowała:</w:t>
      </w:r>
    </w:p>
    <w:p w14:paraId="3736D77C"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Bezpieczne stosowanie środków ochrony roślin w celu ochrony wody przed zanieczyszczeniem w świetle obowiązujących przepisów i zgodnie z zasadami Dobrej Praktyki,</w:t>
      </w:r>
    </w:p>
    <w:p w14:paraId="4DF57C19" w14:textId="77777777" w:rsidR="00056846" w:rsidRPr="00925BCD" w:rsidRDefault="00E54725"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Rolnictwo precyzyjne w aspekcie stosowania zasad integrowanej ochrony i zrównoważonego nawożenia roślin,</w:t>
      </w:r>
    </w:p>
    <w:p w14:paraId="5DA6B2EE"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Rozpoznawanie agrofagów w uprawach rolniczych.</w:t>
      </w:r>
    </w:p>
    <w:p w14:paraId="5F2B4B38" w14:textId="296214EC" w:rsidR="004F4FF3" w:rsidRPr="00925BCD" w:rsidRDefault="004F4FF3" w:rsidP="004A1341">
      <w:pPr>
        <w:pStyle w:val="NormalnyWeb"/>
        <w:tabs>
          <w:tab w:val="left" w:pos="284"/>
        </w:tabs>
        <w:spacing w:beforeAutospacing="0" w:after="120" w:afterAutospacing="0" w:line="360" w:lineRule="auto"/>
        <w:jc w:val="both"/>
        <w:rPr>
          <w:rFonts w:ascii="Arial" w:hAnsi="Arial" w:cs="Arial"/>
        </w:rPr>
      </w:pPr>
      <w:r w:rsidRPr="005D5A17">
        <w:rPr>
          <w:rFonts w:ascii="Arial" w:hAnsi="Arial" w:cs="Arial"/>
          <w:b/>
          <w:bCs/>
        </w:rPr>
        <w:t>W 2019 r</w:t>
      </w:r>
      <w:r w:rsidR="005702B0" w:rsidRPr="005D5A17">
        <w:rPr>
          <w:rFonts w:ascii="Arial" w:hAnsi="Arial" w:cs="Arial"/>
          <w:b/>
          <w:bCs/>
        </w:rPr>
        <w:t>.</w:t>
      </w:r>
      <w:r w:rsidRPr="00B26309">
        <w:rPr>
          <w:rFonts w:ascii="Arial" w:hAnsi="Arial" w:cs="Arial"/>
        </w:rPr>
        <w:t xml:space="preserve"> Centrum Doradztwa Rolniczego w Brwinowie przeprowadziło cztery szkolenia:</w:t>
      </w:r>
    </w:p>
    <w:p w14:paraId="1AF19FBA"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Rozpoznawanie chorób i szkodników w uprawach sadowniczych, w którym wzięło udział 25</w:t>
      </w:r>
      <w:r w:rsidR="00CA7701" w:rsidRPr="00925BCD">
        <w:rPr>
          <w:rFonts w:ascii="Arial" w:hAnsi="Arial" w:cs="Arial"/>
        </w:rPr>
        <w:t> </w:t>
      </w:r>
      <w:r w:rsidRPr="00925BCD">
        <w:rPr>
          <w:rFonts w:ascii="Arial" w:hAnsi="Arial" w:cs="Arial"/>
        </w:rPr>
        <w:t>osób</w:t>
      </w:r>
      <w:r w:rsidR="005702B0" w:rsidRPr="00925BCD">
        <w:rPr>
          <w:rFonts w:ascii="Arial" w:hAnsi="Arial" w:cs="Arial"/>
        </w:rPr>
        <w:t>,</w:t>
      </w:r>
    </w:p>
    <w:p w14:paraId="42896A21"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Rozpoznawanie agrofagów w uprawach rolniczych, w którym wzięło udział 40 osób</w:t>
      </w:r>
      <w:r w:rsidR="005702B0" w:rsidRPr="00925BCD">
        <w:rPr>
          <w:rFonts w:ascii="Arial" w:hAnsi="Arial" w:cs="Arial"/>
        </w:rPr>
        <w:t>,</w:t>
      </w:r>
    </w:p>
    <w:p w14:paraId="2CB93960"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Integrowana ochrona roślin - nowe rozwiązania, w którym wzięło udział 25 osób</w:t>
      </w:r>
      <w:r w:rsidR="005702B0" w:rsidRPr="00925BCD">
        <w:rPr>
          <w:rFonts w:ascii="Arial" w:hAnsi="Arial" w:cs="Arial"/>
        </w:rPr>
        <w:t>,</w:t>
      </w:r>
    </w:p>
    <w:p w14:paraId="3908855F" w14:textId="77777777" w:rsidR="000E5C3A"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Szkolenie dla specjalistów ds. ochrony roślin z wojewódzkich ośrodków doradztwa rolniczego, w którym wzięło udział 13 osób. Podczas szkolenia omawiano zagadnienia</w:t>
      </w:r>
      <w:r w:rsidR="005702B0" w:rsidRPr="00925BCD">
        <w:rPr>
          <w:rFonts w:ascii="Arial" w:hAnsi="Arial" w:cs="Arial"/>
        </w:rPr>
        <w:t xml:space="preserve"> </w:t>
      </w:r>
      <w:r w:rsidRPr="00925BCD">
        <w:rPr>
          <w:rFonts w:ascii="Arial" w:hAnsi="Arial" w:cs="Arial"/>
        </w:rPr>
        <w:t xml:space="preserve">dotyczące </w:t>
      </w:r>
      <w:r w:rsidR="005702B0" w:rsidRPr="00925BCD">
        <w:rPr>
          <w:rFonts w:ascii="Arial" w:hAnsi="Arial" w:cs="Arial"/>
        </w:rPr>
        <w:t>m. in. p</w:t>
      </w:r>
      <w:r w:rsidRPr="00925BCD">
        <w:rPr>
          <w:rFonts w:ascii="Arial" w:hAnsi="Arial" w:cs="Arial"/>
        </w:rPr>
        <w:t>rzyczyn</w:t>
      </w:r>
      <w:r w:rsidR="005702B0" w:rsidRPr="00925BCD">
        <w:rPr>
          <w:rFonts w:ascii="Arial" w:hAnsi="Arial" w:cs="Arial"/>
        </w:rPr>
        <w:t xml:space="preserve"> </w:t>
      </w:r>
      <w:r w:rsidRPr="00925BCD">
        <w:rPr>
          <w:rFonts w:ascii="Arial" w:hAnsi="Arial" w:cs="Arial"/>
        </w:rPr>
        <w:t>powstawania</w:t>
      </w:r>
      <w:r w:rsidR="005702B0" w:rsidRPr="00925BCD">
        <w:rPr>
          <w:rFonts w:ascii="Arial" w:hAnsi="Arial" w:cs="Arial"/>
        </w:rPr>
        <w:t xml:space="preserve"> </w:t>
      </w:r>
      <w:r w:rsidRPr="00925BCD">
        <w:rPr>
          <w:rFonts w:ascii="Arial" w:hAnsi="Arial" w:cs="Arial"/>
        </w:rPr>
        <w:t>odporności, oraz ogólne procedury przeciwdziałania chwastom odpornym na herbicydy</w:t>
      </w:r>
      <w:r w:rsidR="000E5C3A">
        <w:rPr>
          <w:rFonts w:ascii="Arial" w:hAnsi="Arial" w:cs="Arial"/>
        </w:rPr>
        <w:t>,</w:t>
      </w:r>
    </w:p>
    <w:p w14:paraId="16C6E2DD" w14:textId="321E58BC" w:rsidR="00E330CC" w:rsidRDefault="000E5C3A" w:rsidP="000E5C3A">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natomiast </w:t>
      </w:r>
      <w:r w:rsidRPr="00A65410">
        <w:rPr>
          <w:rFonts w:ascii="Arial" w:hAnsi="Arial" w:cs="Arial"/>
          <w:b/>
          <w:bCs/>
        </w:rPr>
        <w:t>w 202</w:t>
      </w:r>
      <w:r w:rsidR="00C629A7">
        <w:rPr>
          <w:rFonts w:ascii="Arial" w:hAnsi="Arial" w:cs="Arial"/>
          <w:b/>
          <w:bCs/>
        </w:rPr>
        <w:t>0</w:t>
      </w:r>
      <w:r w:rsidR="00E330CC" w:rsidRPr="00A65410">
        <w:rPr>
          <w:rFonts w:ascii="Arial" w:hAnsi="Arial" w:cs="Arial"/>
          <w:b/>
          <w:bCs/>
        </w:rPr>
        <w:t xml:space="preserve"> r.</w:t>
      </w:r>
      <w:r w:rsidR="00E330CC">
        <w:rPr>
          <w:rFonts w:ascii="Arial" w:hAnsi="Arial" w:cs="Arial"/>
        </w:rPr>
        <w:t xml:space="preserve"> dwa:</w:t>
      </w:r>
    </w:p>
    <w:p w14:paraId="49F0D135" w14:textId="67CEA9FD" w:rsidR="00B91AA7" w:rsidRPr="00E83896" w:rsidRDefault="00B91AA7" w:rsidP="00F06EA2">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 xml:space="preserve">Ochrona roślin w gospodarstwie ekologicznym </w:t>
      </w:r>
      <w:r w:rsidR="00F06EA2" w:rsidRPr="00E83896">
        <w:rPr>
          <w:rFonts w:ascii="Arial" w:hAnsi="Arial" w:cs="Arial"/>
        </w:rPr>
        <w:t>(</w:t>
      </w:r>
      <w:r w:rsidRPr="00E83896">
        <w:rPr>
          <w:rFonts w:ascii="Arial" w:hAnsi="Arial" w:cs="Arial"/>
        </w:rPr>
        <w:t>dla 85 osób</w:t>
      </w:r>
      <w:r w:rsidR="00F06EA2" w:rsidRPr="00E83896">
        <w:rPr>
          <w:rFonts w:ascii="Arial" w:hAnsi="Arial" w:cs="Arial"/>
        </w:rPr>
        <w:t>),</w:t>
      </w:r>
      <w:r w:rsidRPr="00E83896">
        <w:rPr>
          <w:rFonts w:ascii="Arial" w:hAnsi="Arial" w:cs="Arial"/>
        </w:rPr>
        <w:t xml:space="preserve"> </w:t>
      </w:r>
    </w:p>
    <w:p w14:paraId="58DAD2FE" w14:textId="0BE9135E" w:rsidR="004F4FF3" w:rsidRPr="00E83896" w:rsidRDefault="00B91AA7" w:rsidP="00F06EA2">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Integrowana Ochrona Roślin (9 szkoleń dla 193 osób) realizowane w ramach projektu ARiMR</w:t>
      </w:r>
      <w:r w:rsidR="00181C94" w:rsidRPr="00E83896">
        <w:rPr>
          <w:rFonts w:ascii="Arial" w:hAnsi="Arial" w:cs="Arial"/>
        </w:rPr>
        <w:t>,</w:t>
      </w:r>
    </w:p>
    <w:p w14:paraId="07077D3B" w14:textId="22456C3B" w:rsidR="000E28C9" w:rsidRPr="00E83896" w:rsidRDefault="008F2AD9" w:rsidP="000E28C9">
      <w:pPr>
        <w:pStyle w:val="NormalnyWeb"/>
        <w:tabs>
          <w:tab w:val="left" w:pos="284"/>
        </w:tabs>
        <w:spacing w:beforeAutospacing="0" w:after="120" w:afterAutospacing="0" w:line="360" w:lineRule="auto"/>
        <w:jc w:val="both"/>
        <w:rPr>
          <w:rFonts w:ascii="Arial" w:hAnsi="Arial" w:cs="Arial"/>
        </w:rPr>
      </w:pPr>
      <w:r w:rsidRPr="00E83896">
        <w:rPr>
          <w:rFonts w:ascii="Arial" w:hAnsi="Arial" w:cs="Arial"/>
        </w:rPr>
        <w:t>i</w:t>
      </w:r>
      <w:r w:rsidR="000E28C9" w:rsidRPr="00E83896">
        <w:rPr>
          <w:rFonts w:ascii="Arial" w:hAnsi="Arial" w:cs="Arial"/>
        </w:rPr>
        <w:t xml:space="preserve"> </w:t>
      </w:r>
      <w:r w:rsidR="000E28C9" w:rsidRPr="00E83896">
        <w:rPr>
          <w:rFonts w:ascii="Arial" w:hAnsi="Arial" w:cs="Arial"/>
          <w:b/>
          <w:bCs/>
        </w:rPr>
        <w:t>w 2021 r.</w:t>
      </w:r>
      <w:r w:rsidR="000E28C9" w:rsidRPr="00E83896">
        <w:rPr>
          <w:rFonts w:ascii="Arial" w:hAnsi="Arial" w:cs="Arial"/>
        </w:rPr>
        <w:t xml:space="preserve"> </w:t>
      </w:r>
      <w:r w:rsidRPr="00E83896">
        <w:rPr>
          <w:rFonts w:ascii="Arial" w:hAnsi="Arial" w:cs="Arial"/>
        </w:rPr>
        <w:t>również dwa</w:t>
      </w:r>
      <w:r w:rsidR="000E28C9" w:rsidRPr="00E83896">
        <w:rPr>
          <w:rFonts w:ascii="Arial" w:hAnsi="Arial" w:cs="Arial"/>
        </w:rPr>
        <w:t>:</w:t>
      </w:r>
    </w:p>
    <w:p w14:paraId="6C124A2F" w14:textId="7543DF83" w:rsidR="000E28C9" w:rsidRPr="00E83896" w:rsidRDefault="000E28C9" w:rsidP="008F2AD9">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Integrowana Ochrona Roślin (13 szkoleń dla 290 osób) realizowane w ramach projektu ARiMR</w:t>
      </w:r>
      <w:r w:rsidR="00773E76" w:rsidRPr="00E83896">
        <w:rPr>
          <w:rFonts w:ascii="Arial" w:hAnsi="Arial" w:cs="Arial"/>
        </w:rPr>
        <w:t>,</w:t>
      </w:r>
    </w:p>
    <w:p w14:paraId="3DF3C36F" w14:textId="77777777" w:rsidR="00A773CC" w:rsidRDefault="000E28C9" w:rsidP="00773E76">
      <w:pPr>
        <w:pStyle w:val="NormalnyWeb"/>
        <w:numPr>
          <w:ilvl w:val="0"/>
          <w:numId w:val="23"/>
        </w:numPr>
        <w:tabs>
          <w:tab w:val="left" w:pos="284"/>
        </w:tabs>
        <w:spacing w:beforeAutospacing="0" w:after="120" w:afterAutospacing="0" w:line="360" w:lineRule="auto"/>
        <w:jc w:val="both"/>
        <w:rPr>
          <w:rFonts w:ascii="Arial" w:hAnsi="Arial" w:cs="Arial"/>
        </w:rPr>
      </w:pPr>
      <w:r w:rsidRPr="00E83896">
        <w:rPr>
          <w:rFonts w:ascii="Arial" w:hAnsi="Arial" w:cs="Arial"/>
        </w:rPr>
        <w:t>Rozpoznawanie agrofagów w uprawach rolniczych (</w:t>
      </w:r>
      <w:r w:rsidR="00450399" w:rsidRPr="00E83896">
        <w:rPr>
          <w:rFonts w:ascii="Arial" w:hAnsi="Arial" w:cs="Arial"/>
        </w:rPr>
        <w:t xml:space="preserve">dla </w:t>
      </w:r>
      <w:r w:rsidRPr="00E83896">
        <w:rPr>
          <w:rFonts w:ascii="Arial" w:hAnsi="Arial" w:cs="Arial"/>
        </w:rPr>
        <w:t>16 osób)</w:t>
      </w:r>
      <w:r w:rsidR="00144EB7">
        <w:rPr>
          <w:rFonts w:ascii="Arial" w:hAnsi="Arial" w:cs="Arial"/>
        </w:rPr>
        <w:t xml:space="preserve">, </w:t>
      </w:r>
    </w:p>
    <w:p w14:paraId="14B4E14A" w14:textId="6E48AD00" w:rsidR="000E28C9" w:rsidRDefault="00A773CC" w:rsidP="00A773CC">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a </w:t>
      </w:r>
      <w:r w:rsidRPr="00A773CC">
        <w:rPr>
          <w:rFonts w:ascii="Arial" w:hAnsi="Arial" w:cs="Arial"/>
          <w:b/>
          <w:bCs/>
        </w:rPr>
        <w:t>w 2022 r.</w:t>
      </w:r>
      <w:r>
        <w:rPr>
          <w:rFonts w:ascii="Arial" w:hAnsi="Arial" w:cs="Arial"/>
        </w:rPr>
        <w:t xml:space="preserve"> jedno:</w:t>
      </w:r>
    </w:p>
    <w:p w14:paraId="184F5BFB" w14:textId="0D27FFBF" w:rsidR="006B45E2" w:rsidRPr="006B45E2" w:rsidRDefault="006B45E2" w:rsidP="006B45E2">
      <w:pPr>
        <w:pStyle w:val="NormalnyWeb"/>
        <w:numPr>
          <w:ilvl w:val="0"/>
          <w:numId w:val="23"/>
        </w:numPr>
        <w:tabs>
          <w:tab w:val="left" w:pos="284"/>
        </w:tabs>
        <w:spacing w:beforeAutospacing="0" w:after="120" w:afterAutospacing="0" w:line="360" w:lineRule="auto"/>
        <w:jc w:val="both"/>
        <w:rPr>
          <w:rFonts w:ascii="Arial" w:hAnsi="Arial" w:cs="Arial"/>
        </w:rPr>
      </w:pPr>
      <w:r w:rsidRPr="006B45E2">
        <w:rPr>
          <w:rFonts w:ascii="Arial" w:hAnsi="Arial" w:cs="Arial"/>
        </w:rPr>
        <w:t>Innowacyjne rozwiązania oraz dobre praktyki w zakresie ograniczenia stosowania środków ochrony roślin</w:t>
      </w:r>
      <w:r w:rsidR="00477B7B">
        <w:rPr>
          <w:rFonts w:ascii="Arial" w:hAnsi="Arial" w:cs="Arial"/>
        </w:rPr>
        <w:t xml:space="preserve"> (</w:t>
      </w:r>
      <w:r w:rsidRPr="006B45E2">
        <w:rPr>
          <w:rFonts w:ascii="Arial" w:hAnsi="Arial" w:cs="Arial"/>
        </w:rPr>
        <w:t>dla 115 osób</w:t>
      </w:r>
      <w:r w:rsidR="00477B7B">
        <w:rPr>
          <w:rFonts w:ascii="Arial" w:hAnsi="Arial" w:cs="Arial"/>
        </w:rPr>
        <w:t>)</w:t>
      </w:r>
      <w:r w:rsidRPr="006B45E2">
        <w:rPr>
          <w:rFonts w:ascii="Arial" w:hAnsi="Arial" w:cs="Arial"/>
        </w:rPr>
        <w:t>.</w:t>
      </w:r>
    </w:p>
    <w:p w14:paraId="5DDD402D" w14:textId="3421B650"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A65410">
        <w:rPr>
          <w:rFonts w:ascii="Arial" w:hAnsi="Arial" w:cs="Arial"/>
        </w:rPr>
        <w:lastRenderedPageBreak/>
        <w:t>Szczegóły działalności prowadzonej przez</w:t>
      </w:r>
      <w:r w:rsidRPr="00A65410">
        <w:t xml:space="preserve"> </w:t>
      </w:r>
      <w:r w:rsidRPr="00A65410">
        <w:rPr>
          <w:rFonts w:ascii="Arial" w:hAnsi="Arial" w:cs="Arial"/>
        </w:rPr>
        <w:t xml:space="preserve">Centrum Doradztwa Rolniczego przedstawione zostały w opisie Działania 10, Zadania 9 KPD. </w:t>
      </w:r>
    </w:p>
    <w:p w14:paraId="0BF3D964" w14:textId="7703674A" w:rsidR="00056846" w:rsidRPr="00925BCD" w:rsidRDefault="00E83AAF" w:rsidP="004A134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K</w:t>
      </w:r>
      <w:r w:rsidRPr="00925BCD">
        <w:rPr>
          <w:rFonts w:ascii="Arial" w:hAnsi="Arial" w:cs="Arial"/>
        </w:rPr>
        <w:t xml:space="preserve">onferencje </w:t>
      </w:r>
      <w:r>
        <w:rPr>
          <w:rFonts w:ascii="Arial" w:hAnsi="Arial" w:cs="Arial"/>
        </w:rPr>
        <w:t>i s</w:t>
      </w:r>
      <w:r w:rsidR="00E54725" w:rsidRPr="00925BCD">
        <w:rPr>
          <w:rFonts w:ascii="Arial" w:hAnsi="Arial" w:cs="Arial"/>
        </w:rPr>
        <w:t xml:space="preserve">zkolenia promujące wiedzę z zakresu integrowanej ochrony roślin prowadził także </w:t>
      </w:r>
      <w:r w:rsidR="00E54725" w:rsidRPr="00925BCD">
        <w:rPr>
          <w:rFonts w:ascii="Arial" w:hAnsi="Arial" w:cs="Arial"/>
          <w:b/>
        </w:rPr>
        <w:t>Instytut Ogrodnictwa</w:t>
      </w:r>
      <w:r w:rsidRPr="00925BCD">
        <w:rPr>
          <w:rFonts w:ascii="Arial" w:hAnsi="Arial" w:cs="Arial"/>
          <w:b/>
        </w:rPr>
        <w:t xml:space="preserve"> – PIB</w:t>
      </w:r>
      <w:r w:rsidR="00E54725" w:rsidRPr="00925BCD">
        <w:rPr>
          <w:rFonts w:ascii="Arial" w:hAnsi="Arial" w:cs="Arial"/>
        </w:rPr>
        <w:t xml:space="preserve">. </w:t>
      </w:r>
      <w:r w:rsidR="000B7589" w:rsidRPr="005D5A17">
        <w:rPr>
          <w:rFonts w:ascii="Arial" w:hAnsi="Arial" w:cs="Arial"/>
          <w:b/>
          <w:bCs/>
        </w:rPr>
        <w:t>W 2</w:t>
      </w:r>
      <w:r w:rsidR="000B7589" w:rsidRPr="00925BCD">
        <w:rPr>
          <w:rFonts w:ascii="Arial" w:hAnsi="Arial" w:cs="Arial"/>
          <w:b/>
        </w:rPr>
        <w:t>018 r.</w:t>
      </w:r>
      <w:r w:rsidR="000B7589" w:rsidRPr="00925BCD">
        <w:rPr>
          <w:rFonts w:ascii="Arial" w:hAnsi="Arial" w:cs="Arial"/>
        </w:rPr>
        <w:t xml:space="preserve"> </w:t>
      </w:r>
      <w:r w:rsidR="005D5A17">
        <w:rPr>
          <w:rFonts w:ascii="Arial" w:hAnsi="Arial" w:cs="Arial"/>
        </w:rPr>
        <w:t xml:space="preserve">było to </w:t>
      </w:r>
      <w:r w:rsidR="00E54725" w:rsidRPr="00925BCD">
        <w:rPr>
          <w:rFonts w:ascii="Arial" w:hAnsi="Arial" w:cs="Arial"/>
        </w:rPr>
        <w:t xml:space="preserve">17 wydarzeń o zasięgu ogólnopolskim (w tym. Targi Sadownictwa i Warzywnictwa, Międzynarodowe Targi Agrotechniki Sadowniczej – FruitPro 2018, Targi Ogrodnictwa i Architektury Krajobrazu Green Days, Dni Otwartych Drzwi Instytutu Ogrodnictwa, XLI Skierniewickie Święto Kwiatów, Owoców i Warzyw oraz XXI Targi Ogrodniczo-Rolne) odwiedziło </w:t>
      </w:r>
      <w:r w:rsidR="00CE064D" w:rsidRPr="00925BCD">
        <w:rPr>
          <w:rFonts w:ascii="Arial" w:hAnsi="Arial" w:cs="Arial"/>
        </w:rPr>
        <w:t xml:space="preserve">w 2018 r. </w:t>
      </w:r>
      <w:r w:rsidR="00E54725" w:rsidRPr="00925BCD">
        <w:rPr>
          <w:rFonts w:ascii="Arial" w:hAnsi="Arial" w:cs="Arial"/>
        </w:rPr>
        <w:t>ponad 257 tys. osób. Podczas 60. Ogólnopolskiej Konferencji Ochrony Roślin Sadowniczych „Racjonalna ochrona – minimum pozostałości pestycydów” w Skierniewicach (6 – 7.03.2018 r.) wygłoszono 23 referaty oraz przedstawiono 7 posterów tematycznie związanych z hasłem przewodnim konferencji. W spotkaniu tym wzięło udział ok. 600 osób, w tym: sadownicy i producenci roślin jagodowych, pracownicy nauki i doradztwa rolniczego, inspektorzy ochrony roślin oraz przedstawiciele firm pracujących na rzecz sadownictwa oraz studenci.</w:t>
      </w:r>
    </w:p>
    <w:p w14:paraId="24E7790B" w14:textId="5645F32C" w:rsidR="00F5574F" w:rsidRPr="00925BCD" w:rsidRDefault="0013710C"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w:t>
      </w:r>
      <w:r w:rsidR="00FB5690">
        <w:rPr>
          <w:rFonts w:ascii="Arial" w:hAnsi="Arial" w:cs="Arial"/>
          <w:b/>
        </w:rPr>
        <w:t> </w:t>
      </w:r>
      <w:r w:rsidRPr="00925BCD">
        <w:rPr>
          <w:rFonts w:ascii="Arial" w:hAnsi="Arial" w:cs="Arial"/>
          <w:b/>
        </w:rPr>
        <w:t xml:space="preserve">r. </w:t>
      </w:r>
      <w:r w:rsidRPr="005D5A17">
        <w:rPr>
          <w:rFonts w:ascii="Arial" w:hAnsi="Arial" w:cs="Arial"/>
          <w:bCs/>
        </w:rPr>
        <w:t xml:space="preserve">Instytut </w:t>
      </w:r>
      <w:r w:rsidRPr="00925BCD">
        <w:rPr>
          <w:rFonts w:ascii="Arial" w:hAnsi="Arial" w:cs="Arial"/>
        </w:rPr>
        <w:t>kontynuował promowanie wiedzy i opracowanych materiałów z zakresu integrowanej ochrony roślin m.in. podczas wydarzeń o zasięgu ogólnopolskim (Targów Sadownictwa i</w:t>
      </w:r>
      <w:r w:rsidR="0081721A">
        <w:rPr>
          <w:rFonts w:ascii="Arial" w:hAnsi="Arial" w:cs="Arial"/>
        </w:rPr>
        <w:t> </w:t>
      </w:r>
      <w:r w:rsidRPr="00925BCD">
        <w:rPr>
          <w:rFonts w:ascii="Arial" w:hAnsi="Arial" w:cs="Arial"/>
        </w:rPr>
        <w:t>Warzywnictwa TSW, 9–10.01.2019 r. w Nadarzynie; Targów Technologii Sadowniczych i</w:t>
      </w:r>
      <w:r w:rsidR="0081721A">
        <w:rPr>
          <w:rFonts w:ascii="Arial" w:hAnsi="Arial" w:cs="Arial"/>
        </w:rPr>
        <w:t> </w:t>
      </w:r>
      <w:r w:rsidRPr="00925BCD">
        <w:rPr>
          <w:rFonts w:ascii="Arial" w:hAnsi="Arial" w:cs="Arial"/>
        </w:rPr>
        <w:t xml:space="preserve">Warzywniczych, Międzynarodowych Targów Agrotechniki Sadowniczej, Konferencji Fruitpro, </w:t>
      </w:r>
      <w:r w:rsidR="00B27CD5">
        <w:rPr>
          <w:rFonts w:ascii="Arial" w:hAnsi="Arial" w:cs="Arial"/>
        </w:rPr>
        <w:br/>
      </w:r>
      <w:r w:rsidRPr="00925BCD">
        <w:rPr>
          <w:rFonts w:ascii="Arial" w:hAnsi="Arial" w:cs="Arial"/>
        </w:rPr>
        <w:t>13–14.02.2019 r. na terenie Targów Kielce; Europejskiego Forum Rolniczego, 1–2.03.2019 r. w</w:t>
      </w:r>
      <w:r w:rsidR="001F2797">
        <w:rPr>
          <w:rFonts w:ascii="Arial" w:hAnsi="Arial" w:cs="Arial"/>
        </w:rPr>
        <w:t> </w:t>
      </w:r>
      <w:r w:rsidRPr="00925BCD">
        <w:rPr>
          <w:rFonts w:ascii="Arial" w:hAnsi="Arial" w:cs="Arial"/>
        </w:rPr>
        <w:t>Jasionce</w:t>
      </w:r>
      <w:r w:rsidR="00710690" w:rsidRPr="00925BCD">
        <w:rPr>
          <w:rFonts w:ascii="Arial" w:hAnsi="Arial" w:cs="Arial"/>
        </w:rPr>
        <w:t> </w:t>
      </w:r>
      <w:r w:rsidRPr="00925BCD">
        <w:rPr>
          <w:rFonts w:ascii="Arial" w:hAnsi="Arial" w:cs="Arial"/>
        </w:rPr>
        <w:t xml:space="preserve">k. Rzeszowa; Międzynarodowych Targów Techniki Rolniczej AGROTECH, </w:t>
      </w:r>
      <w:r w:rsidR="001F2797">
        <w:rPr>
          <w:rFonts w:ascii="Arial" w:hAnsi="Arial" w:cs="Arial"/>
        </w:rPr>
        <w:br/>
      </w:r>
      <w:r w:rsidRPr="00925BCD">
        <w:rPr>
          <w:rFonts w:ascii="Arial" w:hAnsi="Arial" w:cs="Arial"/>
        </w:rPr>
        <w:t>15–17.03.2019</w:t>
      </w:r>
      <w:r w:rsidR="001F2797">
        <w:rPr>
          <w:rFonts w:ascii="Arial" w:hAnsi="Arial" w:cs="Arial"/>
        </w:rPr>
        <w:t> </w:t>
      </w:r>
      <w:r w:rsidRPr="00925BCD">
        <w:rPr>
          <w:rFonts w:ascii="Arial" w:hAnsi="Arial" w:cs="Arial"/>
        </w:rPr>
        <w:t>r. na terenie Targów Kielce; XXII Dnia Otwartych Drzwi Instytutu Ogrodnictwa, 26.06.2019 r. w Sadzie Doświadczalnym w Dąbrowicach oraz na Polach Doświadczalnych upraw warzywniczych w</w:t>
      </w:r>
      <w:r w:rsidR="00710690" w:rsidRPr="00925BCD">
        <w:rPr>
          <w:rFonts w:ascii="Arial" w:hAnsi="Arial" w:cs="Arial"/>
        </w:rPr>
        <w:t> </w:t>
      </w:r>
      <w:r w:rsidRPr="00925BCD">
        <w:rPr>
          <w:rFonts w:ascii="Arial" w:hAnsi="Arial" w:cs="Arial"/>
        </w:rPr>
        <w:t>Skierniewicach; XXVIII Krajowej Wystawy Rolniczej oraz XX Dni Europejskiej Kultury Ludowej, 31.08.-1.09.2019 r. w Częstochowie; XLII Skierniewickiego Święta Kwiatów, Owoców i</w:t>
      </w:r>
      <w:r w:rsidR="001F2797">
        <w:rPr>
          <w:rFonts w:ascii="Arial" w:hAnsi="Arial" w:cs="Arial"/>
        </w:rPr>
        <w:t> </w:t>
      </w:r>
      <w:r w:rsidRPr="00925BCD">
        <w:rPr>
          <w:rFonts w:ascii="Arial" w:hAnsi="Arial" w:cs="Arial"/>
        </w:rPr>
        <w:t>Warzyw,</w:t>
      </w:r>
      <w:r w:rsidR="00003711">
        <w:rPr>
          <w:rFonts w:ascii="Arial" w:hAnsi="Arial" w:cs="Arial"/>
        </w:rPr>
        <w:t xml:space="preserve"> </w:t>
      </w:r>
      <w:r w:rsidRPr="00925BCD">
        <w:rPr>
          <w:rFonts w:ascii="Arial" w:hAnsi="Arial" w:cs="Arial"/>
        </w:rPr>
        <w:t>14–15.09.2019 r.; Międzynarodowych Targów Wyrobów Spożywczych – POLAGRA FOOD, 30.09.</w:t>
      </w:r>
      <w:r w:rsidR="00710690" w:rsidRPr="00925BCD">
        <w:rPr>
          <w:rFonts w:ascii="Arial" w:hAnsi="Arial" w:cs="Arial"/>
        </w:rPr>
        <w:t>–</w:t>
      </w:r>
      <w:r w:rsidRPr="00925BCD">
        <w:rPr>
          <w:rFonts w:ascii="Arial" w:hAnsi="Arial" w:cs="Arial"/>
        </w:rPr>
        <w:t>1.10.2019 r. w Poznaniu)</w:t>
      </w:r>
      <w:r w:rsidR="00D5577E" w:rsidRPr="00925BCD">
        <w:rPr>
          <w:rFonts w:ascii="Arial" w:hAnsi="Arial" w:cs="Arial"/>
        </w:rPr>
        <w:t>, a także</w:t>
      </w:r>
      <w:r w:rsidRPr="00925BCD">
        <w:rPr>
          <w:rFonts w:ascii="Arial" w:hAnsi="Arial" w:cs="Arial"/>
        </w:rPr>
        <w:t xml:space="preserve"> podczas zorganizowanej przez Instytut Ogrodnictwa Konferencji Upowszechnieniowo-Wdrożeniowej Nauka–Praktyce w Skierniewicach, 10.12.2019 r. (141 osób)</w:t>
      </w:r>
      <w:r w:rsidR="00F5574F" w:rsidRPr="00925BCD">
        <w:rPr>
          <w:rFonts w:ascii="Arial" w:hAnsi="Arial" w:cs="Arial"/>
        </w:rPr>
        <w:t>.</w:t>
      </w:r>
    </w:p>
    <w:p w14:paraId="794C3BB4" w14:textId="5D8301BB" w:rsidR="00E83AAF" w:rsidRDefault="00F5574F" w:rsidP="00E83AA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w:t>
      </w:r>
      <w:r w:rsidR="0022624E">
        <w:rPr>
          <w:rFonts w:ascii="Arial" w:hAnsi="Arial" w:cs="Arial"/>
          <w:b/>
        </w:rPr>
        <w:t> </w:t>
      </w:r>
      <w:r w:rsidRPr="00925BCD">
        <w:rPr>
          <w:rFonts w:ascii="Arial" w:hAnsi="Arial" w:cs="Arial"/>
          <w:b/>
        </w:rPr>
        <w:t xml:space="preserve">r. </w:t>
      </w:r>
      <w:r w:rsidRPr="0021132C">
        <w:rPr>
          <w:rFonts w:ascii="Arial" w:hAnsi="Arial" w:cs="Arial"/>
          <w:bCs/>
        </w:rPr>
        <w:t>Instytut</w:t>
      </w:r>
      <w:r w:rsidRPr="00925BCD">
        <w:rPr>
          <w:rFonts w:ascii="Arial" w:hAnsi="Arial" w:cs="Arial"/>
          <w:b/>
        </w:rPr>
        <w:t xml:space="preserve"> </w:t>
      </w:r>
      <w:r w:rsidRPr="00925BCD">
        <w:rPr>
          <w:rFonts w:ascii="Arial" w:hAnsi="Arial" w:cs="Arial"/>
        </w:rPr>
        <w:t xml:space="preserve">zorganizował </w:t>
      </w:r>
      <w:r w:rsidR="0013710C" w:rsidRPr="00925BCD">
        <w:rPr>
          <w:rFonts w:ascii="Arial" w:hAnsi="Arial" w:cs="Arial"/>
        </w:rPr>
        <w:t>także dwa szkolenia dla pracowników PIORiN</w:t>
      </w:r>
      <w:r w:rsidR="00D5577E" w:rsidRPr="00925BCD">
        <w:rPr>
          <w:rFonts w:ascii="Arial" w:hAnsi="Arial" w:cs="Arial"/>
        </w:rPr>
        <w:t>:</w:t>
      </w:r>
      <w:r w:rsidR="0013710C" w:rsidRPr="00925BCD">
        <w:rPr>
          <w:rFonts w:ascii="Arial" w:hAnsi="Arial" w:cs="Arial"/>
        </w:rPr>
        <w:t xml:space="preserve"> „Podstawy diagnostyki sprzętu do stosowania środków ochrony roślin”, 27 i 28.10.2019 r., (55 osób z</w:t>
      </w:r>
      <w:r w:rsidR="00CA7701" w:rsidRPr="00925BCD">
        <w:rPr>
          <w:rFonts w:ascii="Arial" w:hAnsi="Arial" w:cs="Arial"/>
        </w:rPr>
        <w:t> </w:t>
      </w:r>
      <w:r w:rsidR="0013710C" w:rsidRPr="00925BCD">
        <w:rPr>
          <w:rFonts w:ascii="Arial" w:hAnsi="Arial" w:cs="Arial"/>
        </w:rPr>
        <w:t>wojewódzkich inspektoratów PIORiN z 16 województw)</w:t>
      </w:r>
      <w:r w:rsidR="00D5577E" w:rsidRPr="00925BCD">
        <w:rPr>
          <w:rFonts w:ascii="Arial" w:hAnsi="Arial" w:cs="Arial"/>
        </w:rPr>
        <w:t xml:space="preserve"> oraz </w:t>
      </w:r>
      <w:r w:rsidR="0013710C" w:rsidRPr="00925BCD">
        <w:rPr>
          <w:rFonts w:ascii="Arial" w:hAnsi="Arial" w:cs="Arial"/>
        </w:rPr>
        <w:t>„Integrowana Ochrona Roślin Ogrodniczych”, 29.11.2019 r. (47</w:t>
      </w:r>
      <w:r w:rsidR="00710690" w:rsidRPr="00925BCD">
        <w:rPr>
          <w:rFonts w:ascii="Arial" w:hAnsi="Arial" w:cs="Arial"/>
        </w:rPr>
        <w:t> </w:t>
      </w:r>
      <w:r w:rsidR="0013710C" w:rsidRPr="00925BCD">
        <w:rPr>
          <w:rFonts w:ascii="Arial" w:hAnsi="Arial" w:cs="Arial"/>
        </w:rPr>
        <w:t xml:space="preserve">osób). W </w:t>
      </w:r>
      <w:r w:rsidR="00D5577E" w:rsidRPr="00925BCD">
        <w:rPr>
          <w:rFonts w:ascii="Arial" w:hAnsi="Arial" w:cs="Arial"/>
        </w:rPr>
        <w:t xml:space="preserve">wydarzeniach </w:t>
      </w:r>
      <w:r w:rsidR="0013710C" w:rsidRPr="00925BCD">
        <w:rPr>
          <w:rFonts w:ascii="Arial" w:hAnsi="Arial" w:cs="Arial"/>
        </w:rPr>
        <w:t>brali udział m.in. producenci roślin ogrodniczych, przedstawiciele Wojewódzkich Inspektoratów Ochrony Roślin i Nasiennictwa, Ośrodków Doradztwa Rolniczego, firm branżowych, prasy ogrodniczej, nauczyciele i uczniowie szkół rolniczych.</w:t>
      </w:r>
    </w:p>
    <w:p w14:paraId="4225F48C" w14:textId="05E64A30" w:rsidR="00B40925" w:rsidRDefault="00B40925" w:rsidP="00E83AAF">
      <w:pPr>
        <w:pStyle w:val="NormalnyWeb"/>
        <w:tabs>
          <w:tab w:val="left" w:pos="284"/>
        </w:tabs>
        <w:spacing w:beforeAutospacing="0" w:after="120" w:afterAutospacing="0" w:line="360" w:lineRule="auto"/>
        <w:ind w:firstLine="284"/>
        <w:jc w:val="both"/>
        <w:rPr>
          <w:rFonts w:ascii="Arial" w:hAnsi="Arial" w:cs="Arial"/>
        </w:rPr>
      </w:pPr>
      <w:r w:rsidRPr="00E83AAF">
        <w:rPr>
          <w:rFonts w:ascii="Arial" w:hAnsi="Arial" w:cs="Arial"/>
          <w:b/>
          <w:bCs/>
        </w:rPr>
        <w:t>W 2020 r</w:t>
      </w:r>
      <w:r w:rsidR="00E83AAF" w:rsidRPr="00E83AAF">
        <w:rPr>
          <w:rFonts w:ascii="Arial" w:hAnsi="Arial" w:cs="Arial"/>
          <w:b/>
          <w:bCs/>
        </w:rPr>
        <w:t>.</w:t>
      </w:r>
      <w:r w:rsidRPr="00E83AAF">
        <w:rPr>
          <w:rFonts w:ascii="Arial" w:hAnsi="Arial" w:cs="Arial"/>
          <w:b/>
          <w:bCs/>
        </w:rPr>
        <w:t xml:space="preserve"> </w:t>
      </w:r>
      <w:r w:rsidRPr="00635475">
        <w:rPr>
          <w:rFonts w:ascii="Arial" w:hAnsi="Arial" w:cs="Arial"/>
        </w:rPr>
        <w:t xml:space="preserve">w Instytucie </w:t>
      </w:r>
      <w:r w:rsidRPr="00E83AAF">
        <w:rPr>
          <w:rFonts w:ascii="Arial" w:hAnsi="Arial" w:cs="Arial"/>
        </w:rPr>
        <w:t>w dniu 4 lutego 2020 r. odbyła się Ogólnopolska 61. Konferencja Ochrony Roślin Sadowniczych „2020 – Międzynarodowym Rokiem Zdrowia Roślin” (Skierniewice), podczas której wygłoszono 15 referatów oraz przedstawiono 14 posterów. W spotkaniu wzięło udział 450 osób, w tym: sadownicy i producenci roślin jagodowych, pracownicy nauki i doradztwa rolniczego, inspektorzy ochrony roślin, przedstawiciele firm pracujących na rzecz sadownictwa, studenci. W czasie 57.</w:t>
      </w:r>
      <w:r w:rsidR="00003711">
        <w:rPr>
          <w:rFonts w:ascii="Arial" w:hAnsi="Arial" w:cs="Arial"/>
        </w:rPr>
        <w:t> </w:t>
      </w:r>
      <w:r w:rsidRPr="00E83AAF">
        <w:rPr>
          <w:rFonts w:ascii="Arial" w:hAnsi="Arial" w:cs="Arial"/>
        </w:rPr>
        <w:t xml:space="preserve">Naukowej Konferencji Pszczelarskiej (10−12 marca 2020 r., Cieszyn), zaprezentowano łącznie </w:t>
      </w:r>
      <w:r w:rsidRPr="00E83AAF">
        <w:rPr>
          <w:rFonts w:ascii="Arial" w:hAnsi="Arial" w:cs="Arial"/>
        </w:rPr>
        <w:lastRenderedPageBreak/>
        <w:t>74</w:t>
      </w:r>
      <w:r w:rsidR="00003711">
        <w:rPr>
          <w:rFonts w:ascii="Arial" w:hAnsi="Arial" w:cs="Arial"/>
        </w:rPr>
        <w:t> </w:t>
      </w:r>
      <w:r w:rsidRPr="00E83AAF">
        <w:rPr>
          <w:rFonts w:ascii="Arial" w:hAnsi="Arial" w:cs="Arial"/>
        </w:rPr>
        <w:t xml:space="preserve">doniesienia (36 na sesjach plenarnych i 38 na sesjach posterowych) m.in. dotyczące chorób i zatruć pszczół. W konferencji udział wzięło ponad 300 osób. Przeprowadzono 12 szkoleń, zorganizowanych głównie w trybie online (11), których uczestnikami byli producenci indywidualni, pracownicy Ośrodków Doradztwa Rolniczego, Wojewódzkich Inspektoratów Ochrony Roślin i Nasiennictwa, przedstawiciele Inspektoratów Jakości Handlowej Artykułów Rolno-Spożywczych, jednostek certyfikujących, diagności Stacji Kontroli Opryskiwaczy, przedstawiciele Okręgowej Stacji Chemiczno-Rolniczej, prasy specjalistycznej oraz firm branżowych. Prowadzono również działalność popularyzatorską w czasie trwania Skierniewickiego Święta Kwiatów, Owoców i Warzyw (18 września 2020 r.). </w:t>
      </w:r>
    </w:p>
    <w:p w14:paraId="00038226" w14:textId="06A4B712" w:rsidR="00BF579B" w:rsidRDefault="005509EE" w:rsidP="00BF579B">
      <w:pPr>
        <w:pStyle w:val="NormalnyWeb"/>
        <w:tabs>
          <w:tab w:val="left" w:pos="284"/>
        </w:tabs>
        <w:spacing w:beforeAutospacing="0" w:after="120" w:afterAutospacing="0" w:line="360" w:lineRule="auto"/>
        <w:ind w:firstLine="284"/>
        <w:jc w:val="both"/>
        <w:rPr>
          <w:rFonts w:ascii="Arial" w:hAnsi="Arial" w:cs="Arial"/>
        </w:rPr>
      </w:pPr>
      <w:r w:rsidRPr="00CA2BDE">
        <w:rPr>
          <w:rFonts w:ascii="Arial" w:hAnsi="Arial" w:cs="Arial"/>
          <w:b/>
        </w:rPr>
        <w:t>W 2020 i 2021 r.</w:t>
      </w:r>
      <w:r w:rsidRPr="00CA2BDE">
        <w:rPr>
          <w:rFonts w:ascii="Arial" w:hAnsi="Arial" w:cs="Arial"/>
        </w:rPr>
        <w:t xml:space="preserve"> w</w:t>
      </w:r>
      <w:r w:rsidR="00BF579B" w:rsidRPr="00CA2BDE">
        <w:rPr>
          <w:rFonts w:ascii="Arial" w:hAnsi="Arial" w:cs="Arial"/>
        </w:rPr>
        <w:t xml:space="preserve"> ramach poddziałania 2.3 „Wsparcie dla szkolenia doradców” objętego Programem Rozwoju Obszarów Wiejskich na lata 2014-2020, w ramach umowy zawartej z Agencją Restrukturyzacji i Modernizacji Rolnictwa, Instytut Ogrodnictwa w Skierniewicach wraz z Centrum Doradztwa Rolniczego (CDR) w Brwinowie oddział w Radomiu (lider projektu) oraz partnerami konsorcjum, realizował projekt, którego celem było przeprowadzenie</w:t>
      </w:r>
      <w:r w:rsidR="00BF579B">
        <w:rPr>
          <w:rFonts w:ascii="Arial" w:hAnsi="Arial" w:cs="Arial"/>
        </w:rPr>
        <w:t xml:space="preserve"> szkoleń pt. „Integrowana Ochrona Roślin”. W szkoleniach uczestniczyło 96 doradców z Wojewódzkich Ośrodków Doradztwa Rolniczego, Izb Rolniczych, CDR oraz z prywatnych podmiotów świadczących usługi doradcze. Szkolenia teoretyczne i praktyczne odbywały się w okresie od maja do września 2020 r. i 2021 r. i były realizowane w trzech modułach: sadowniczym, warzywniczym i rolniczym. </w:t>
      </w:r>
    </w:p>
    <w:p w14:paraId="21A48F2C" w14:textId="1D24B563" w:rsidR="00BF579B" w:rsidRDefault="00BF579B" w:rsidP="00BF579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dniu 16.09.2021 r. w Instytucie Ogrodnictwa – PIB w Skierniewicach (część teoretyczna) oraz w</w:t>
      </w:r>
      <w:r w:rsidR="00CA2BDE">
        <w:rPr>
          <w:rFonts w:ascii="Arial" w:hAnsi="Arial" w:cs="Arial"/>
        </w:rPr>
        <w:t> </w:t>
      </w:r>
      <w:r>
        <w:rPr>
          <w:rFonts w:ascii="Arial" w:hAnsi="Arial" w:cs="Arial"/>
        </w:rPr>
        <w:t>Sadzie Doświadczalnym w Dąbrowicach (część praktyczna) odbyło się szkolenie inspektorów PIORiN pt. „Integrowana ochrona roślin sadowniczych”. Podczas szkolenia przedstawiono 5 wykładów:</w:t>
      </w:r>
    </w:p>
    <w:p w14:paraId="41155AA3" w14:textId="38DC15ED"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Integrowana ochrona drzew pestkowych przed najważniejszymi chorobami.</w:t>
      </w:r>
    </w:p>
    <w:p w14:paraId="6B42E3BC" w14:textId="51DCA3B0"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Ochrona drzew ziarnkowych przed chorobami zgodnie z zasadami IPO.</w:t>
      </w:r>
    </w:p>
    <w:p w14:paraId="00279498" w14:textId="5D33A1E4"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Najgroźniejsze choroby wirusowe roślin sadowniczych.</w:t>
      </w:r>
    </w:p>
    <w:p w14:paraId="097C30E9" w14:textId="5D57C3AC"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 xml:space="preserve">Szkodniki roślin sadowniczych – trudności w prawidłowej diagnostyce i ocenie zagrożenia. </w:t>
      </w:r>
    </w:p>
    <w:p w14:paraId="7C6D1C21" w14:textId="619A4A7F" w:rsidR="00BF579B" w:rsidRDefault="00BF579B" w:rsidP="00BF579B">
      <w:pPr>
        <w:pStyle w:val="NormalnyWeb"/>
        <w:numPr>
          <w:ilvl w:val="0"/>
          <w:numId w:val="23"/>
        </w:numPr>
        <w:tabs>
          <w:tab w:val="left" w:pos="284"/>
        </w:tabs>
        <w:spacing w:beforeAutospacing="0" w:after="120" w:afterAutospacing="0" w:line="360" w:lineRule="auto"/>
        <w:jc w:val="both"/>
        <w:rPr>
          <w:rFonts w:ascii="Arial" w:hAnsi="Arial" w:cs="Arial"/>
        </w:rPr>
      </w:pPr>
      <w:r>
        <w:rPr>
          <w:rFonts w:ascii="Arial" w:hAnsi="Arial" w:cs="Arial"/>
        </w:rPr>
        <w:t xml:space="preserve">Integrowana ochrona roślin sadowniczych przed chwastami. </w:t>
      </w:r>
    </w:p>
    <w:p w14:paraId="00DD2321" w14:textId="13008B1A" w:rsidR="00BF579B" w:rsidRDefault="00BF579B" w:rsidP="00BF579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szkoleniu wzięły udział 33 osoby z Wojewódzkich Inspektoratów Ochrony Roślin i Nasiennictwa.</w:t>
      </w:r>
    </w:p>
    <w:p w14:paraId="70CD87BF" w14:textId="49EF91C4" w:rsidR="00E66866" w:rsidRPr="00CF1B33" w:rsidRDefault="00E66866" w:rsidP="00CF1B33">
      <w:pPr>
        <w:pStyle w:val="NormalnyWeb"/>
        <w:tabs>
          <w:tab w:val="left" w:pos="284"/>
        </w:tabs>
        <w:spacing w:beforeAutospacing="0" w:after="120" w:afterAutospacing="0" w:line="360" w:lineRule="auto"/>
        <w:ind w:firstLine="284"/>
        <w:jc w:val="both"/>
        <w:rPr>
          <w:rFonts w:ascii="Arial" w:hAnsi="Arial" w:cs="Arial"/>
        </w:rPr>
      </w:pPr>
      <w:r w:rsidRPr="00CF1B33">
        <w:rPr>
          <w:rFonts w:ascii="Arial" w:hAnsi="Arial" w:cs="Arial"/>
          <w:b/>
        </w:rPr>
        <w:t>W 2022 r.</w:t>
      </w:r>
      <w:r w:rsidRPr="00CF1B33">
        <w:rPr>
          <w:rFonts w:ascii="Arial" w:hAnsi="Arial" w:cs="Arial"/>
        </w:rPr>
        <w:t xml:space="preserve"> w Instytucie Ogrodnictwa – PIB w dniu 3 lutego </w:t>
      </w:r>
      <w:r w:rsidR="00CF1B33">
        <w:rPr>
          <w:rFonts w:ascii="Arial" w:hAnsi="Arial" w:cs="Arial"/>
        </w:rPr>
        <w:t xml:space="preserve">2022 r. </w:t>
      </w:r>
      <w:r w:rsidRPr="00CF1B33">
        <w:rPr>
          <w:rFonts w:ascii="Arial" w:hAnsi="Arial" w:cs="Arial"/>
        </w:rPr>
        <w:t>zorganizowano 62. Ogólnopolską Konferencj</w:t>
      </w:r>
      <w:r w:rsidR="00CF1B33">
        <w:rPr>
          <w:rFonts w:ascii="Arial" w:hAnsi="Arial" w:cs="Arial"/>
        </w:rPr>
        <w:t>ę</w:t>
      </w:r>
      <w:r w:rsidRPr="00CF1B33">
        <w:rPr>
          <w:rFonts w:ascii="Arial" w:hAnsi="Arial" w:cs="Arial"/>
        </w:rPr>
        <w:t xml:space="preserve"> Ochrony Roślin Sadowniczych „Ochrona roślin sadowniczych w obliczu strategii Europejski Zielony Ład”, a także </w:t>
      </w:r>
      <w:r w:rsidR="00CF1B33" w:rsidRPr="00CF1B33">
        <w:rPr>
          <w:rFonts w:ascii="Arial" w:hAnsi="Arial" w:cs="Arial"/>
        </w:rPr>
        <w:t>w dniach 8-9 marca</w:t>
      </w:r>
      <w:r w:rsidR="00CF1B33">
        <w:rPr>
          <w:rFonts w:ascii="Arial" w:hAnsi="Arial" w:cs="Arial"/>
        </w:rPr>
        <w:t xml:space="preserve"> 2022 r. </w:t>
      </w:r>
      <w:r w:rsidRPr="00CF1B33">
        <w:rPr>
          <w:rFonts w:ascii="Arial" w:hAnsi="Arial" w:cs="Arial"/>
        </w:rPr>
        <w:t>59. Naukową Konferencję Pszczelarską w Puławach. W</w:t>
      </w:r>
      <w:r w:rsidR="00CF1B33">
        <w:rPr>
          <w:rFonts w:eastAsia="Calibri"/>
        </w:rPr>
        <w:t> </w:t>
      </w:r>
      <w:r w:rsidRPr="00CF1B33">
        <w:rPr>
          <w:rFonts w:ascii="Arial" w:hAnsi="Arial" w:cs="Arial"/>
        </w:rPr>
        <w:t>2022</w:t>
      </w:r>
      <w:r w:rsidR="00733DC4" w:rsidRPr="00CF1B33">
        <w:rPr>
          <w:rFonts w:ascii="Arial" w:hAnsi="Arial" w:cs="Arial"/>
        </w:rPr>
        <w:t> </w:t>
      </w:r>
      <w:r w:rsidRPr="00CF1B33">
        <w:rPr>
          <w:rFonts w:ascii="Arial" w:hAnsi="Arial" w:cs="Arial"/>
        </w:rPr>
        <w:t>r</w:t>
      </w:r>
      <w:r w:rsidR="00733DC4" w:rsidRPr="00CF1B33">
        <w:rPr>
          <w:rFonts w:ascii="Arial" w:hAnsi="Arial" w:cs="Arial"/>
        </w:rPr>
        <w:t>.</w:t>
      </w:r>
      <w:r w:rsidRPr="00CF1B33">
        <w:rPr>
          <w:rFonts w:ascii="Arial" w:hAnsi="Arial" w:cs="Arial"/>
        </w:rPr>
        <w:t xml:space="preserve"> pracownicy naukowi Instytutu Ogrodnictwa – PIB przeprowadzili </w:t>
      </w:r>
      <w:r w:rsidR="00CF1B33">
        <w:rPr>
          <w:rFonts w:ascii="Arial" w:hAnsi="Arial" w:cs="Arial"/>
        </w:rPr>
        <w:t xml:space="preserve">również </w:t>
      </w:r>
      <w:r w:rsidRPr="00CF1B33">
        <w:rPr>
          <w:rFonts w:ascii="Arial" w:hAnsi="Arial" w:cs="Arial"/>
        </w:rPr>
        <w:t>9 szkoleń/</w:t>
      </w:r>
      <w:r w:rsidR="009F2AAC" w:rsidRPr="00CF1B33">
        <w:rPr>
          <w:rFonts w:ascii="Arial" w:hAnsi="Arial" w:cs="Arial"/>
        </w:rPr>
        <w:t xml:space="preserve"> </w:t>
      </w:r>
      <w:r w:rsidRPr="00CF1B33">
        <w:rPr>
          <w:rFonts w:ascii="Arial" w:hAnsi="Arial" w:cs="Arial"/>
        </w:rPr>
        <w:t>warsztatów/seminariów (w tym 2 w trybie online i 1 hybrydowo). Uczestnikami szkoleń byli producenci indywidualni (w tym szkółkarze), przedstawiciele Ośrodków Doradztwa Rolniczego, Wojewódzkich Inspektoratów Ochrony Roślin i Nasiennictwa, Ministerstwa Rolnictwa i Rozwoju Wsi, Centralnego Ośrodka Badania Odmian Roślin Uprawnych, Izb Rolniczych, Agencji Restrukturyzacji i Modernizacji Rolnictwa, pracownicy uczelni wyższych, firm branżowych, studenci oraz nauczyciele szkół rolniczych.</w:t>
      </w:r>
    </w:p>
    <w:p w14:paraId="17DDACEA" w14:textId="13A4D840" w:rsidR="00E66866" w:rsidRPr="008467D6" w:rsidRDefault="00E66866" w:rsidP="00E66866">
      <w:pPr>
        <w:pStyle w:val="NormalnyWeb"/>
        <w:tabs>
          <w:tab w:val="left" w:pos="284"/>
        </w:tabs>
        <w:spacing w:beforeAutospacing="0" w:after="120" w:afterAutospacing="0" w:line="360" w:lineRule="auto"/>
        <w:ind w:firstLine="284"/>
        <w:jc w:val="both"/>
        <w:rPr>
          <w:rFonts w:ascii="Arial" w:hAnsi="Arial" w:cs="Arial"/>
        </w:rPr>
      </w:pPr>
      <w:bookmarkStart w:id="65" w:name="_Hlk150856526"/>
      <w:bookmarkStart w:id="66" w:name="_Hlk150855817"/>
      <w:r w:rsidRPr="00CF1B33">
        <w:rPr>
          <w:rFonts w:ascii="Arial" w:hAnsi="Arial" w:cs="Arial"/>
        </w:rPr>
        <w:t>W 2022</w:t>
      </w:r>
      <w:r w:rsidR="00BB6CF7">
        <w:rPr>
          <w:rFonts w:ascii="Arial" w:hAnsi="Arial" w:cs="Arial"/>
        </w:rPr>
        <w:t> </w:t>
      </w:r>
      <w:r w:rsidRPr="00CF1B33">
        <w:rPr>
          <w:rFonts w:ascii="Arial" w:hAnsi="Arial" w:cs="Arial"/>
        </w:rPr>
        <w:t>r. w ramach promowania Integrowanej Produkcji Roślin opracowano i wydrukowano kalendarz na 2023</w:t>
      </w:r>
      <w:r w:rsidR="00CF1B33">
        <w:rPr>
          <w:rFonts w:ascii="Arial" w:hAnsi="Arial" w:cs="Arial"/>
        </w:rPr>
        <w:t xml:space="preserve"> r.</w:t>
      </w:r>
      <w:r w:rsidRPr="00CF1B33">
        <w:rPr>
          <w:rFonts w:ascii="Arial" w:hAnsi="Arial" w:cs="Arial"/>
        </w:rPr>
        <w:t xml:space="preserve">, w którym </w:t>
      </w:r>
      <w:r w:rsidR="00CF1B33">
        <w:rPr>
          <w:rFonts w:ascii="Arial" w:hAnsi="Arial" w:cs="Arial"/>
        </w:rPr>
        <w:t>u</w:t>
      </w:r>
      <w:r w:rsidRPr="00CF1B33">
        <w:rPr>
          <w:rFonts w:ascii="Arial" w:hAnsi="Arial" w:cs="Arial"/>
        </w:rPr>
        <w:t xml:space="preserve">mieszczono zdjęcia i opisy odmian roślin sadowniczych i warzywnych </w:t>
      </w:r>
      <w:r w:rsidRPr="00CF1B33">
        <w:rPr>
          <w:rFonts w:ascii="Arial" w:hAnsi="Arial" w:cs="Arial"/>
        </w:rPr>
        <w:lastRenderedPageBreak/>
        <w:t xml:space="preserve">hodowli Instytutu Ogrodnictwa − </w:t>
      </w:r>
      <w:r w:rsidR="00CF1B33">
        <w:rPr>
          <w:rFonts w:ascii="Arial" w:hAnsi="Arial" w:cs="Arial"/>
        </w:rPr>
        <w:t>P</w:t>
      </w:r>
      <w:r w:rsidRPr="00CF1B33">
        <w:rPr>
          <w:rFonts w:ascii="Arial" w:hAnsi="Arial" w:cs="Arial"/>
        </w:rPr>
        <w:t>IB, które są polecane do integrowanej produkcji. Do działań upowszechnieniowo-promocyjnych należy również zaliczyć 4 artykuły popularno-naukowe na temat chorób wirusowych i fitoplazmatycznych roślin jagodowych wydrukowane w prasie ogrodniczej.</w:t>
      </w:r>
      <w:bookmarkEnd w:id="65"/>
      <w:bookmarkEnd w:id="66"/>
    </w:p>
    <w:p w14:paraId="71A09AF1" w14:textId="6B37F25D" w:rsidR="0082798E" w:rsidRPr="0082798E" w:rsidRDefault="00E83AAF" w:rsidP="00E83AA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zadanie dotyczące upowszechniania wiedzy z zakresu integrowanej ochrony roślin włączył się także </w:t>
      </w:r>
      <w:r w:rsidRPr="00343C67">
        <w:rPr>
          <w:rFonts w:ascii="Arial" w:hAnsi="Arial" w:cs="Arial"/>
          <w:b/>
          <w:bCs/>
        </w:rPr>
        <w:t xml:space="preserve">Instytut Uprawy Nawożenia i Gleboznawstwa </w:t>
      </w:r>
      <w:bookmarkStart w:id="67" w:name="_Hlk93316166"/>
      <w:r w:rsidRPr="00343C67">
        <w:rPr>
          <w:rFonts w:ascii="Arial" w:hAnsi="Arial" w:cs="Arial"/>
          <w:b/>
          <w:bCs/>
        </w:rPr>
        <w:t xml:space="preserve">– </w:t>
      </w:r>
      <w:bookmarkEnd w:id="67"/>
      <w:r w:rsidRPr="00343C67">
        <w:rPr>
          <w:rFonts w:ascii="Arial" w:hAnsi="Arial" w:cs="Arial"/>
          <w:b/>
          <w:bCs/>
        </w:rPr>
        <w:t>PIB</w:t>
      </w:r>
      <w:r w:rsidRPr="00343C67">
        <w:rPr>
          <w:rFonts w:ascii="Arial" w:hAnsi="Arial" w:cs="Arial"/>
        </w:rPr>
        <w:t xml:space="preserve">, </w:t>
      </w:r>
      <w:r w:rsidR="0082798E" w:rsidRPr="0082798E">
        <w:rPr>
          <w:rFonts w:ascii="Arial" w:hAnsi="Arial" w:cs="Arial"/>
        </w:rPr>
        <w:t xml:space="preserve">organizując </w:t>
      </w:r>
      <w:r w:rsidR="00343C67">
        <w:rPr>
          <w:rFonts w:ascii="Arial" w:hAnsi="Arial" w:cs="Arial"/>
        </w:rPr>
        <w:t xml:space="preserve">miedzy innymi </w:t>
      </w:r>
      <w:r w:rsidR="0082798E" w:rsidRPr="0082798E">
        <w:rPr>
          <w:rFonts w:ascii="Arial" w:hAnsi="Arial" w:cs="Arial"/>
        </w:rPr>
        <w:t xml:space="preserve">9 marca </w:t>
      </w:r>
      <w:r w:rsidR="00343C67" w:rsidRPr="0082798E">
        <w:rPr>
          <w:rFonts w:ascii="Arial" w:hAnsi="Arial" w:cs="Arial"/>
        </w:rPr>
        <w:t>2018</w:t>
      </w:r>
      <w:r w:rsidR="00343C67">
        <w:rPr>
          <w:rFonts w:ascii="Arial" w:hAnsi="Arial" w:cs="Arial"/>
        </w:rPr>
        <w:t> </w:t>
      </w:r>
      <w:r w:rsidR="0082798E" w:rsidRPr="0082798E">
        <w:rPr>
          <w:rFonts w:ascii="Arial" w:hAnsi="Arial" w:cs="Arial"/>
        </w:rPr>
        <w:t>r. w Puławach konferencję naukową pt. „Innowacyjne rozwiązania wspierające produkcję chmielu zgodnie z zasadami integrowanej ochrony roślin”. W ramach wykładów omówiono najważniejsze choroby chmielu oraz zaprezentowano Platformę Sygnalizacji Agrofagów jako źródło informacji dotyczących integrowanej ochrony roślin. Opracowano i wydano drukiem materiały konferencyjne w</w:t>
      </w:r>
      <w:r w:rsidR="00003711">
        <w:rPr>
          <w:rFonts w:ascii="Arial" w:hAnsi="Arial" w:cs="Arial"/>
        </w:rPr>
        <w:t> </w:t>
      </w:r>
      <w:r w:rsidR="0082798E" w:rsidRPr="0082798E">
        <w:rPr>
          <w:rFonts w:ascii="Arial" w:hAnsi="Arial" w:cs="Arial"/>
        </w:rPr>
        <w:t xml:space="preserve">formie wydruku konspektów prezentacji, które otrzymali wszyscy uczestnicy konferencji (135 osób). Zagadnienia dotyczące stosowania zasad integrowanej ochrony roślin prezentowano również w ramach Tygodnia Otwartych Drzwi w IUNG-PIB w Puławach, który miał miejsce w dniach 21-25 maja </w:t>
      </w:r>
      <w:r w:rsidR="00997E5B" w:rsidRPr="0082798E">
        <w:rPr>
          <w:rFonts w:ascii="Arial" w:hAnsi="Arial" w:cs="Arial"/>
        </w:rPr>
        <w:t>2018</w:t>
      </w:r>
      <w:r w:rsidR="00997E5B">
        <w:rPr>
          <w:rFonts w:ascii="Arial" w:hAnsi="Arial" w:cs="Arial"/>
        </w:rPr>
        <w:t> </w:t>
      </w:r>
      <w:r w:rsidR="0082798E" w:rsidRPr="0082798E">
        <w:rPr>
          <w:rFonts w:ascii="Arial" w:hAnsi="Arial" w:cs="Arial"/>
        </w:rPr>
        <w:t xml:space="preserve">r. </w:t>
      </w:r>
      <w:r w:rsidR="00B7178D" w:rsidRPr="0082798E">
        <w:rPr>
          <w:rFonts w:ascii="Arial" w:hAnsi="Arial" w:cs="Arial"/>
        </w:rPr>
        <w:t>W</w:t>
      </w:r>
      <w:r w:rsidR="00B7178D">
        <w:rPr>
          <w:rFonts w:ascii="Arial" w:hAnsi="Arial" w:cs="Arial"/>
        </w:rPr>
        <w:t> </w:t>
      </w:r>
      <w:r w:rsidR="0082798E" w:rsidRPr="0082798E">
        <w:rPr>
          <w:rFonts w:ascii="Arial" w:hAnsi="Arial" w:cs="Arial"/>
        </w:rPr>
        <w:t xml:space="preserve">prelekcjach i prezentacjach doświadczeń brali udział studenci SGGW oraz uczniowie Centrum Kształcenia Ustawicznego w Potoczku i </w:t>
      </w:r>
      <w:r w:rsidR="0082798E" w:rsidRPr="00343C67">
        <w:rPr>
          <w:rFonts w:ascii="Arial" w:hAnsi="Arial" w:cs="Arial"/>
        </w:rPr>
        <w:t>Szkoły Policealnej ŻAK w Puławach</w:t>
      </w:r>
      <w:r w:rsidR="0082798E" w:rsidRPr="0082798E">
        <w:rPr>
          <w:rFonts w:ascii="Arial" w:hAnsi="Arial" w:cs="Arial"/>
        </w:rPr>
        <w:t>. Tematykę integrowanej ochrony chmielu i tytoniu prezentowano również na innych konferencjach krajowych, np. ogólnopolskiej konferencji naukowej pt. „Regionalne zróżnicowanie uwarunkowań konkurencyjności rolnictwa. Konkurencyjność rolnictwa Lubelszczyzny”, 25.05.2018 w Lublinie oraz konferencji naukowej pt.</w:t>
      </w:r>
      <w:r w:rsidR="00B630C1">
        <w:rPr>
          <w:rFonts w:ascii="Arial" w:hAnsi="Arial" w:cs="Arial"/>
        </w:rPr>
        <w:t> </w:t>
      </w:r>
      <w:r w:rsidR="0082798E" w:rsidRPr="0082798E">
        <w:rPr>
          <w:rFonts w:ascii="Arial" w:hAnsi="Arial" w:cs="Arial"/>
        </w:rPr>
        <w:t xml:space="preserve">„Praktyczne wykorzystanie i wdrażanie wyników badań naukowych oraz nowe osiągnięcia w hodowli odmianowej do zastosowania w produkcji roślinnej”, 24-25.10.2018 w Radomiu. </w:t>
      </w:r>
    </w:p>
    <w:p w14:paraId="3964FD06" w14:textId="13717FA5"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realizacji tego zadania wydano drukiem w nakładzie 300 egzemplarzy dwa opracowania dotyczące integrowanej ochrony chmielu i tytoniu, tj. „Poradnik sygnalizatora ochrony chmielu” </w:t>
      </w:r>
      <w:r w:rsidR="00B7178D" w:rsidRPr="0082798E">
        <w:rPr>
          <w:rFonts w:ascii="Arial" w:hAnsi="Arial" w:cs="Arial"/>
        </w:rPr>
        <w:t>i</w:t>
      </w:r>
      <w:r w:rsidR="00B7178D">
        <w:rPr>
          <w:rFonts w:ascii="Arial" w:hAnsi="Arial" w:cs="Arial"/>
        </w:rPr>
        <w:t> </w:t>
      </w:r>
      <w:r w:rsidRPr="0082798E">
        <w:rPr>
          <w:rFonts w:ascii="Arial" w:hAnsi="Arial" w:cs="Arial"/>
        </w:rPr>
        <w:t xml:space="preserve">„Poradnik sygnalizatora ochrony tytoniu”. Wydawnictwa te są opatrzone bogatą dokumentacją fotograficzną dotyczącą agrofagów chmielu i tytoniu, ponadto zawierają informacje nt. systematyki </w:t>
      </w:r>
      <w:r w:rsidR="00343C67" w:rsidRPr="0082798E">
        <w:rPr>
          <w:rFonts w:ascii="Arial" w:hAnsi="Arial" w:cs="Arial"/>
        </w:rPr>
        <w:t>i</w:t>
      </w:r>
      <w:r w:rsidR="00343C67">
        <w:rPr>
          <w:rFonts w:ascii="Arial" w:hAnsi="Arial" w:cs="Arial"/>
        </w:rPr>
        <w:t> </w:t>
      </w:r>
      <w:r w:rsidRPr="0082798E">
        <w:rPr>
          <w:rFonts w:ascii="Arial" w:hAnsi="Arial" w:cs="Arial"/>
        </w:rPr>
        <w:t>biologii organizmów szkodliwych, czynników atmosferycznych sprzyjających rozwojowi chorób, objawów chorobowych, terminów zwalczania i progów ekonomicznej szkodliwości. Opracowania te</w:t>
      </w:r>
      <w:r w:rsidR="002F734A">
        <w:rPr>
          <w:rFonts w:ascii="Arial" w:hAnsi="Arial" w:cs="Arial"/>
        </w:rPr>
        <w:t> </w:t>
      </w:r>
      <w:r w:rsidRPr="0082798E">
        <w:rPr>
          <w:rFonts w:ascii="Arial" w:hAnsi="Arial" w:cs="Arial"/>
        </w:rPr>
        <w:t>zostały przekazane producentom chmielu i tytoniu oraz w wersji elektronicznej zamieszczone na Platformie Sygnalizacji Agrofagów. Opublikowano również dwa artykuły popularno-naukowe dotyczące, m.in. ograniczania chorób zagrażających rozsadzie tytoniu oraz przeciwdziałania następstwom suszy w uprawie tytoniu.</w:t>
      </w:r>
    </w:p>
    <w:p w14:paraId="724B9130" w14:textId="339747A3"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2019 r. </w:t>
      </w:r>
      <w:r w:rsidRPr="00332C6D">
        <w:rPr>
          <w:rFonts w:ascii="Arial" w:hAnsi="Arial" w:cs="Arial"/>
        </w:rPr>
        <w:t xml:space="preserve">Instytut </w:t>
      </w:r>
      <w:r w:rsidRPr="0082798E">
        <w:rPr>
          <w:rFonts w:ascii="Arial" w:hAnsi="Arial" w:cs="Arial"/>
        </w:rPr>
        <w:t xml:space="preserve"> upowszechniał wiedzę z zakresu integrowanej ochrony roślin poprzez organizację konferencji naukowej pt. ”Rola badań naukowych </w:t>
      </w:r>
      <w:r w:rsidR="00B7178D" w:rsidRPr="0082798E">
        <w:rPr>
          <w:rFonts w:ascii="Arial" w:hAnsi="Arial" w:cs="Arial"/>
        </w:rPr>
        <w:t>w</w:t>
      </w:r>
      <w:r w:rsidR="00B7178D">
        <w:rPr>
          <w:rFonts w:ascii="Arial" w:hAnsi="Arial" w:cs="Arial"/>
        </w:rPr>
        <w:t> </w:t>
      </w:r>
      <w:r w:rsidRPr="0082798E">
        <w:rPr>
          <w:rFonts w:ascii="Arial" w:hAnsi="Arial" w:cs="Arial"/>
        </w:rPr>
        <w:t xml:space="preserve">tworzeniu innowacyjnych rozwiązań w uprawie chmielu i tytoniu” w dniu 28 stycznia 2019 r. </w:t>
      </w:r>
      <w:r w:rsidR="00B7178D" w:rsidRPr="0082798E">
        <w:rPr>
          <w:rFonts w:ascii="Arial" w:hAnsi="Arial" w:cs="Arial"/>
        </w:rPr>
        <w:t>w</w:t>
      </w:r>
      <w:r w:rsidR="00B7178D">
        <w:rPr>
          <w:rFonts w:ascii="Arial" w:hAnsi="Arial" w:cs="Arial"/>
        </w:rPr>
        <w:t> </w:t>
      </w:r>
      <w:r w:rsidRPr="0082798E">
        <w:rPr>
          <w:rFonts w:ascii="Arial" w:hAnsi="Arial" w:cs="Arial"/>
        </w:rPr>
        <w:t>Puławach. W ramach wykładów omówiono zagadnienia związane z hodowlą oraz produkcją chmielu i tytoniu. Szczególną uwagę poświęcono chorobom i</w:t>
      </w:r>
      <w:r w:rsidR="00003711">
        <w:rPr>
          <w:rFonts w:ascii="Arial" w:hAnsi="Arial" w:cs="Arial"/>
        </w:rPr>
        <w:t> </w:t>
      </w:r>
      <w:r w:rsidRPr="0082798E">
        <w:rPr>
          <w:rFonts w:ascii="Arial" w:hAnsi="Arial" w:cs="Arial"/>
        </w:rPr>
        <w:t xml:space="preserve">szkodnikom tych gatunków uprawnych oraz metodom ich ograniczania zgodnie z zasadami integrowanej ochrony roślin. Druga część konferencji miała charakter warsztatów, w czasie których uczestnicy mieli możliwość praktycznego zapoznania się z różnymi metodami identyfikacji patogenów. </w:t>
      </w:r>
    </w:p>
    <w:p w14:paraId="580DDF9D" w14:textId="06A4AE8F"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Ważnym działaniem upowszechnieniowym były też zajęcia dydaktyczne dla uczniów szkół </w:t>
      </w:r>
      <w:r w:rsidR="00343C67" w:rsidRPr="0082798E">
        <w:rPr>
          <w:rFonts w:ascii="Arial" w:hAnsi="Arial" w:cs="Arial"/>
        </w:rPr>
        <w:t>i</w:t>
      </w:r>
      <w:r w:rsidR="00343C67">
        <w:rPr>
          <w:rFonts w:ascii="Arial" w:hAnsi="Arial" w:cs="Arial"/>
        </w:rPr>
        <w:t> </w:t>
      </w:r>
      <w:r w:rsidRPr="0082798E">
        <w:rPr>
          <w:rFonts w:ascii="Arial" w:hAnsi="Arial" w:cs="Arial"/>
        </w:rPr>
        <w:t xml:space="preserve">studentów uczelni rolniczych. Tematyka ośmiu zajęć zorganizowanych w 2019 r. obejmowała: kierunki i metody wykorzystywane w hodowli chmielu i tytoniu ze szczególnym uwzględnieniem hodowli </w:t>
      </w:r>
      <w:r w:rsidRPr="0082798E">
        <w:rPr>
          <w:rFonts w:ascii="Arial" w:hAnsi="Arial" w:cs="Arial"/>
        </w:rPr>
        <w:lastRenderedPageBreak/>
        <w:t xml:space="preserve">odpornościowej, choroby tych gatunków uprawnych i ich ograniczanie zgodnie z zasadami integrowanej ochrony, a także metody diagnozowania chorób roślin. </w:t>
      </w:r>
    </w:p>
    <w:p w14:paraId="27486992" w14:textId="0BE207A0"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upowszechniania wiedzy z zakresu integrowanej ochrony roślin opublikowano </w:t>
      </w:r>
      <w:r w:rsidR="00343C67" w:rsidRPr="0082798E">
        <w:rPr>
          <w:rFonts w:ascii="Arial" w:hAnsi="Arial" w:cs="Arial"/>
        </w:rPr>
        <w:t>w</w:t>
      </w:r>
      <w:r w:rsidR="00343C67">
        <w:rPr>
          <w:rFonts w:ascii="Arial" w:hAnsi="Arial" w:cs="Arial"/>
        </w:rPr>
        <w:t> </w:t>
      </w:r>
      <w:r w:rsidRPr="0082798E">
        <w:rPr>
          <w:rFonts w:ascii="Arial" w:hAnsi="Arial" w:cs="Arial"/>
        </w:rPr>
        <w:t>czasopiśmie branżowym „Przegląd Tytoniowy” dwa artykuły popularno-naukowe dotyczące chwastów jako rezerwuaru  patogenów wirusowych groźnych dla upraw tytoniu oraz przyczyn i sposobów ograniczania przedwczesnego zakwitania roślin tytoniu, które może być przyczyną znacznego obniżenia plonu.</w:t>
      </w:r>
    </w:p>
    <w:p w14:paraId="2006D038" w14:textId="6E2650B2"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2020 r. </w:t>
      </w:r>
      <w:r w:rsidRPr="00362E8C">
        <w:rPr>
          <w:rFonts w:ascii="Arial" w:hAnsi="Arial" w:cs="Arial"/>
        </w:rPr>
        <w:t>w Instytucie</w:t>
      </w:r>
      <w:r w:rsidRPr="00343C67">
        <w:rPr>
          <w:rFonts w:ascii="Arial" w:hAnsi="Arial" w:cs="Arial"/>
          <w:b/>
          <w:bCs/>
        </w:rPr>
        <w:t xml:space="preserve"> </w:t>
      </w:r>
      <w:r w:rsidRPr="0082798E">
        <w:rPr>
          <w:rFonts w:ascii="Arial" w:hAnsi="Arial" w:cs="Arial"/>
        </w:rPr>
        <w:t>zorganizowano konferencję pt. „Nauka dla ochrony zdrowia roślin”. Uczestnikami spotkania byli studenci Wydziału Rolnego Państwowej Wyższej Szkoły Zawodowej w</w:t>
      </w:r>
      <w:r w:rsidR="00003711">
        <w:rPr>
          <w:rFonts w:ascii="Arial" w:hAnsi="Arial" w:cs="Arial"/>
        </w:rPr>
        <w:t> </w:t>
      </w:r>
      <w:r w:rsidRPr="0082798E">
        <w:rPr>
          <w:rFonts w:ascii="Arial" w:hAnsi="Arial" w:cs="Arial"/>
        </w:rPr>
        <w:t>Chełmie, producenci rolni, a także pracownicy IUNG-PIB zainteresowani tematyką uprawy chmielu i</w:t>
      </w:r>
      <w:r w:rsidR="00003711">
        <w:rPr>
          <w:rFonts w:ascii="Arial" w:hAnsi="Arial" w:cs="Arial"/>
        </w:rPr>
        <w:t> </w:t>
      </w:r>
      <w:r w:rsidRPr="0082798E">
        <w:rPr>
          <w:rFonts w:ascii="Arial" w:hAnsi="Arial" w:cs="Arial"/>
        </w:rPr>
        <w:t>tytoniu oraz kwestiami związanymi z diagnozowaniem chorób i ochroną tych gatunków. W ramach konferencji zaprezentowano wybrane aspekty produkcji chmielu i tytoniu oraz najważniejsze choroby tych dwóch gatunków uprawnych, wykorzystanie hodowli i biotechnologii dla poprawy zdrowia roślin, a</w:t>
      </w:r>
      <w:r w:rsidR="00003711">
        <w:rPr>
          <w:rFonts w:ascii="Arial" w:hAnsi="Arial" w:cs="Arial"/>
        </w:rPr>
        <w:t> </w:t>
      </w:r>
      <w:r w:rsidRPr="0082798E">
        <w:rPr>
          <w:rFonts w:ascii="Arial" w:hAnsi="Arial" w:cs="Arial"/>
        </w:rPr>
        <w:t>także znaczenie chwastów jako rezerwuaru organizmów szkodliwych dla roślin. Druga część konferencji miała charakter warsztatów, w czasie których odbyły się zajęcia praktyczne dotyczące metod diagnozowania chorób roślin oraz wykorzystania zaawansowanych technik biologii molekularnej w</w:t>
      </w:r>
      <w:r w:rsidR="00003711">
        <w:rPr>
          <w:rFonts w:ascii="Arial" w:hAnsi="Arial" w:cs="Arial"/>
        </w:rPr>
        <w:t> </w:t>
      </w:r>
      <w:r w:rsidRPr="0082798E">
        <w:rPr>
          <w:rFonts w:ascii="Arial" w:hAnsi="Arial" w:cs="Arial"/>
        </w:rPr>
        <w:t>fitopatologii. Konferencja była dla uczestników okazją do zapoznania się z potencjałem naukowym IUNG</w:t>
      </w:r>
      <w:r w:rsidR="00343C67">
        <w:rPr>
          <w:rFonts w:ascii="Arial" w:hAnsi="Arial" w:cs="Arial"/>
        </w:rPr>
        <w:t xml:space="preserve"> </w:t>
      </w:r>
      <w:r w:rsidR="00343C67" w:rsidRPr="00343C67">
        <w:rPr>
          <w:rFonts w:ascii="Arial" w:hAnsi="Arial" w:cs="Arial"/>
          <w:b/>
          <w:bCs/>
        </w:rPr>
        <w:t xml:space="preserve">– </w:t>
      </w:r>
      <w:r w:rsidRPr="0082798E">
        <w:rPr>
          <w:rFonts w:ascii="Arial" w:hAnsi="Arial" w:cs="Arial"/>
        </w:rPr>
        <w:t xml:space="preserve">PIB oraz z najważniejszymi badaniami nad chmielem i tytoniem </w:t>
      </w:r>
      <w:r w:rsidR="00B7178D" w:rsidRPr="0082798E">
        <w:rPr>
          <w:rFonts w:ascii="Arial" w:hAnsi="Arial" w:cs="Arial"/>
        </w:rPr>
        <w:t>w</w:t>
      </w:r>
      <w:r w:rsidR="00B7178D">
        <w:rPr>
          <w:rFonts w:ascii="Arial" w:hAnsi="Arial" w:cs="Arial"/>
        </w:rPr>
        <w:t> </w:t>
      </w:r>
      <w:r w:rsidRPr="0082798E">
        <w:rPr>
          <w:rFonts w:ascii="Arial" w:hAnsi="Arial" w:cs="Arial"/>
        </w:rPr>
        <w:t xml:space="preserve">aspekcie zdrowia roślin. </w:t>
      </w:r>
    </w:p>
    <w:p w14:paraId="406EC771" w14:textId="65E35DE0" w:rsid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Kolejnym działaniem upowszechnieniowym było opublikowanie dwóch artykułów popularno-naukowych w czasopiśmie branżowym „Przegląd Tytoniowy”, które dotyczyły </w:t>
      </w:r>
      <w:r w:rsidRPr="00343C67">
        <w:rPr>
          <w:rFonts w:ascii="Arial" w:hAnsi="Arial" w:cs="Arial"/>
        </w:rPr>
        <w:t xml:space="preserve">ochrony plantacji tytoniu w czasie suszy oraz w warunkach chłodnego i deszczowego lata. </w:t>
      </w:r>
    </w:p>
    <w:p w14:paraId="2D4623E6" w14:textId="0A1C3EEC" w:rsidR="009E5912" w:rsidRPr="00082331" w:rsidRDefault="009E5912" w:rsidP="006C0556">
      <w:pPr>
        <w:pStyle w:val="NormalnyWeb"/>
        <w:tabs>
          <w:tab w:val="left" w:pos="284"/>
        </w:tabs>
        <w:spacing w:beforeAutospacing="0" w:after="120" w:afterAutospacing="0" w:line="360" w:lineRule="auto"/>
        <w:ind w:firstLine="284"/>
        <w:jc w:val="both"/>
        <w:rPr>
          <w:rFonts w:ascii="Arial" w:hAnsi="Arial" w:cs="Arial"/>
        </w:rPr>
      </w:pPr>
      <w:r w:rsidRPr="00082331">
        <w:rPr>
          <w:rFonts w:ascii="Arial" w:hAnsi="Arial" w:cs="Arial"/>
          <w:b/>
        </w:rPr>
        <w:t xml:space="preserve">W 2021 r. </w:t>
      </w:r>
      <w:r w:rsidRPr="00082331">
        <w:rPr>
          <w:rFonts w:ascii="Arial" w:hAnsi="Arial" w:cs="Arial"/>
        </w:rPr>
        <w:t xml:space="preserve">Instytut kontynuował działania upowszechnieniowe z zakresu integrowanej ochrony roślin. </w:t>
      </w:r>
      <w:r w:rsidR="00B53E55">
        <w:rPr>
          <w:rFonts w:ascii="Arial" w:hAnsi="Arial" w:cs="Arial"/>
        </w:rPr>
        <w:t xml:space="preserve">Do </w:t>
      </w:r>
      <w:r w:rsidR="0044685B">
        <w:rPr>
          <w:rFonts w:ascii="Arial" w:hAnsi="Arial" w:cs="Arial"/>
        </w:rPr>
        <w:t xml:space="preserve">ważniejszych należy </w:t>
      </w:r>
      <w:r w:rsidRPr="00082331">
        <w:rPr>
          <w:rFonts w:ascii="Arial" w:hAnsi="Arial" w:cs="Arial"/>
        </w:rPr>
        <w:t>publikacj</w:t>
      </w:r>
      <w:r w:rsidR="0044685B">
        <w:rPr>
          <w:rFonts w:ascii="Arial" w:hAnsi="Arial" w:cs="Arial"/>
        </w:rPr>
        <w:t>a</w:t>
      </w:r>
      <w:r w:rsidRPr="00082331">
        <w:rPr>
          <w:rFonts w:ascii="Arial" w:hAnsi="Arial" w:cs="Arial"/>
        </w:rPr>
        <w:t xml:space="preserve"> </w:t>
      </w:r>
      <w:r>
        <w:rPr>
          <w:rFonts w:ascii="Arial" w:hAnsi="Arial" w:cs="Arial"/>
        </w:rPr>
        <w:t>trzech artykułów popularno-naukowych</w:t>
      </w:r>
      <w:r w:rsidRPr="00082331">
        <w:rPr>
          <w:rFonts w:ascii="Arial" w:hAnsi="Arial" w:cs="Arial"/>
        </w:rPr>
        <w:t>. Opracowania w</w:t>
      </w:r>
      <w:r w:rsidR="002F734A">
        <w:rPr>
          <w:rFonts w:ascii="Arial" w:hAnsi="Arial" w:cs="Arial"/>
        </w:rPr>
        <w:t> </w:t>
      </w:r>
      <w:r w:rsidRPr="00082331">
        <w:rPr>
          <w:rFonts w:ascii="Arial" w:hAnsi="Arial" w:cs="Arial"/>
        </w:rPr>
        <w:t>czasopiśmie branżowym „Przegląd Tytoniowy” dotyczyły korzyści wynikających z hodowli odmian tytoniu odpornych na wirusową chorobę brunatnienia nerwów liści, a także</w:t>
      </w:r>
      <w:r>
        <w:rPr>
          <w:rFonts w:ascii="Arial" w:hAnsi="Arial" w:cs="Arial"/>
        </w:rPr>
        <w:t xml:space="preserve"> ryzoktoniozy liści tytoniu. W</w:t>
      </w:r>
      <w:r w:rsidR="002F734A">
        <w:rPr>
          <w:rFonts w:ascii="Arial" w:hAnsi="Arial" w:cs="Arial"/>
        </w:rPr>
        <w:t> </w:t>
      </w:r>
      <w:r w:rsidRPr="00082331">
        <w:rPr>
          <w:rFonts w:ascii="Arial" w:hAnsi="Arial" w:cs="Arial"/>
        </w:rPr>
        <w:t xml:space="preserve">Biuletynie Lubelskiej Izby Rolniczej </w:t>
      </w:r>
      <w:r>
        <w:rPr>
          <w:rFonts w:ascii="Arial" w:hAnsi="Arial" w:cs="Arial"/>
        </w:rPr>
        <w:t xml:space="preserve">przedstawiono </w:t>
      </w:r>
      <w:r w:rsidRPr="00082331">
        <w:rPr>
          <w:rFonts w:ascii="Arial" w:hAnsi="Arial" w:cs="Arial"/>
        </w:rPr>
        <w:t>wymaga</w:t>
      </w:r>
      <w:r>
        <w:rPr>
          <w:rFonts w:ascii="Arial" w:hAnsi="Arial" w:cs="Arial"/>
        </w:rPr>
        <w:t>nia</w:t>
      </w:r>
      <w:r w:rsidRPr="00082331">
        <w:rPr>
          <w:rFonts w:ascii="Arial" w:hAnsi="Arial" w:cs="Arial"/>
        </w:rPr>
        <w:t xml:space="preserve"> siedliskow</w:t>
      </w:r>
      <w:r>
        <w:rPr>
          <w:rFonts w:ascii="Arial" w:hAnsi="Arial" w:cs="Arial"/>
        </w:rPr>
        <w:t>e</w:t>
      </w:r>
      <w:r w:rsidRPr="00082331">
        <w:rPr>
          <w:rFonts w:ascii="Arial" w:hAnsi="Arial" w:cs="Arial"/>
        </w:rPr>
        <w:t xml:space="preserve"> </w:t>
      </w:r>
      <w:r>
        <w:rPr>
          <w:rFonts w:ascii="Arial" w:hAnsi="Arial" w:cs="Arial"/>
        </w:rPr>
        <w:t xml:space="preserve">chmielu </w:t>
      </w:r>
      <w:r w:rsidRPr="00082331">
        <w:rPr>
          <w:rFonts w:ascii="Arial" w:hAnsi="Arial" w:cs="Arial"/>
        </w:rPr>
        <w:t>oraz najważniejsz</w:t>
      </w:r>
      <w:r>
        <w:rPr>
          <w:rFonts w:ascii="Arial" w:hAnsi="Arial" w:cs="Arial"/>
        </w:rPr>
        <w:t>e</w:t>
      </w:r>
      <w:r w:rsidRPr="00082331">
        <w:rPr>
          <w:rFonts w:ascii="Arial" w:hAnsi="Arial" w:cs="Arial"/>
        </w:rPr>
        <w:t xml:space="preserve"> chor</w:t>
      </w:r>
      <w:r>
        <w:rPr>
          <w:rFonts w:ascii="Arial" w:hAnsi="Arial" w:cs="Arial"/>
        </w:rPr>
        <w:t>o</w:t>
      </w:r>
      <w:r w:rsidRPr="00082331">
        <w:rPr>
          <w:rFonts w:ascii="Arial" w:hAnsi="Arial" w:cs="Arial"/>
        </w:rPr>
        <w:t>b</w:t>
      </w:r>
      <w:r>
        <w:rPr>
          <w:rFonts w:ascii="Arial" w:hAnsi="Arial" w:cs="Arial"/>
        </w:rPr>
        <w:t>y</w:t>
      </w:r>
      <w:r w:rsidRPr="00082331">
        <w:rPr>
          <w:rFonts w:ascii="Arial" w:hAnsi="Arial" w:cs="Arial"/>
        </w:rPr>
        <w:t xml:space="preserve"> i szkodnik</w:t>
      </w:r>
      <w:r>
        <w:rPr>
          <w:rFonts w:ascii="Arial" w:hAnsi="Arial" w:cs="Arial"/>
        </w:rPr>
        <w:t>i</w:t>
      </w:r>
      <w:r w:rsidRPr="00082331">
        <w:rPr>
          <w:rFonts w:ascii="Arial" w:hAnsi="Arial" w:cs="Arial"/>
        </w:rPr>
        <w:t xml:space="preserve"> </w:t>
      </w:r>
      <w:r>
        <w:rPr>
          <w:rFonts w:ascii="Arial" w:hAnsi="Arial" w:cs="Arial"/>
        </w:rPr>
        <w:t>tej rośliny</w:t>
      </w:r>
      <w:r w:rsidRPr="00082331">
        <w:rPr>
          <w:rFonts w:ascii="Arial" w:hAnsi="Arial" w:cs="Arial"/>
        </w:rPr>
        <w:t xml:space="preserve">. </w:t>
      </w:r>
    </w:p>
    <w:p w14:paraId="76DBF5E2" w14:textId="77777777" w:rsidR="009E5912" w:rsidRPr="00222A1A" w:rsidRDefault="009E5912" w:rsidP="006C0556">
      <w:pPr>
        <w:pStyle w:val="NormalnyWeb"/>
        <w:tabs>
          <w:tab w:val="left" w:pos="284"/>
        </w:tabs>
        <w:spacing w:beforeAutospacing="0" w:after="120" w:afterAutospacing="0" w:line="360" w:lineRule="auto"/>
        <w:ind w:firstLine="284"/>
        <w:jc w:val="both"/>
        <w:rPr>
          <w:rFonts w:ascii="Arial" w:hAnsi="Arial" w:cs="Arial"/>
        </w:rPr>
      </w:pPr>
      <w:r w:rsidRPr="00222A1A">
        <w:rPr>
          <w:rFonts w:ascii="Arial" w:hAnsi="Arial" w:cs="Arial"/>
        </w:rPr>
        <w:t>Ponadto, zorganizowano zajęcia edukacyjne dla studentów kierunku Rolnictwa SGGW. W programie zajęć przedstawiono zagadnienia związane z uprawą tytoniu i chmielu, najważniejsze choroby tych roślin i metody ich ograniczania zgodnie z zasadami integrowanej ochrony.</w:t>
      </w:r>
    </w:p>
    <w:p w14:paraId="6D953BE3" w14:textId="39BE6109" w:rsidR="00AA0692" w:rsidRPr="00222A1A" w:rsidRDefault="00AA0692" w:rsidP="006C0556">
      <w:pPr>
        <w:pStyle w:val="NormalnyWeb"/>
        <w:tabs>
          <w:tab w:val="left" w:pos="284"/>
        </w:tabs>
        <w:spacing w:beforeAutospacing="0" w:after="120" w:afterAutospacing="0" w:line="360" w:lineRule="auto"/>
        <w:ind w:firstLine="284"/>
        <w:jc w:val="both"/>
        <w:rPr>
          <w:rFonts w:ascii="Arial" w:hAnsi="Arial" w:cs="Arial"/>
        </w:rPr>
      </w:pPr>
      <w:r w:rsidRPr="00222A1A">
        <w:rPr>
          <w:rFonts w:ascii="Arial" w:hAnsi="Arial" w:cs="Arial"/>
        </w:rPr>
        <w:t>Podobnie jak w latach 20</w:t>
      </w:r>
      <w:r w:rsidR="00FB2E85" w:rsidRPr="00222A1A">
        <w:rPr>
          <w:rFonts w:ascii="Arial" w:hAnsi="Arial" w:cs="Arial"/>
        </w:rPr>
        <w:t>18-202</w:t>
      </w:r>
      <w:r w:rsidRPr="00222A1A">
        <w:rPr>
          <w:rFonts w:ascii="Arial" w:hAnsi="Arial" w:cs="Arial"/>
        </w:rPr>
        <w:t xml:space="preserve">1, </w:t>
      </w:r>
      <w:r w:rsidR="00222A1A" w:rsidRPr="00222A1A">
        <w:rPr>
          <w:rFonts w:ascii="Arial" w:hAnsi="Arial" w:cs="Arial"/>
        </w:rPr>
        <w:t xml:space="preserve">Instytut </w:t>
      </w:r>
      <w:r w:rsidR="00574AF2" w:rsidRPr="006C0556">
        <w:rPr>
          <w:rFonts w:ascii="Arial" w:hAnsi="Arial" w:cs="Arial"/>
          <w:b/>
        </w:rPr>
        <w:t>w 2002 r.</w:t>
      </w:r>
      <w:r w:rsidR="00574AF2" w:rsidRPr="00222A1A">
        <w:rPr>
          <w:rFonts w:ascii="Arial" w:hAnsi="Arial" w:cs="Arial"/>
        </w:rPr>
        <w:t xml:space="preserve"> </w:t>
      </w:r>
      <w:r w:rsidRPr="00222A1A">
        <w:rPr>
          <w:rFonts w:ascii="Arial" w:hAnsi="Arial" w:cs="Arial"/>
        </w:rPr>
        <w:t>w ramach upowszechniania wiedzy z zakresu integrowanej ochrony roślin, w dniu 26.05.2022 r. zorganizowano zajęcia edukacyjne dla studentów SGGW, podczas których prezentowano zagadnienia z zakresu uprawy chmielu i tytoniu, w tym również kwestie związane z ochroną tych gatunków uprawnych przed chorobami i szkodnikami z</w:t>
      </w:r>
      <w:r w:rsidR="00506F43">
        <w:rPr>
          <w:rFonts w:ascii="Arial" w:hAnsi="Arial" w:cs="Arial"/>
        </w:rPr>
        <w:t> </w:t>
      </w:r>
      <w:r w:rsidRPr="00222A1A">
        <w:rPr>
          <w:rFonts w:ascii="Arial" w:hAnsi="Arial" w:cs="Arial"/>
        </w:rPr>
        <w:t xml:space="preserve">wykorzystaniem metod agrotechnicznych, biologicznych i chemicznych. Tematykę integrowanej ochrony roślin na przykładzie chmielu i tytoniu prezentowano również uczniom i studentom odwiedzającym </w:t>
      </w:r>
      <w:r w:rsidR="00506F43" w:rsidRPr="00222A1A">
        <w:rPr>
          <w:rFonts w:ascii="Arial" w:hAnsi="Arial" w:cs="Arial"/>
        </w:rPr>
        <w:t>Instytut</w:t>
      </w:r>
      <w:r w:rsidRPr="00222A1A">
        <w:rPr>
          <w:rFonts w:ascii="Arial" w:hAnsi="Arial" w:cs="Arial"/>
        </w:rPr>
        <w:t xml:space="preserve"> w ramach Tygodnia Otwartych Drzwi w dniach 23-27. 05. 2022 r. </w:t>
      </w:r>
    </w:p>
    <w:p w14:paraId="11275733" w14:textId="2D5E9F20" w:rsidR="00AA0692" w:rsidRPr="00506F43" w:rsidRDefault="00AA0692" w:rsidP="006C0556">
      <w:pPr>
        <w:pStyle w:val="NormalnyWeb"/>
        <w:tabs>
          <w:tab w:val="left" w:pos="284"/>
        </w:tabs>
        <w:spacing w:beforeAutospacing="0" w:after="120" w:afterAutospacing="0" w:line="360" w:lineRule="auto"/>
        <w:ind w:firstLine="284"/>
        <w:jc w:val="both"/>
        <w:rPr>
          <w:rFonts w:ascii="Arial" w:hAnsi="Arial" w:cs="Arial"/>
        </w:rPr>
      </w:pPr>
      <w:r w:rsidRPr="00506F43">
        <w:rPr>
          <w:rFonts w:ascii="Arial" w:hAnsi="Arial" w:cs="Arial"/>
        </w:rPr>
        <w:t xml:space="preserve">Inną formą upowszechniania wiedzy z zakresu integrowanej ochrony roślin był udział w konferencji </w:t>
      </w:r>
      <w:r w:rsidRPr="00506F43">
        <w:rPr>
          <w:rFonts w:ascii="Arial" w:hAnsi="Arial" w:cs="Arial"/>
        </w:rPr>
        <w:lastRenderedPageBreak/>
        <w:t>naukowej pt. „Nowoczesne spojrzenie na fitopatologię” zorganizowanej przez Polskie Towarzystwo Fitopatologiczne w dniach 7-8 września 2022 r. w Lublinie, gdzie zaprezentowano doniesienie na temat zgnilizny twardzikowej chmielu, która została po raz pierwszy stwierdzona w uprawie tego gatunku w</w:t>
      </w:r>
      <w:r w:rsidR="00BB2EC1">
        <w:rPr>
          <w:rFonts w:ascii="Arial" w:hAnsi="Arial" w:cs="Arial"/>
        </w:rPr>
        <w:t> </w:t>
      </w:r>
      <w:r w:rsidRPr="00506F43">
        <w:rPr>
          <w:rFonts w:ascii="Arial" w:hAnsi="Arial" w:cs="Arial"/>
        </w:rPr>
        <w:t>Polsce oraz doniesienie na temat zastosowania tytoniu w ochronie roślin. Ponadto, opracowano dwa rozdziały w monografii z serii Studia i Raporty IUNG-PIB pt. Osiągnięcia i wy</w:t>
      </w:r>
      <w:r w:rsidR="00F924A0">
        <w:rPr>
          <w:rFonts w:ascii="Arial" w:hAnsi="Arial" w:cs="Arial"/>
        </w:rPr>
        <w:t>z</w:t>
      </w:r>
      <w:r w:rsidRPr="00506F43">
        <w:rPr>
          <w:rFonts w:ascii="Arial" w:hAnsi="Arial" w:cs="Arial"/>
        </w:rPr>
        <w:t>wania produkcji chmielu i</w:t>
      </w:r>
      <w:r w:rsidR="00F924A0">
        <w:rPr>
          <w:rFonts w:ascii="Arial" w:hAnsi="Arial" w:cs="Arial"/>
        </w:rPr>
        <w:t> </w:t>
      </w:r>
      <w:r w:rsidRPr="00506F43">
        <w:rPr>
          <w:rFonts w:ascii="Arial" w:hAnsi="Arial" w:cs="Arial"/>
        </w:rPr>
        <w:t xml:space="preserve">tytoniu”. Pierwszy z nich dotyczył wirusów mozaiki ogórka (CMV) oraz brązowej plamistości pomidora (TSWV), natomiast drugi przedstawiał biologię, występowanie oraz możliwości ograniczania zgnilizny twardzikowej w uprawie tytoniu i chmielu.   </w:t>
      </w:r>
    </w:p>
    <w:p w14:paraId="2D48EA03" w14:textId="77777777" w:rsidR="00AA0692" w:rsidRPr="00506F43" w:rsidRDefault="00AA0692" w:rsidP="006C0556">
      <w:pPr>
        <w:pStyle w:val="NormalnyWeb"/>
        <w:tabs>
          <w:tab w:val="left" w:pos="284"/>
        </w:tabs>
        <w:spacing w:beforeAutospacing="0" w:after="120" w:afterAutospacing="0" w:line="360" w:lineRule="auto"/>
        <w:ind w:firstLine="284"/>
        <w:jc w:val="both"/>
        <w:rPr>
          <w:rFonts w:ascii="Arial" w:hAnsi="Arial" w:cs="Arial"/>
        </w:rPr>
      </w:pPr>
      <w:r w:rsidRPr="00506F43">
        <w:rPr>
          <w:rFonts w:ascii="Arial" w:hAnsi="Arial" w:cs="Arial"/>
        </w:rPr>
        <w:t>Działania podejmowane w IUNG-PIB w latach 2018-2022 zakresie upowszechniania wiedzy na temat integrowanej ochrony roślin skupiały się na dwóch gatunkach uprawnych, tj. chmielu i tytoniu. Obejmowały one wiele aktywności, takich jak:</w:t>
      </w:r>
    </w:p>
    <w:p w14:paraId="61464E8D" w14:textId="7847AFA9" w:rsidR="00AA0692" w:rsidRPr="00AA0692" w:rsidRDefault="00AA0692" w:rsidP="00C23185">
      <w:pPr>
        <w:pStyle w:val="NormalnyWeb"/>
        <w:numPr>
          <w:ilvl w:val="0"/>
          <w:numId w:val="23"/>
        </w:numPr>
        <w:tabs>
          <w:tab w:val="left" w:pos="284"/>
        </w:tabs>
        <w:spacing w:beforeAutospacing="0" w:after="120" w:afterAutospacing="0" w:line="360" w:lineRule="auto"/>
        <w:jc w:val="both"/>
        <w:rPr>
          <w:rFonts w:ascii="Arial" w:hAnsi="Arial" w:cs="Arial"/>
        </w:rPr>
      </w:pPr>
      <w:r w:rsidRPr="00AA0692">
        <w:rPr>
          <w:rFonts w:ascii="Arial" w:hAnsi="Arial" w:cs="Arial"/>
        </w:rPr>
        <w:t>wydanie poradników sygnalizatora ochrony chmielu i tytoniu, upowszechnienie tych wydawnictw wśród producentów rolnych, a także udostępnienie ich w wersji elektronicznej na Platformie Sygnalizacji Agrofagów;</w:t>
      </w:r>
    </w:p>
    <w:p w14:paraId="614072C7" w14:textId="153694D5" w:rsidR="00AA0692" w:rsidRPr="00AA0692" w:rsidRDefault="00AA0692" w:rsidP="00C23185">
      <w:pPr>
        <w:pStyle w:val="NormalnyWeb"/>
        <w:numPr>
          <w:ilvl w:val="0"/>
          <w:numId w:val="23"/>
        </w:numPr>
        <w:tabs>
          <w:tab w:val="left" w:pos="284"/>
        </w:tabs>
        <w:spacing w:beforeAutospacing="0" w:after="120" w:afterAutospacing="0" w:line="360" w:lineRule="auto"/>
        <w:jc w:val="both"/>
        <w:rPr>
          <w:rFonts w:ascii="Arial" w:hAnsi="Arial" w:cs="Arial"/>
        </w:rPr>
      </w:pPr>
      <w:r w:rsidRPr="00AA0692">
        <w:rPr>
          <w:rFonts w:ascii="Arial" w:hAnsi="Arial" w:cs="Arial"/>
        </w:rPr>
        <w:t>organizacja konferencji naukowych i warsztatów o tematyce integrowanej ochrony roślin;</w:t>
      </w:r>
    </w:p>
    <w:p w14:paraId="00802A4B" w14:textId="7B456296" w:rsidR="00AA0692" w:rsidRPr="00AA0692" w:rsidRDefault="00AA0692" w:rsidP="00C23185">
      <w:pPr>
        <w:pStyle w:val="NormalnyWeb"/>
        <w:numPr>
          <w:ilvl w:val="0"/>
          <w:numId w:val="23"/>
        </w:numPr>
        <w:tabs>
          <w:tab w:val="left" w:pos="284"/>
        </w:tabs>
        <w:spacing w:beforeAutospacing="0" w:after="120" w:afterAutospacing="0" w:line="360" w:lineRule="auto"/>
        <w:jc w:val="both"/>
        <w:rPr>
          <w:rFonts w:ascii="Arial" w:hAnsi="Arial" w:cs="Arial"/>
        </w:rPr>
      </w:pPr>
      <w:r w:rsidRPr="00AA0692">
        <w:rPr>
          <w:rFonts w:ascii="Arial" w:hAnsi="Arial" w:cs="Arial"/>
        </w:rPr>
        <w:t>organizacja zajęć edukacyjnych dla studentów i uczniów szkół branżowych;</w:t>
      </w:r>
    </w:p>
    <w:p w14:paraId="4FE3253C" w14:textId="5B2BCBB9" w:rsidR="00AA0692" w:rsidRPr="00AA0692" w:rsidRDefault="00AA0692" w:rsidP="00C23185">
      <w:pPr>
        <w:pStyle w:val="NormalnyWeb"/>
        <w:numPr>
          <w:ilvl w:val="0"/>
          <w:numId w:val="23"/>
        </w:numPr>
        <w:tabs>
          <w:tab w:val="left" w:pos="284"/>
        </w:tabs>
        <w:spacing w:beforeAutospacing="0" w:after="120" w:afterAutospacing="0" w:line="360" w:lineRule="auto"/>
        <w:jc w:val="both"/>
        <w:rPr>
          <w:rFonts w:ascii="Arial" w:hAnsi="Arial" w:cs="Arial"/>
        </w:rPr>
      </w:pPr>
      <w:r w:rsidRPr="00AA0692">
        <w:rPr>
          <w:rFonts w:ascii="Arial" w:hAnsi="Arial" w:cs="Arial"/>
        </w:rPr>
        <w:t>opracowanie publikacji naukowych i popularno-naukowych;</w:t>
      </w:r>
    </w:p>
    <w:p w14:paraId="58184C28" w14:textId="1F8FDBE7" w:rsidR="00AA0692" w:rsidRPr="00AA0692" w:rsidRDefault="00AA0692" w:rsidP="00C23185">
      <w:pPr>
        <w:pStyle w:val="NormalnyWeb"/>
        <w:numPr>
          <w:ilvl w:val="0"/>
          <w:numId w:val="23"/>
        </w:numPr>
        <w:tabs>
          <w:tab w:val="left" w:pos="284"/>
        </w:tabs>
        <w:spacing w:beforeAutospacing="0" w:after="120" w:afterAutospacing="0" w:line="360" w:lineRule="auto"/>
        <w:jc w:val="both"/>
        <w:rPr>
          <w:rFonts w:ascii="Arial" w:hAnsi="Arial" w:cs="Arial"/>
        </w:rPr>
      </w:pPr>
      <w:r w:rsidRPr="00AA0692">
        <w:rPr>
          <w:rFonts w:ascii="Arial" w:hAnsi="Arial" w:cs="Arial"/>
        </w:rPr>
        <w:t>prezentacja doniesień na konferencjach naukowych</w:t>
      </w:r>
      <w:r w:rsidR="00C23185">
        <w:rPr>
          <w:rFonts w:ascii="Arial" w:hAnsi="Arial" w:cs="Arial"/>
        </w:rPr>
        <w:t>.</w:t>
      </w:r>
    </w:p>
    <w:p w14:paraId="781A3FBC" w14:textId="372E8C46" w:rsidR="00AA0692" w:rsidRPr="0082798E" w:rsidRDefault="00AA0692" w:rsidP="00AA0692">
      <w:pPr>
        <w:pStyle w:val="NormalnyWeb"/>
        <w:tabs>
          <w:tab w:val="left" w:pos="284"/>
        </w:tabs>
        <w:spacing w:beforeAutospacing="0" w:after="120" w:afterAutospacing="0" w:line="360" w:lineRule="auto"/>
        <w:ind w:firstLine="284"/>
        <w:jc w:val="both"/>
        <w:rPr>
          <w:rFonts w:ascii="Arial" w:hAnsi="Arial" w:cs="Arial"/>
        </w:rPr>
      </w:pPr>
      <w:r w:rsidRPr="00AA0692">
        <w:rPr>
          <w:rFonts w:ascii="Arial" w:hAnsi="Arial" w:cs="Arial"/>
        </w:rPr>
        <w:t>Działania te trafiły do szerokiego grona odbiorców.</w:t>
      </w:r>
    </w:p>
    <w:p w14:paraId="372AF7C8" w14:textId="54670E2F"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Przedstawiciele </w:t>
      </w:r>
      <w:r w:rsidRPr="00925BCD">
        <w:rPr>
          <w:rFonts w:ascii="Arial" w:hAnsi="Arial" w:cs="Arial"/>
          <w:b/>
        </w:rPr>
        <w:t>Ministerstwa Rolnictwa i Rozwoju Wsi</w:t>
      </w:r>
      <w:r w:rsidRPr="00925BCD">
        <w:rPr>
          <w:rFonts w:ascii="Arial" w:hAnsi="Arial" w:cs="Arial"/>
        </w:rPr>
        <w:t xml:space="preserve"> uczestniczyli także w licznych konferencjach, seminariach oraz imprezach targowo-wystawienniczych poświęconych rolnictwu, prezentując i wyjaśniając </w:t>
      </w:r>
      <w:r w:rsidR="00D5577E" w:rsidRPr="00925BCD">
        <w:rPr>
          <w:rFonts w:ascii="Arial" w:hAnsi="Arial" w:cs="Arial"/>
        </w:rPr>
        <w:t xml:space="preserve">wszystkim zainteresowanym </w:t>
      </w:r>
      <w:r w:rsidRPr="00925BCD">
        <w:rPr>
          <w:rFonts w:ascii="Arial" w:hAnsi="Arial" w:cs="Arial"/>
        </w:rPr>
        <w:t>zagadnienia z zakresu integrowanej ochrony roślin i integrowanej produkcji roślin. Tego typu spotkania wykorzystywane były także do dystrybucji materiałów informacyjnych poświęconych integrowanej ochronie roślin. Do najważniejszych tego typu wydarzeń w </w:t>
      </w:r>
      <w:r w:rsidR="00B7178D">
        <w:rPr>
          <w:rFonts w:ascii="Arial" w:hAnsi="Arial" w:cs="Arial"/>
        </w:rPr>
        <w:t xml:space="preserve">latach </w:t>
      </w:r>
      <w:r w:rsidRPr="00925BCD">
        <w:rPr>
          <w:rFonts w:ascii="Arial" w:hAnsi="Arial" w:cs="Arial"/>
        </w:rPr>
        <w:t>2018</w:t>
      </w:r>
      <w:r w:rsidR="00A20E17">
        <w:rPr>
          <w:rFonts w:cs="Arial"/>
        </w:rPr>
        <w:t>–</w:t>
      </w:r>
      <w:r w:rsidR="00B7178D">
        <w:rPr>
          <w:rFonts w:ascii="Arial" w:hAnsi="Arial" w:cs="Arial"/>
        </w:rPr>
        <w:t>202</w:t>
      </w:r>
      <w:r w:rsidR="002845BF">
        <w:rPr>
          <w:rFonts w:ascii="Arial" w:hAnsi="Arial" w:cs="Arial"/>
        </w:rPr>
        <w:t>2</w:t>
      </w:r>
      <w:r w:rsidR="005702B0" w:rsidRPr="00925BCD">
        <w:rPr>
          <w:rFonts w:ascii="Arial" w:hAnsi="Arial" w:cs="Arial"/>
        </w:rPr>
        <w:t xml:space="preserve"> </w:t>
      </w:r>
      <w:r w:rsidRPr="00925BCD">
        <w:rPr>
          <w:rFonts w:ascii="Arial" w:hAnsi="Arial" w:cs="Arial"/>
        </w:rPr>
        <w:t>należały:</w:t>
      </w:r>
    </w:p>
    <w:p w14:paraId="067093CB"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Rolnicze Agro-Park w Lublinie, </w:t>
      </w:r>
    </w:p>
    <w:p w14:paraId="27E287F2"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Rolno-Przemysłowe AGRO-TECH, połączone z Regionalną Wystawą Zwierząt Hodowlanych w Minikowie, </w:t>
      </w:r>
    </w:p>
    <w:p w14:paraId="38862768"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Krajowa Wystawa Rolnicza oraz Dożynki Jasnogórskie w Częstochowie, </w:t>
      </w:r>
    </w:p>
    <w:p w14:paraId="0DA2881E"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Międzynarodowe Dni z Doradztwem Rolniczym, połączone z Regionalną Wystawą Zwierząt Hodowlanych w Siedlcach, </w:t>
      </w:r>
    </w:p>
    <w:p w14:paraId="2F4C9761"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Regionalna Wystawa Zwierząt Hodowlanych i Dni z Doradztwem Rolniczym w Szepietowie.</w:t>
      </w:r>
    </w:p>
    <w:p w14:paraId="28582BB9" w14:textId="1D15EFB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potrzeby realizacji zadania </w:t>
      </w:r>
      <w:r w:rsidR="00D5577E" w:rsidRPr="00925BCD">
        <w:rPr>
          <w:rFonts w:ascii="Arial" w:hAnsi="Arial" w:cs="Arial"/>
        </w:rPr>
        <w:t>m</w:t>
      </w:r>
      <w:r w:rsidRPr="00925BCD">
        <w:rPr>
          <w:rFonts w:ascii="Arial" w:hAnsi="Arial" w:cs="Arial"/>
        </w:rPr>
        <w:t xml:space="preserve">ateriały dotyczące przepisów, w tym w zakresie integrowanej ochrony roślin, były zamieszczone w publikacji Ministerstwa Rolnictwa i Rozwoju Wsi pt. „Rolnictwo i Gospodarka Żywnościowa w Polsce” oraz Biuletynie Informacyjnym Ministerstwa Rolnictwa i Rozwoju </w:t>
      </w:r>
      <w:r w:rsidRPr="00925BCD">
        <w:rPr>
          <w:rFonts w:ascii="Arial" w:hAnsi="Arial" w:cs="Arial"/>
        </w:rPr>
        <w:lastRenderedPageBreak/>
        <w:t>Wsi, jak również w różnego rodzaju materiałach szkoleniowych, targowych oraz programach ochrony roślin.</w:t>
      </w:r>
    </w:p>
    <w:p w14:paraId="5992169F"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wśród materiałów promocyjno-informacyjnych znalazły się także ulotki i plakaty popularyzujące integrowaną ochronę roślin. Ulotki były dystrybuowane wśród producentów rolnych, z kolei plakaty zostały dostarczone do punktów obrotu środkami ochrony roślin. W 2018 r. rozdystrybuowanych zostało 400 broszur pn. „Dobra praktyka ochrony roślin - Ochrona zapylaczy podczas stosowania środków ochrony roślin”, 100 egzemplarzy plakatów i 1300 egzemplarzy ulotek „Nie pozwól aby zabieg ochrony roślin zagrażał zapylaczom” oraz 350 plakatów „Ochrona zbóż przed chorobami grzybowymi to nie tylko dbałość o plon, ale także o zdrowie konsumenta”.</w:t>
      </w:r>
    </w:p>
    <w:p w14:paraId="547AB75D"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33F7E76C" wp14:editId="4875D893">
            <wp:extent cx="1729105" cy="2433320"/>
            <wp:effectExtent l="0" t="0" r="0" b="0"/>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2"/>
                    <pic:cNvPicPr>
                      <a:picLocks noChangeAspect="1" noChangeArrowheads="1"/>
                    </pic:cNvPicPr>
                  </pic:nvPicPr>
                  <pic:blipFill>
                    <a:blip r:embed="rId23"/>
                    <a:stretch>
                      <a:fillRect/>
                    </a:stretch>
                  </pic:blipFill>
                  <pic:spPr bwMode="auto">
                    <a:xfrm>
                      <a:off x="0" y="0"/>
                      <a:ext cx="1729105" cy="2433320"/>
                    </a:xfrm>
                    <a:prstGeom prst="rect">
                      <a:avLst/>
                    </a:prstGeom>
                  </pic:spPr>
                </pic:pic>
              </a:graphicData>
            </a:graphic>
          </wp:inline>
        </w:drawing>
      </w:r>
      <w:r w:rsidRPr="00925BCD">
        <w:rPr>
          <w:noProof/>
        </w:rPr>
        <w:drawing>
          <wp:inline distT="0" distB="0" distL="0" distR="0" wp14:anchorId="6C025E09" wp14:editId="31DE68EB">
            <wp:extent cx="1709420" cy="2416175"/>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4"/>
                    <pic:cNvPicPr>
                      <a:picLocks noChangeAspect="1" noChangeArrowheads="1"/>
                    </pic:cNvPicPr>
                  </pic:nvPicPr>
                  <pic:blipFill>
                    <a:blip r:embed="rId24"/>
                    <a:stretch>
                      <a:fillRect/>
                    </a:stretch>
                  </pic:blipFill>
                  <pic:spPr bwMode="auto">
                    <a:xfrm>
                      <a:off x="0" y="0"/>
                      <a:ext cx="1709420" cy="2416175"/>
                    </a:xfrm>
                    <a:prstGeom prst="rect">
                      <a:avLst/>
                    </a:prstGeom>
                  </pic:spPr>
                </pic:pic>
              </a:graphicData>
            </a:graphic>
          </wp:inline>
        </w:drawing>
      </w:r>
      <w:r w:rsidRPr="00925BCD">
        <w:rPr>
          <w:noProof/>
        </w:rPr>
        <w:drawing>
          <wp:inline distT="0" distB="0" distL="0" distR="0" wp14:anchorId="3C6BDDB5" wp14:editId="11253688">
            <wp:extent cx="2122805" cy="1527175"/>
            <wp:effectExtent l="0" t="0" r="0"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5"/>
                    <pic:cNvPicPr>
                      <a:picLocks noChangeAspect="1" noChangeArrowheads="1"/>
                    </pic:cNvPicPr>
                  </pic:nvPicPr>
                  <pic:blipFill>
                    <a:blip r:embed="rId25"/>
                    <a:stretch>
                      <a:fillRect/>
                    </a:stretch>
                  </pic:blipFill>
                  <pic:spPr bwMode="auto">
                    <a:xfrm>
                      <a:off x="0" y="0"/>
                      <a:ext cx="2122805" cy="1527175"/>
                    </a:xfrm>
                    <a:prstGeom prst="rect">
                      <a:avLst/>
                    </a:prstGeom>
                  </pic:spPr>
                </pic:pic>
              </a:graphicData>
            </a:graphic>
          </wp:inline>
        </w:drawing>
      </w:r>
    </w:p>
    <w:p w14:paraId="02D95051" w14:textId="77777777" w:rsidR="000F4B47" w:rsidRPr="00925BCD" w:rsidRDefault="000F4B47" w:rsidP="000F4B47">
      <w:pPr>
        <w:spacing w:line="360" w:lineRule="auto"/>
        <w:jc w:val="both"/>
        <w:rPr>
          <w:rFonts w:ascii="Calibri" w:eastAsia="Calibri" w:hAnsi="Calibri"/>
        </w:rPr>
      </w:pPr>
      <w:r w:rsidRPr="00925BCD">
        <w:rPr>
          <w:rFonts w:ascii="Calibri" w:eastAsia="Calibri" w:hAnsi="Calibri"/>
          <w:noProof/>
          <w:lang w:eastAsia="pl-PL"/>
        </w:rPr>
        <w:drawing>
          <wp:inline distT="0" distB="0" distL="0" distR="0" wp14:anchorId="5BA9C7B6" wp14:editId="1B5F75D3">
            <wp:extent cx="1236269" cy="3485877"/>
            <wp:effectExtent l="19050" t="19050" r="21590" b="19685"/>
            <wp:docPr id="112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Obraz 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2164" cy="3671679"/>
                    </a:xfrm>
                    <a:prstGeom prst="rect">
                      <a:avLst/>
                    </a:prstGeom>
                    <a:noFill/>
                    <a:ln w="15875">
                      <a:solidFill>
                        <a:srgbClr val="000000"/>
                      </a:solidFill>
                      <a:miter lim="800000"/>
                      <a:headEnd/>
                      <a:tailEnd/>
                    </a:ln>
                  </pic:spPr>
                </pic:pic>
              </a:graphicData>
            </a:graphic>
          </wp:inline>
        </w:drawing>
      </w:r>
      <w:r w:rsidRPr="00925BCD">
        <w:rPr>
          <w:rFonts w:ascii="Calibri" w:eastAsia="Calibri" w:hAnsi="Calibri"/>
          <w:noProof/>
        </w:rPr>
        <w:t xml:space="preserve">               </w:t>
      </w:r>
      <w:r w:rsidRPr="00925BCD">
        <w:rPr>
          <w:rFonts w:ascii="Calibri" w:eastAsia="Calibri" w:hAnsi="Calibri"/>
          <w:noProof/>
          <w:lang w:eastAsia="pl-PL"/>
        </w:rPr>
        <w:drawing>
          <wp:inline distT="0" distB="0" distL="0" distR="0" wp14:anchorId="3837D7ED" wp14:editId="51636262">
            <wp:extent cx="1259738" cy="3525926"/>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8935" cy="3579658"/>
                    </a:xfrm>
                    <a:prstGeom prst="rect">
                      <a:avLst/>
                    </a:prstGeom>
                    <a:noFill/>
                  </pic:spPr>
                </pic:pic>
              </a:graphicData>
            </a:graphic>
          </wp:inline>
        </w:drawing>
      </w:r>
    </w:p>
    <w:p w14:paraId="65EAEB9F" w14:textId="6D99631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realizacji zadania w 2018 r. opracowano także plakat i ulotkę dotyczącą ograniczania </w:t>
      </w:r>
      <w:r w:rsidRPr="00925BCD">
        <w:rPr>
          <w:rFonts w:ascii="Arial" w:hAnsi="Arial" w:cs="Arial"/>
        </w:rPr>
        <w:lastRenderedPageBreak/>
        <w:t>przekroczeń norm pozostałości środków ochrony roślin w żywności. Mają one zwrócić uwagę na sposoby zapobiegania wystąpieniu nadmiernej ilości pozostałości środków ochrony roślin w płodach rolnych, a tym samym prowadzić do wytwarzania wysokiej jakości żywności. Druk i ich dystrybucja przewidziany</w:t>
      </w:r>
      <w:r w:rsidR="00943551" w:rsidRPr="00925BCD">
        <w:rPr>
          <w:rFonts w:ascii="Arial" w:hAnsi="Arial" w:cs="Arial"/>
        </w:rPr>
        <w:t xml:space="preserve"> został jednak na </w:t>
      </w:r>
      <w:r w:rsidRPr="00925BCD">
        <w:rPr>
          <w:rFonts w:ascii="Arial" w:hAnsi="Arial" w:cs="Arial"/>
        </w:rPr>
        <w:t>2019 r.</w:t>
      </w:r>
    </w:p>
    <w:p w14:paraId="005E1573" w14:textId="71803EDD" w:rsidR="00414DDE"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wśród materiałów promocyjno-informacyjnych podobnie jak w 2018 r. </w:t>
      </w:r>
      <w:r w:rsidR="00943551" w:rsidRPr="00925BCD">
        <w:rPr>
          <w:rFonts w:ascii="Arial" w:hAnsi="Arial" w:cs="Arial"/>
        </w:rPr>
        <w:t>znalazły się broszury, ulotki i plakaty popularyzujące integrowaną ochronę roślin.</w:t>
      </w:r>
      <w:r w:rsidRPr="00925BCD">
        <w:rPr>
          <w:rFonts w:ascii="Arial" w:hAnsi="Arial" w:cs="Arial"/>
        </w:rPr>
        <w:t xml:space="preserve"> Rozdys</w:t>
      </w:r>
      <w:r w:rsidR="00943551" w:rsidRPr="00925BCD">
        <w:rPr>
          <w:rFonts w:ascii="Arial" w:hAnsi="Arial" w:cs="Arial"/>
        </w:rPr>
        <w:t xml:space="preserve">trybuowano </w:t>
      </w:r>
      <w:r w:rsidRPr="00925BCD">
        <w:rPr>
          <w:rFonts w:ascii="Arial" w:hAnsi="Arial" w:cs="Arial"/>
        </w:rPr>
        <w:t xml:space="preserve">2 000 broszur </w:t>
      </w:r>
      <w:r w:rsidR="00943551" w:rsidRPr="00925BCD">
        <w:rPr>
          <w:rFonts w:ascii="Arial" w:hAnsi="Arial" w:cs="Arial"/>
        </w:rPr>
        <w:t>„Dobra praktyka ochrony roślin - Ochrona zapylaczy podczas stosowania środków ochrony roślin”</w:t>
      </w:r>
      <w:r w:rsidRPr="00925BCD">
        <w:rPr>
          <w:rFonts w:ascii="Arial" w:hAnsi="Arial" w:cs="Arial"/>
        </w:rPr>
        <w:t>,</w:t>
      </w:r>
      <w:r w:rsidR="00414DDE" w:rsidRPr="00925BCD">
        <w:t xml:space="preserve"> </w:t>
      </w:r>
      <w:r w:rsidR="00414DDE" w:rsidRPr="00925BCD">
        <w:rPr>
          <w:rFonts w:ascii="Arial" w:hAnsi="Arial" w:cs="Arial"/>
        </w:rPr>
        <w:t>100 egzemplarzy plakatów i 2000 egzemplarzy ulotek „Nie pozwól aby zabieg ochrony roślin zagrażał zapylaczom”</w:t>
      </w:r>
      <w:r w:rsidR="00762709" w:rsidRPr="00925BCD">
        <w:rPr>
          <w:rFonts w:ascii="Arial" w:hAnsi="Arial" w:cs="Arial"/>
        </w:rPr>
        <w:t xml:space="preserve"> oraz </w:t>
      </w:r>
      <w:r w:rsidR="002520BA" w:rsidRPr="00925BCD">
        <w:rPr>
          <w:rFonts w:ascii="Arial" w:hAnsi="Arial" w:cs="Arial"/>
        </w:rPr>
        <w:t>600 egzemplarzy plakatów i 5 000 egzemplarzy ulotki dotyczącej ograniczania przekroczeń norm pozostałości środków ochrony roślin w żywności.</w:t>
      </w:r>
    </w:p>
    <w:p w14:paraId="7E4BF27F" w14:textId="5121E3F2" w:rsidR="008F383A" w:rsidRPr="000B4C2B"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W</w:t>
      </w:r>
      <w:r w:rsidR="00980764" w:rsidRPr="000B4C2B">
        <w:rPr>
          <w:rFonts w:ascii="Arial" w:hAnsi="Arial" w:cs="Arial"/>
        </w:rPr>
        <w:t xml:space="preserve"> 2020 r. </w:t>
      </w:r>
      <w:r w:rsidR="008E5B6F" w:rsidRPr="000B4C2B">
        <w:rPr>
          <w:rFonts w:ascii="Arial" w:hAnsi="Arial" w:cs="Arial"/>
        </w:rPr>
        <w:t xml:space="preserve">w związku z </w:t>
      </w:r>
      <w:r w:rsidRPr="000B4C2B">
        <w:rPr>
          <w:rFonts w:ascii="Arial" w:hAnsi="Arial" w:cs="Arial"/>
        </w:rPr>
        <w:t>Międzynarodowym Rokiem Zdrowia Roślin</w:t>
      </w:r>
      <w:r w:rsidR="008E5B6F" w:rsidRPr="000B4C2B">
        <w:rPr>
          <w:rFonts w:ascii="Arial" w:hAnsi="Arial" w:cs="Arial"/>
        </w:rPr>
        <w:t xml:space="preserve"> zorganizowa</w:t>
      </w:r>
      <w:r w:rsidR="004F0DA3">
        <w:rPr>
          <w:rFonts w:ascii="Arial" w:hAnsi="Arial" w:cs="Arial"/>
        </w:rPr>
        <w:t>n</w:t>
      </w:r>
      <w:r w:rsidR="003C4929">
        <w:rPr>
          <w:rFonts w:ascii="Arial" w:hAnsi="Arial" w:cs="Arial"/>
        </w:rPr>
        <w:t>a została</w:t>
      </w:r>
      <w:r w:rsidR="008E5B6F" w:rsidRPr="000B4C2B">
        <w:rPr>
          <w:rFonts w:ascii="Arial" w:hAnsi="Arial" w:cs="Arial"/>
        </w:rPr>
        <w:t xml:space="preserve"> </w:t>
      </w:r>
      <w:r w:rsidR="003362B3" w:rsidRPr="000B4C2B">
        <w:rPr>
          <w:rFonts w:ascii="Arial" w:hAnsi="Arial" w:cs="Arial"/>
        </w:rPr>
        <w:t>k</w:t>
      </w:r>
      <w:r w:rsidRPr="000B4C2B">
        <w:rPr>
          <w:rFonts w:ascii="Arial" w:hAnsi="Arial" w:cs="Arial"/>
        </w:rPr>
        <w:t>onferencj</w:t>
      </w:r>
      <w:r w:rsidR="003C4929">
        <w:rPr>
          <w:rFonts w:ascii="Arial" w:hAnsi="Arial" w:cs="Arial"/>
        </w:rPr>
        <w:t>a</w:t>
      </w:r>
      <w:r w:rsidRPr="000B4C2B">
        <w:rPr>
          <w:rFonts w:ascii="Arial" w:hAnsi="Arial" w:cs="Arial"/>
        </w:rPr>
        <w:t xml:space="preserve"> pt. „Chroniąc rośliny – chronisz życie” (ok. 200 uczestników) – nt. znaczenia zdrowia roślin w rolnictwie i gospodarce żywnościowe</w:t>
      </w:r>
      <w:r w:rsidR="004F0DA3">
        <w:rPr>
          <w:rFonts w:ascii="Arial" w:hAnsi="Arial" w:cs="Arial"/>
        </w:rPr>
        <w:t>. W</w:t>
      </w:r>
      <w:r w:rsidRPr="000B4C2B">
        <w:rPr>
          <w:rFonts w:ascii="Arial" w:hAnsi="Arial" w:cs="Arial"/>
        </w:rPr>
        <w:t xml:space="preserve">ydano kalendarz pt. Międzynarodowy Rok Zdrowia Roślin </w:t>
      </w:r>
      <w:r w:rsidR="00A43699" w:rsidRPr="000B4C2B">
        <w:rPr>
          <w:rFonts w:ascii="Arial" w:hAnsi="Arial" w:cs="Arial"/>
        </w:rPr>
        <w:t>a</w:t>
      </w:r>
      <w:r w:rsidR="00003711">
        <w:rPr>
          <w:rFonts w:ascii="Arial" w:hAnsi="Arial" w:cs="Arial"/>
        </w:rPr>
        <w:t> </w:t>
      </w:r>
      <w:r w:rsidR="00A43699" w:rsidRPr="000B4C2B">
        <w:rPr>
          <w:rFonts w:ascii="Arial" w:hAnsi="Arial" w:cs="Arial"/>
        </w:rPr>
        <w:t xml:space="preserve">także </w:t>
      </w:r>
      <w:r w:rsidRPr="000B4C2B">
        <w:rPr>
          <w:rFonts w:ascii="Arial" w:hAnsi="Arial" w:cs="Arial"/>
        </w:rPr>
        <w:t>wprowadzono do obiegu kartkę pocztową pt. Międzynarodowy Rok Zdrowia Roślin</w:t>
      </w:r>
      <w:r w:rsidR="0058662B" w:rsidRPr="000B4C2B">
        <w:rPr>
          <w:rFonts w:ascii="Arial" w:hAnsi="Arial" w:cs="Arial"/>
        </w:rPr>
        <w:t>.</w:t>
      </w:r>
    </w:p>
    <w:p w14:paraId="7A594F3A" w14:textId="31DBE924" w:rsidR="00B7178D" w:rsidRPr="00925BCD"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Wydano i rozdysponowano „Kodeks dobrej praktyki ochrony roślin” – 2</w:t>
      </w:r>
      <w:r w:rsidR="002A7E51">
        <w:rPr>
          <w:rFonts w:ascii="Arial" w:hAnsi="Arial" w:cs="Arial"/>
        </w:rPr>
        <w:t xml:space="preserve"> </w:t>
      </w:r>
      <w:r w:rsidRPr="000B4C2B">
        <w:rPr>
          <w:rFonts w:ascii="Arial" w:hAnsi="Arial" w:cs="Arial"/>
        </w:rPr>
        <w:t xml:space="preserve">350 szt. </w:t>
      </w:r>
    </w:p>
    <w:p w14:paraId="3469895C" w14:textId="79DD05B9" w:rsidR="00E05076"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Wydanie ulotek oraz plakatów informacyjno-promocyjnych dotyczących ochrony roślin wpisuje się w</w:t>
      </w:r>
      <w:r w:rsidR="002520BA" w:rsidRPr="00925BCD">
        <w:rPr>
          <w:rFonts w:ascii="Arial" w:hAnsi="Arial" w:cs="Arial"/>
        </w:rPr>
        <w:t> </w:t>
      </w:r>
      <w:r w:rsidRPr="00925BCD">
        <w:rPr>
          <w:rFonts w:ascii="Arial" w:hAnsi="Arial" w:cs="Arial"/>
        </w:rPr>
        <w:t>szeroko</w:t>
      </w:r>
      <w:r w:rsidR="004A1341" w:rsidRPr="00925BCD">
        <w:rPr>
          <w:rFonts w:ascii="Arial" w:hAnsi="Arial" w:cs="Arial"/>
        </w:rPr>
        <w:t xml:space="preserve"> </w:t>
      </w:r>
      <w:r w:rsidRPr="00925BCD">
        <w:rPr>
          <w:rFonts w:ascii="Arial" w:hAnsi="Arial" w:cs="Arial"/>
        </w:rPr>
        <w:t>zakrojone działania Ministerstwa Rolnictwa i Rozwoju Wsi związane z bezpiecznym stosowaniem środków ochrony roślin. Przedmiotowe materiały stanowią jedną z form informowania rolników o obowiązkach wynikających z przepisów prawa w zakresie prawidłowego stosowania środków ochrony roślin, w szczególności ochrony owadów zapylających. Dystrybucja wyżej wymienionych materiałów odbyła się poprzez oddziały PIORiN, CDR w Brwinowie, Związki Pszczelarskie oraz w</w:t>
      </w:r>
      <w:r w:rsidR="002520BA" w:rsidRPr="00925BCD">
        <w:rPr>
          <w:rFonts w:ascii="Arial" w:hAnsi="Arial" w:cs="Arial"/>
        </w:rPr>
        <w:t> </w:t>
      </w:r>
      <w:r w:rsidRPr="00925BCD">
        <w:rPr>
          <w:rFonts w:ascii="Arial" w:hAnsi="Arial" w:cs="Arial"/>
        </w:rPr>
        <w:t xml:space="preserve">trakcie licznych targów, szkoleń i konferencji związanych z tematem ochrony roślin. </w:t>
      </w:r>
    </w:p>
    <w:p w14:paraId="2D7FD4C6" w14:textId="11C20ECD" w:rsidR="00DC569F" w:rsidRPr="00DC569F" w:rsidRDefault="00DC569F" w:rsidP="00DC569F">
      <w:pPr>
        <w:pStyle w:val="NormalnyWeb"/>
        <w:tabs>
          <w:tab w:val="left" w:pos="284"/>
        </w:tabs>
        <w:spacing w:beforeAutospacing="0" w:after="120" w:afterAutospacing="0" w:line="360" w:lineRule="auto"/>
        <w:ind w:firstLine="284"/>
        <w:jc w:val="both"/>
        <w:rPr>
          <w:rFonts w:ascii="Arial" w:hAnsi="Arial" w:cs="Arial"/>
        </w:rPr>
      </w:pPr>
      <w:r w:rsidRPr="00DC569F">
        <w:rPr>
          <w:rFonts w:ascii="Arial" w:hAnsi="Arial" w:cs="Arial"/>
        </w:rPr>
        <w:t>W 2021 r. w ramach działań popularyzujących Ministerstwo Rolnictwa i Rozwoju Wsi wspólnie z</w:t>
      </w:r>
      <w:r w:rsidR="008C7B79">
        <w:rPr>
          <w:rFonts w:ascii="Arial" w:hAnsi="Arial" w:cs="Arial"/>
        </w:rPr>
        <w:t> </w:t>
      </w:r>
      <w:r w:rsidRPr="00DC569F">
        <w:rPr>
          <w:rFonts w:ascii="Arial" w:hAnsi="Arial" w:cs="Arial"/>
        </w:rPr>
        <w:t xml:space="preserve">Pocztą Polską przygotowało i wprowadziło do obiegu nową emisję filatelistyczną pt. „Owady pożyteczne”. Sześć wzorów wielobarwnych znaczków przedstawiających akwarele owadów zapylających – odgrywających ważną rolę w naturalnym ekosystemie Polski i Ziemi. Ponadto, wykonano i rozdysponowano 1000 folderów zawierających jeden znaczek pocztowy z emisji „Owady Pożyteczne” z arkusza Pszczoła Miodna wraz informacją (w języku polskim i angielskim) na temat znaczenia owadów zapylających. </w:t>
      </w:r>
    </w:p>
    <w:p w14:paraId="2F318072" w14:textId="1C126B33" w:rsidR="001B52B0" w:rsidRDefault="00DC569F" w:rsidP="00DC569F">
      <w:pPr>
        <w:pStyle w:val="NormalnyWeb"/>
        <w:tabs>
          <w:tab w:val="left" w:pos="284"/>
        </w:tabs>
        <w:spacing w:beforeAutospacing="0" w:after="120" w:afterAutospacing="0" w:line="360" w:lineRule="auto"/>
        <w:ind w:firstLine="284"/>
        <w:jc w:val="both"/>
        <w:rPr>
          <w:rFonts w:ascii="Arial" w:hAnsi="Arial" w:cs="Arial"/>
        </w:rPr>
      </w:pPr>
      <w:r w:rsidRPr="00DC569F">
        <w:rPr>
          <w:rFonts w:ascii="Arial" w:hAnsi="Arial" w:cs="Arial"/>
        </w:rPr>
        <w:t>W 2021 r. dodrukowano i rozdysponowano także 1000 sztuk „Kodeksu dobrej praktyki ochrony roślin”.</w:t>
      </w:r>
    </w:p>
    <w:p w14:paraId="03851961" w14:textId="005B17B4" w:rsidR="007A5BF5" w:rsidRPr="007A5BF5" w:rsidRDefault="007A5BF5" w:rsidP="007A5BF5">
      <w:pPr>
        <w:pStyle w:val="NormalnyWeb"/>
        <w:tabs>
          <w:tab w:val="left" w:pos="284"/>
        </w:tabs>
        <w:spacing w:beforeAutospacing="0" w:after="120" w:afterAutospacing="0" w:line="360" w:lineRule="auto"/>
        <w:ind w:firstLine="284"/>
        <w:jc w:val="both"/>
        <w:rPr>
          <w:rFonts w:ascii="Arial" w:hAnsi="Arial" w:cs="Arial"/>
        </w:rPr>
      </w:pPr>
      <w:r w:rsidRPr="007A5BF5">
        <w:rPr>
          <w:rFonts w:ascii="Arial" w:hAnsi="Arial" w:cs="Arial"/>
        </w:rPr>
        <w:t xml:space="preserve">W </w:t>
      </w:r>
      <w:r w:rsidR="00604022">
        <w:rPr>
          <w:rFonts w:ascii="Arial" w:hAnsi="Arial" w:cs="Arial"/>
        </w:rPr>
        <w:t xml:space="preserve">ostatnim roku realizacji </w:t>
      </w:r>
      <w:r w:rsidR="00A07B2A">
        <w:rPr>
          <w:rFonts w:ascii="Arial" w:hAnsi="Arial" w:cs="Arial"/>
        </w:rPr>
        <w:t>krajowego</w:t>
      </w:r>
      <w:r w:rsidR="00604022">
        <w:rPr>
          <w:rFonts w:ascii="Arial" w:hAnsi="Arial" w:cs="Arial"/>
        </w:rPr>
        <w:t xml:space="preserve"> planu działania</w:t>
      </w:r>
      <w:r w:rsidR="00A07B2A">
        <w:rPr>
          <w:rFonts w:ascii="Arial" w:hAnsi="Arial" w:cs="Arial"/>
        </w:rPr>
        <w:t>, tj</w:t>
      </w:r>
      <w:r w:rsidR="00A8202B">
        <w:rPr>
          <w:rFonts w:ascii="Arial" w:hAnsi="Arial" w:cs="Arial"/>
        </w:rPr>
        <w:t xml:space="preserve">. </w:t>
      </w:r>
      <w:r w:rsidR="00A07B2A">
        <w:rPr>
          <w:rFonts w:ascii="Arial" w:hAnsi="Arial" w:cs="Arial"/>
        </w:rPr>
        <w:t xml:space="preserve">w </w:t>
      </w:r>
      <w:r w:rsidRPr="007A5BF5">
        <w:rPr>
          <w:rFonts w:ascii="Arial" w:hAnsi="Arial" w:cs="Arial"/>
        </w:rPr>
        <w:t>2022</w:t>
      </w:r>
      <w:r w:rsidR="005F5614">
        <w:rPr>
          <w:rFonts w:ascii="Arial" w:hAnsi="Arial" w:cs="Arial"/>
        </w:rPr>
        <w:t> </w:t>
      </w:r>
      <w:r w:rsidRPr="007A5BF5">
        <w:rPr>
          <w:rFonts w:ascii="Arial" w:hAnsi="Arial" w:cs="Arial"/>
        </w:rPr>
        <w:t xml:space="preserve">r. </w:t>
      </w:r>
      <w:r w:rsidR="00A8202B">
        <w:rPr>
          <w:rFonts w:ascii="Arial" w:hAnsi="Arial" w:cs="Arial"/>
        </w:rPr>
        <w:t xml:space="preserve">również </w:t>
      </w:r>
      <w:r w:rsidRPr="007A5BF5">
        <w:rPr>
          <w:rFonts w:ascii="Arial" w:hAnsi="Arial" w:cs="Arial"/>
        </w:rPr>
        <w:t>opracowano i</w:t>
      </w:r>
      <w:r w:rsidR="00A8202B">
        <w:rPr>
          <w:rFonts w:ascii="Arial" w:hAnsi="Arial" w:cs="Arial"/>
        </w:rPr>
        <w:t> </w:t>
      </w:r>
      <w:r w:rsidRPr="007A5BF5">
        <w:rPr>
          <w:rFonts w:ascii="Arial" w:hAnsi="Arial" w:cs="Arial"/>
        </w:rPr>
        <w:t>wydrukowano plakaty (900 egz.) i ulotki (1200 egz.) poświęcone ochronie zapylaczy, przestrzegające przed sfałszowanymi środkami ochrony roślin oraz promujące stosowanie metod biologicznych w</w:t>
      </w:r>
      <w:r w:rsidR="001E7365">
        <w:rPr>
          <w:rFonts w:ascii="Arial" w:hAnsi="Arial" w:cs="Arial"/>
        </w:rPr>
        <w:t> </w:t>
      </w:r>
      <w:r w:rsidRPr="007A5BF5">
        <w:rPr>
          <w:rFonts w:ascii="Arial" w:hAnsi="Arial" w:cs="Arial"/>
        </w:rPr>
        <w:t xml:space="preserve"> ochronie roślin. Wydano 13-stronicowy kalendarz na rok 2023 (400 egz.), poświęcony owadom pożytecznym, zawierający fotografie i krótki opis 12 gatunków owadów, które pełnią ważne dla człowieka funkcje m.in. przyczyniają się do ograniczania populacji szkodników lub są bardzo wydajnymi zapylaczami roślin. </w:t>
      </w:r>
    </w:p>
    <w:p w14:paraId="242B5E88" w14:textId="77777777" w:rsidR="007A5BF5" w:rsidRPr="007A5BF5" w:rsidRDefault="007A5BF5" w:rsidP="007A5BF5">
      <w:pPr>
        <w:pStyle w:val="NormalnyWeb"/>
        <w:tabs>
          <w:tab w:val="left" w:pos="284"/>
        </w:tabs>
        <w:spacing w:beforeAutospacing="0" w:after="120" w:afterAutospacing="0" w:line="360" w:lineRule="auto"/>
        <w:ind w:firstLine="284"/>
        <w:jc w:val="both"/>
        <w:rPr>
          <w:rFonts w:ascii="Arial" w:hAnsi="Arial" w:cs="Arial"/>
        </w:rPr>
      </w:pPr>
      <w:r w:rsidRPr="007A5BF5">
        <w:rPr>
          <w:rFonts w:ascii="Arial" w:hAnsi="Arial" w:cs="Arial"/>
        </w:rPr>
        <w:lastRenderedPageBreak/>
        <w:t>Materiały informacyjne poświęcone integrowanej ochronie roślin były na bieżąco zamieszczane na stronie Platformy Sygnalizacji Agrofagów, a także rozsyłane do oddziałów PIORiN, jednostek doradztwa rolniczego, szkół średnich kształcących w kierunkach rolniczych prowadzonych i nadzorowanych przez Ministra Rolnictwa i Rozwoju Wsi oraz rozpowszechniane wśród uczestników najważniejszych, krajowych wydarzeń rolniczych.</w:t>
      </w:r>
    </w:p>
    <w:p w14:paraId="2ED64C08" w14:textId="77777777" w:rsidR="007A5BF5" w:rsidRDefault="007A5BF5" w:rsidP="007A5BF5">
      <w:pPr>
        <w:spacing w:after="0" w:line="360" w:lineRule="auto"/>
        <w:ind w:firstLine="284"/>
        <w:jc w:val="both"/>
        <w:rPr>
          <w:rFonts w:cstheme="minorHAnsi"/>
          <w:sz w:val="24"/>
          <w:szCs w:val="24"/>
        </w:rPr>
      </w:pPr>
    </w:p>
    <w:p w14:paraId="5536952B" w14:textId="73F0A440" w:rsidR="007A5BF5" w:rsidRDefault="007A5BF5" w:rsidP="007A5BF5">
      <w:pPr>
        <w:pStyle w:val="NormalnyWeb"/>
        <w:tabs>
          <w:tab w:val="left" w:pos="284"/>
        </w:tabs>
        <w:spacing w:beforeAutospacing="0" w:after="120" w:afterAutospacing="0" w:line="360" w:lineRule="auto"/>
        <w:ind w:firstLine="284"/>
        <w:jc w:val="both"/>
        <w:rPr>
          <w:noProof/>
        </w:rPr>
      </w:pPr>
      <w:r>
        <w:rPr>
          <w:noProof/>
        </w:rPr>
        <w:t xml:space="preserve"> </w:t>
      </w:r>
      <w:r w:rsidRPr="005764E4">
        <w:rPr>
          <w:noProof/>
        </w:rPr>
        <w:t xml:space="preserve"> </w:t>
      </w:r>
      <w:r>
        <w:rPr>
          <w:noProof/>
        </w:rPr>
        <w:t xml:space="preserve">   </w:t>
      </w:r>
      <w:r w:rsidR="00EC59A5">
        <w:rPr>
          <w:noProof/>
        </w:rPr>
        <w:drawing>
          <wp:inline distT="0" distB="0" distL="0" distR="0" wp14:anchorId="6DB8BAFA" wp14:editId="33BC96B3">
            <wp:extent cx="1600200" cy="2267657"/>
            <wp:effectExtent l="19050" t="19050" r="19050" b="18415"/>
            <wp:docPr id="2076084513" name="Obraz 1" descr="Obraz zawierający tekst, zrzut ekranu, drzewo, plaka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84513" name="Obraz 1" descr="Obraz zawierający tekst, zrzut ekranu, drzewo, plakat&#10;&#10;Opis wygenerowany automatycznie"/>
                    <pic:cNvPicPr/>
                  </pic:nvPicPr>
                  <pic:blipFill>
                    <a:blip r:embed="rId28"/>
                    <a:stretch>
                      <a:fillRect/>
                    </a:stretch>
                  </pic:blipFill>
                  <pic:spPr>
                    <a:xfrm>
                      <a:off x="0" y="0"/>
                      <a:ext cx="1657363" cy="2348663"/>
                    </a:xfrm>
                    <a:prstGeom prst="rect">
                      <a:avLst/>
                    </a:prstGeom>
                    <a:ln w="6350">
                      <a:solidFill>
                        <a:schemeClr val="tx1"/>
                      </a:solidFill>
                    </a:ln>
                  </pic:spPr>
                </pic:pic>
              </a:graphicData>
            </a:graphic>
          </wp:inline>
        </w:drawing>
      </w:r>
      <w:r>
        <w:rPr>
          <w:noProof/>
        </w:rPr>
        <w:t xml:space="preserve">     </w:t>
      </w:r>
      <w:r>
        <w:rPr>
          <w:noProof/>
        </w:rPr>
        <w:drawing>
          <wp:inline distT="0" distB="0" distL="0" distR="0" wp14:anchorId="69A5B59D" wp14:editId="211B63E6">
            <wp:extent cx="1592532" cy="2256789"/>
            <wp:effectExtent l="19050" t="19050" r="27305" b="10795"/>
            <wp:docPr id="512420283"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20283" name="Obraz 1" descr="Obraz zawierający tekst, zrzut ekranu&#10;&#10;Opis wygenerowany automatycznie"/>
                    <pic:cNvPicPr/>
                  </pic:nvPicPr>
                  <pic:blipFill>
                    <a:blip r:embed="rId29"/>
                    <a:stretch>
                      <a:fillRect/>
                    </a:stretch>
                  </pic:blipFill>
                  <pic:spPr>
                    <a:xfrm>
                      <a:off x="0" y="0"/>
                      <a:ext cx="1637781" cy="2320911"/>
                    </a:xfrm>
                    <a:prstGeom prst="rect">
                      <a:avLst/>
                    </a:prstGeom>
                    <a:ln w="6350">
                      <a:solidFill>
                        <a:schemeClr val="tx1"/>
                      </a:solidFill>
                    </a:ln>
                  </pic:spPr>
                </pic:pic>
              </a:graphicData>
            </a:graphic>
          </wp:inline>
        </w:drawing>
      </w:r>
      <w:r>
        <w:rPr>
          <w:noProof/>
        </w:rPr>
        <w:t xml:space="preserve">    </w:t>
      </w:r>
      <w:r w:rsidR="00521448">
        <w:rPr>
          <w:noProof/>
        </w:rPr>
        <w:drawing>
          <wp:inline distT="0" distB="0" distL="0" distR="0" wp14:anchorId="2A614D51" wp14:editId="0A547672">
            <wp:extent cx="1581150" cy="2240311"/>
            <wp:effectExtent l="19050" t="19050" r="19050" b="26670"/>
            <wp:docPr id="14355176" name="Obraz 3" descr="Obraz zawierający tekst, zrzut ekranu, jedze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176" name="Obraz 3" descr="Obraz zawierający tekst, zrzut ekranu, jedzenie&#10;&#10;Opis wygenerowany automatyczni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89782" cy="2252542"/>
                    </a:xfrm>
                    <a:prstGeom prst="rect">
                      <a:avLst/>
                    </a:prstGeom>
                    <a:noFill/>
                    <a:ln w="6350">
                      <a:solidFill>
                        <a:schemeClr val="tx1"/>
                      </a:solidFill>
                    </a:ln>
                  </pic:spPr>
                </pic:pic>
              </a:graphicData>
            </a:graphic>
          </wp:inline>
        </w:drawing>
      </w:r>
      <w:r>
        <w:rPr>
          <w:noProof/>
        </w:rPr>
        <w:t xml:space="preserve">     </w:t>
      </w:r>
    </w:p>
    <w:p w14:paraId="569E57B5" w14:textId="77777777" w:rsidR="00521448" w:rsidRDefault="00521448" w:rsidP="004A1341">
      <w:pPr>
        <w:pStyle w:val="NormalnyWeb"/>
        <w:tabs>
          <w:tab w:val="left" w:pos="284"/>
        </w:tabs>
        <w:spacing w:beforeAutospacing="0" w:after="120" w:afterAutospacing="0" w:line="360" w:lineRule="auto"/>
        <w:ind w:firstLine="284"/>
        <w:jc w:val="both"/>
        <w:rPr>
          <w:rFonts w:ascii="Arial" w:hAnsi="Arial" w:cs="Arial"/>
        </w:rPr>
      </w:pPr>
    </w:p>
    <w:p w14:paraId="4FC76B2F" w14:textId="1397ADB2"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upowszechnianiu wiedzy z zakresu integrowanej ochrony roślin bierze czynny udział również </w:t>
      </w:r>
      <w:r w:rsidRPr="00925BCD">
        <w:rPr>
          <w:rFonts w:ascii="Arial" w:hAnsi="Arial" w:cs="Arial"/>
          <w:b/>
        </w:rPr>
        <w:t>Państwowa Inspekcja Ochrony Roślin i Nasiennictwa</w:t>
      </w:r>
      <w:r w:rsidRPr="00925BCD">
        <w:rPr>
          <w:rFonts w:ascii="Arial" w:hAnsi="Arial" w:cs="Arial"/>
        </w:rPr>
        <w:t xml:space="preserve">. W </w:t>
      </w:r>
      <w:r w:rsidR="00B7178D">
        <w:rPr>
          <w:rFonts w:ascii="Arial" w:hAnsi="Arial" w:cs="Arial"/>
        </w:rPr>
        <w:t xml:space="preserve">latach </w:t>
      </w:r>
      <w:r w:rsidR="00B7178D" w:rsidRPr="00925BCD">
        <w:rPr>
          <w:rFonts w:ascii="Arial" w:hAnsi="Arial" w:cs="Arial"/>
        </w:rPr>
        <w:t>2018</w:t>
      </w:r>
      <w:r w:rsidR="00A20E17">
        <w:rPr>
          <w:rFonts w:cs="Arial"/>
        </w:rPr>
        <w:t>–</w:t>
      </w:r>
      <w:r w:rsidR="00B7178D">
        <w:rPr>
          <w:rFonts w:ascii="Arial" w:hAnsi="Arial" w:cs="Arial"/>
        </w:rPr>
        <w:t>202</w:t>
      </w:r>
      <w:r w:rsidR="00A32110">
        <w:rPr>
          <w:rFonts w:ascii="Arial" w:hAnsi="Arial" w:cs="Arial"/>
        </w:rPr>
        <w:t>2</w:t>
      </w:r>
      <w:r w:rsidR="00B7178D" w:rsidRPr="00925BCD">
        <w:rPr>
          <w:rFonts w:ascii="Arial" w:hAnsi="Arial" w:cs="Arial"/>
        </w:rPr>
        <w:t xml:space="preserve"> </w:t>
      </w:r>
      <w:r w:rsidRPr="00925BCD">
        <w:rPr>
          <w:rFonts w:ascii="Arial" w:hAnsi="Arial" w:cs="Arial"/>
        </w:rPr>
        <w:t>pracownicy Inspekcji brali udział w szeregu konferencji, prowadzili szkolenia, dystrybuowali materiały informacyjne, publikowali artykuły w prasie, a także występowali w mediach.</w:t>
      </w:r>
    </w:p>
    <w:p w14:paraId="3067CD5B" w14:textId="77777777" w:rsidR="00056846" w:rsidRPr="00925BCD" w:rsidRDefault="00E54725">
      <w:pPr>
        <w:pStyle w:val="Nagwek2"/>
        <w:jc w:val="both"/>
        <w:rPr>
          <w:i w:val="0"/>
          <w:sz w:val="20"/>
          <w:szCs w:val="20"/>
        </w:rPr>
      </w:pPr>
      <w:bookmarkStart w:id="68" w:name="_Toc161744888"/>
      <w:r w:rsidRPr="00925BCD">
        <w:rPr>
          <w:i w:val="0"/>
          <w:sz w:val="20"/>
          <w:szCs w:val="20"/>
        </w:rPr>
        <w:t>Zadanie 2. Utrzymanie platformy internetowej poświęconej integrowanej ochronie roślin</w:t>
      </w:r>
      <w:bookmarkEnd w:id="68"/>
    </w:p>
    <w:p w14:paraId="193DE963" w14:textId="3086931A"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Utworzona w ramach krajowego planu działania realizowanego w latach 2013–2017 Platforma Sygnalizacji Agrofagów (</w:t>
      </w:r>
      <w:hyperlink r:id="rId31">
        <w:r w:rsidRPr="00925BCD">
          <w:rPr>
            <w:rFonts w:ascii="Arial" w:hAnsi="Arial" w:cs="Arial"/>
          </w:rPr>
          <w:t>www.agrofagi.com.pl</w:t>
        </w:r>
      </w:hyperlink>
      <w:r w:rsidRPr="00925BCD">
        <w:rPr>
          <w:rFonts w:ascii="Arial" w:hAnsi="Arial" w:cs="Arial"/>
        </w:rPr>
        <w:t xml:space="preserve">) stanowi płaszczyznę i narzędzie wymiany doświadczeń oraz transferu wiedzy pomiędzy nauką a praktyką przy realizacji wymagań integrowanej ochrony roślin. Platforma ta jest prowadzona przez Instytut Ochrony Roślin </w:t>
      </w:r>
      <w:bookmarkStart w:id="69" w:name="_Hlk90990307"/>
      <w:r w:rsidRPr="00925BCD">
        <w:rPr>
          <w:rFonts w:ascii="Arial" w:hAnsi="Arial" w:cs="Arial"/>
        </w:rPr>
        <w:t xml:space="preserve">– </w:t>
      </w:r>
      <w:bookmarkStart w:id="70" w:name="_Hlk90990291"/>
      <w:r w:rsidRPr="00925BCD">
        <w:rPr>
          <w:rFonts w:ascii="Arial" w:hAnsi="Arial" w:cs="Arial"/>
        </w:rPr>
        <w:t>PIB</w:t>
      </w:r>
      <w:bookmarkEnd w:id="70"/>
      <w:r w:rsidRPr="00925BCD">
        <w:rPr>
          <w:rFonts w:ascii="Arial" w:hAnsi="Arial" w:cs="Arial"/>
        </w:rPr>
        <w:t xml:space="preserve"> </w:t>
      </w:r>
      <w:bookmarkEnd w:id="69"/>
      <w:r w:rsidRPr="00925BCD">
        <w:rPr>
          <w:rFonts w:ascii="Arial" w:hAnsi="Arial" w:cs="Arial"/>
        </w:rPr>
        <w:t>w ścisłej współpracy z Instytutem Ogrodnictwa</w:t>
      </w:r>
      <w:r w:rsidR="00B40925">
        <w:rPr>
          <w:rFonts w:ascii="Arial" w:hAnsi="Arial" w:cs="Arial"/>
        </w:rPr>
        <w:t xml:space="preserve"> </w:t>
      </w:r>
      <w:r w:rsidR="00B7178D" w:rsidRPr="00925BCD">
        <w:rPr>
          <w:rFonts w:ascii="Arial" w:hAnsi="Arial" w:cs="Arial"/>
        </w:rPr>
        <w:t>–</w:t>
      </w:r>
      <w:r w:rsidRPr="00925BCD">
        <w:rPr>
          <w:rFonts w:ascii="Arial" w:hAnsi="Arial" w:cs="Arial"/>
        </w:rPr>
        <w:t xml:space="preserve"> </w:t>
      </w:r>
      <w:r w:rsidR="00B40925" w:rsidRPr="00925BCD">
        <w:rPr>
          <w:rFonts w:ascii="Arial" w:hAnsi="Arial" w:cs="Arial"/>
        </w:rPr>
        <w:t xml:space="preserve">PIB </w:t>
      </w:r>
      <w:r w:rsidRPr="00925BCD">
        <w:rPr>
          <w:rFonts w:ascii="Arial" w:hAnsi="Arial" w:cs="Arial"/>
        </w:rPr>
        <w:t>oraz Instytutem Uprawy Nawożenia i</w:t>
      </w:r>
      <w:r w:rsidR="0074114A" w:rsidRPr="00925BCD">
        <w:rPr>
          <w:rFonts w:ascii="Arial" w:hAnsi="Arial" w:cs="Arial"/>
        </w:rPr>
        <w:t xml:space="preserve"> </w:t>
      </w:r>
      <w:r w:rsidRPr="00925BCD">
        <w:rPr>
          <w:rFonts w:ascii="Arial" w:hAnsi="Arial" w:cs="Arial"/>
        </w:rPr>
        <w:t xml:space="preserve">Gleboznawstwa – </w:t>
      </w:r>
      <w:r w:rsidR="00B40925" w:rsidRPr="00925BCD">
        <w:rPr>
          <w:rFonts w:ascii="Arial" w:hAnsi="Arial" w:cs="Arial"/>
        </w:rPr>
        <w:t>PI</w:t>
      </w:r>
      <w:r w:rsidR="00B7178D">
        <w:rPr>
          <w:rFonts w:ascii="Arial" w:hAnsi="Arial" w:cs="Arial"/>
        </w:rPr>
        <w:t>B</w:t>
      </w:r>
      <w:r w:rsidRPr="00925BCD">
        <w:rPr>
          <w:rFonts w:ascii="Arial" w:hAnsi="Arial" w:cs="Arial"/>
        </w:rPr>
        <w:t>,</w:t>
      </w:r>
      <w:r w:rsidR="0074114A" w:rsidRPr="00925BCD">
        <w:rPr>
          <w:rFonts w:ascii="Arial" w:hAnsi="Arial" w:cs="Arial"/>
        </w:rPr>
        <w:t xml:space="preserve"> </w:t>
      </w:r>
      <w:r w:rsidRPr="00925BCD">
        <w:rPr>
          <w:rFonts w:ascii="Arial" w:hAnsi="Arial" w:cs="Arial"/>
        </w:rPr>
        <w:t>Centralnym Ośrodkiem Badania Odmian Roślin Uprawnych w Słupi Wielkiej oraz wojewódzkimi ośrodkami doradztwa rolniczego.</w:t>
      </w:r>
    </w:p>
    <w:p w14:paraId="772F3FD2" w14:textId="61B3F356" w:rsidR="00056846" w:rsidRPr="00925BCD" w:rsidRDefault="00E54725" w:rsidP="00F6453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Biorąc pod uwagę możliwość dostępu do Internetu w Polsce, a w szczególności jego rozwój na obszarach wiejskich, platforma umożliwia mieszkańcom tych obszarów dostęp do nowoczesnych technologii. Za pośrednictwem platformy internetowej poświęconej integrowanej ochronie roślin możliwe jest uzyskanie informacji na temat środków ochrony roślin i </w:t>
      </w:r>
      <w:r w:rsidR="001831F3">
        <w:rPr>
          <w:rFonts w:ascii="Arial" w:hAnsi="Arial" w:cs="Arial"/>
        </w:rPr>
        <w:t xml:space="preserve">o </w:t>
      </w:r>
      <w:r w:rsidRPr="00925BCD">
        <w:rPr>
          <w:rFonts w:ascii="Arial" w:hAnsi="Arial" w:cs="Arial"/>
        </w:rPr>
        <w:t>zasadach ich stosowania. Na stronie internetowej są udostępniane informacje dotyczące system</w:t>
      </w:r>
      <w:r w:rsidR="00E459BB" w:rsidRPr="00925BCD">
        <w:rPr>
          <w:rFonts w:ascii="Arial" w:hAnsi="Arial" w:cs="Arial"/>
        </w:rPr>
        <w:t>ów</w:t>
      </w:r>
      <w:r w:rsidRPr="00925BCD">
        <w:rPr>
          <w:rFonts w:ascii="Arial" w:hAnsi="Arial" w:cs="Arial"/>
        </w:rPr>
        <w:t xml:space="preserve"> wspomagania podejmowania decyzji w ochronie roślin, informacje na temat zwalczania agrofagów, a także metodyki integrowanej ochrony roślin</w:t>
      </w:r>
      <w:r w:rsidR="00E459BB" w:rsidRPr="00925BCD">
        <w:rPr>
          <w:rFonts w:ascii="Arial" w:hAnsi="Arial" w:cs="Arial"/>
        </w:rPr>
        <w:t xml:space="preserve"> i metodyki integrowanej produkcji roślin</w:t>
      </w:r>
      <w:r w:rsidRPr="00925BCD">
        <w:rPr>
          <w:rFonts w:ascii="Arial" w:hAnsi="Arial" w:cs="Arial"/>
        </w:rPr>
        <w:t>, programy ochrony roślin oraz poradniki</w:t>
      </w:r>
      <w:r w:rsidR="00E459BB" w:rsidRPr="00925BCD">
        <w:rPr>
          <w:rFonts w:ascii="Arial" w:hAnsi="Arial" w:cs="Arial"/>
        </w:rPr>
        <w:t xml:space="preserve"> sygnalizatora, a także różnego rodzaju ulotki i broszury.</w:t>
      </w:r>
    </w:p>
    <w:p w14:paraId="6AB058B7" w14:textId="68DC8C49" w:rsidR="00056846" w:rsidRPr="00875B73" w:rsidRDefault="00E54725" w:rsidP="00F6453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W ramach działania </w:t>
      </w:r>
      <w:r w:rsidRPr="00875B73">
        <w:rPr>
          <w:rFonts w:ascii="Arial" w:hAnsi="Arial" w:cs="Arial"/>
        </w:rPr>
        <w:t>regularnie</w:t>
      </w:r>
      <w:r w:rsidRPr="00F6453F">
        <w:rPr>
          <w:rFonts w:ascii="Arial" w:hAnsi="Arial" w:cs="Arial"/>
        </w:rPr>
        <w:t xml:space="preserve"> zamieszczane są informacje dotyczące integrowanej ochrony upraw, komunikaty sygnalizacji oraz zapewniona jest </w:t>
      </w:r>
      <w:r w:rsidR="006F1133" w:rsidRPr="00F6453F">
        <w:rPr>
          <w:rFonts w:ascii="Arial" w:hAnsi="Arial" w:cs="Arial"/>
        </w:rPr>
        <w:t xml:space="preserve">interaktywność </w:t>
      </w:r>
      <w:r w:rsidRPr="00F6453F">
        <w:rPr>
          <w:rFonts w:ascii="Arial" w:hAnsi="Arial" w:cs="Arial"/>
        </w:rPr>
        <w:t xml:space="preserve">przez możliwość zadawania pytań </w:t>
      </w:r>
      <w:r w:rsidRPr="00875B73">
        <w:rPr>
          <w:rFonts w:ascii="Arial" w:hAnsi="Arial" w:cs="Arial"/>
        </w:rPr>
        <w:t>ekspertowi.</w:t>
      </w:r>
    </w:p>
    <w:p w14:paraId="0A486762" w14:textId="03BF47EA" w:rsidR="00056846" w:rsidRPr="00925BCD" w:rsidRDefault="00E54725" w:rsidP="00F6453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4114A" w:rsidRPr="00925BCD">
        <w:rPr>
          <w:rFonts w:ascii="Arial" w:hAnsi="Arial" w:cs="Arial"/>
        </w:rPr>
        <w:t xml:space="preserve">latach </w:t>
      </w:r>
      <w:r w:rsidRPr="00925BCD">
        <w:rPr>
          <w:rFonts w:ascii="Arial" w:hAnsi="Arial" w:cs="Arial"/>
        </w:rPr>
        <w:t>2018</w:t>
      </w:r>
      <w:r w:rsidR="00E459BB" w:rsidRPr="00925BCD">
        <w:rPr>
          <w:rFonts w:ascii="Arial" w:hAnsi="Arial" w:cs="Arial"/>
        </w:rPr>
        <w:t>–</w:t>
      </w:r>
      <w:r w:rsidR="0074114A" w:rsidRPr="00925BCD">
        <w:rPr>
          <w:rFonts w:ascii="Arial" w:hAnsi="Arial" w:cs="Arial"/>
        </w:rPr>
        <w:t>20</w:t>
      </w:r>
      <w:r w:rsidR="003F5A29">
        <w:rPr>
          <w:rFonts w:ascii="Arial" w:hAnsi="Arial" w:cs="Arial"/>
        </w:rPr>
        <w:t>2</w:t>
      </w:r>
      <w:r w:rsidR="008715C8">
        <w:rPr>
          <w:rFonts w:ascii="Arial" w:hAnsi="Arial" w:cs="Arial"/>
        </w:rPr>
        <w:t>2</w:t>
      </w:r>
      <w:r w:rsidR="00B7178D">
        <w:rPr>
          <w:rFonts w:ascii="Arial" w:hAnsi="Arial" w:cs="Arial"/>
        </w:rPr>
        <w:t xml:space="preserve"> za</w:t>
      </w:r>
      <w:r w:rsidRPr="00925BCD">
        <w:rPr>
          <w:rFonts w:ascii="Arial" w:hAnsi="Arial" w:cs="Arial"/>
        </w:rPr>
        <w:t>ktualizowane zostały wykazy dostępnych środków ochrony roślin w</w:t>
      </w:r>
      <w:r w:rsidR="00E459BB" w:rsidRPr="00925BCD">
        <w:rPr>
          <w:rFonts w:ascii="Arial" w:hAnsi="Arial" w:cs="Arial"/>
        </w:rPr>
        <w:t> </w:t>
      </w:r>
      <w:r w:rsidRPr="00925BCD">
        <w:rPr>
          <w:rFonts w:ascii="Arial" w:hAnsi="Arial" w:cs="Arial"/>
        </w:rPr>
        <w:t xml:space="preserve">uprawach rolniczych, sadowniczych, warzywnych i przemysłowych. Zaktualizowano i wprowadzano nowe </w:t>
      </w:r>
      <w:r w:rsidR="00E459BB" w:rsidRPr="00925BCD">
        <w:rPr>
          <w:rFonts w:ascii="Arial" w:hAnsi="Arial" w:cs="Arial"/>
        </w:rPr>
        <w:t xml:space="preserve">metodyki integrowanej ochrony roślin i poradniki, </w:t>
      </w:r>
      <w:r w:rsidRPr="00925BCD">
        <w:rPr>
          <w:rFonts w:ascii="Arial" w:hAnsi="Arial" w:cs="Arial"/>
        </w:rPr>
        <w:t xml:space="preserve">informacje z zakresu ochrony roślin bezpiecznej dla zapylaczy (aktualizacja broszur upowszechnieniowych), programów zapobiegania </w:t>
      </w:r>
      <w:r w:rsidR="00D95B2B" w:rsidRPr="00925BCD">
        <w:rPr>
          <w:rFonts w:ascii="Arial" w:hAnsi="Arial" w:cs="Arial"/>
        </w:rPr>
        <w:t>powstawani</w:t>
      </w:r>
      <w:r w:rsidR="00D95B2B">
        <w:rPr>
          <w:rFonts w:ascii="Arial" w:hAnsi="Arial" w:cs="Arial"/>
        </w:rPr>
        <w:t>u</w:t>
      </w:r>
      <w:r w:rsidR="00D95B2B" w:rsidRPr="00925BCD">
        <w:rPr>
          <w:rFonts w:ascii="Arial" w:hAnsi="Arial" w:cs="Arial"/>
        </w:rPr>
        <w:t xml:space="preserve"> </w:t>
      </w:r>
      <w:r w:rsidRPr="00925BCD">
        <w:rPr>
          <w:rFonts w:ascii="Arial" w:hAnsi="Arial" w:cs="Arial"/>
        </w:rPr>
        <w:t xml:space="preserve">odporności organizmów szkodliwych (8 opracowań). Dodany został panel „Ocena zagrożenia agrofagiem” (Pest Risk Assesment). </w:t>
      </w:r>
    </w:p>
    <w:p w14:paraId="16B2DA98" w14:textId="53406E36"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licznik odwiedzin wyniósł blisko 194 tysiące odwiedzających Platformę Sygnalizacji Agrofagów</w:t>
      </w:r>
      <w:r w:rsidR="0074114A" w:rsidRPr="00925BCD">
        <w:rPr>
          <w:rFonts w:ascii="Arial" w:hAnsi="Arial" w:cs="Arial"/>
        </w:rPr>
        <w:t>, natomiast w 2019 r. licznik odwiedzin wzrósł do 278 tysięcy odwiedzających.</w:t>
      </w:r>
    </w:p>
    <w:p w14:paraId="14EF26EF" w14:textId="3B77A760" w:rsidR="00663FF8" w:rsidRDefault="003F5A29" w:rsidP="0004391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2020 r. s</w:t>
      </w:r>
      <w:r w:rsidRPr="00125F0E">
        <w:rPr>
          <w:rFonts w:ascii="Arial" w:hAnsi="Arial" w:cs="Arial"/>
        </w:rPr>
        <w:t xml:space="preserve">ukcesywnie zamieszczano </w:t>
      </w:r>
      <w:r>
        <w:rPr>
          <w:rFonts w:ascii="Arial" w:hAnsi="Arial" w:cs="Arial"/>
        </w:rPr>
        <w:t>k</w:t>
      </w:r>
      <w:r w:rsidRPr="00125F0E">
        <w:rPr>
          <w:rFonts w:ascii="Arial" w:hAnsi="Arial" w:cs="Arial"/>
        </w:rPr>
        <w:t>omunikaty o zagrożeniach roślin uprawnych ze strony agrofagów</w:t>
      </w:r>
      <w:r>
        <w:rPr>
          <w:rFonts w:ascii="Arial" w:hAnsi="Arial" w:cs="Arial"/>
        </w:rPr>
        <w:t xml:space="preserve">. To spowodowało, że </w:t>
      </w:r>
      <w:r w:rsidRPr="00125F0E">
        <w:rPr>
          <w:rFonts w:ascii="Arial" w:hAnsi="Arial" w:cs="Arial"/>
        </w:rPr>
        <w:t xml:space="preserve">licznik odwiedzin </w:t>
      </w:r>
      <w:r>
        <w:rPr>
          <w:rFonts w:ascii="Arial" w:hAnsi="Arial" w:cs="Arial"/>
        </w:rPr>
        <w:t xml:space="preserve">w 2020 r. </w:t>
      </w:r>
      <w:r w:rsidRPr="00125F0E">
        <w:rPr>
          <w:rFonts w:ascii="Arial" w:hAnsi="Arial" w:cs="Arial"/>
        </w:rPr>
        <w:t>wyniósł 1 027 523 odwiedzających</w:t>
      </w:r>
      <w:r>
        <w:rPr>
          <w:rFonts w:ascii="Arial" w:hAnsi="Arial" w:cs="Arial"/>
        </w:rPr>
        <w:t>.</w:t>
      </w:r>
    </w:p>
    <w:p w14:paraId="2CF676F3" w14:textId="0875DDE2" w:rsidR="00D34D37" w:rsidRDefault="00D34D37" w:rsidP="00467DCC">
      <w:pPr>
        <w:pStyle w:val="NormalnyWeb"/>
        <w:tabs>
          <w:tab w:val="left" w:pos="284"/>
        </w:tabs>
        <w:spacing w:beforeAutospacing="0" w:after="120" w:afterAutospacing="0" w:line="360" w:lineRule="auto"/>
        <w:ind w:firstLine="284"/>
        <w:jc w:val="both"/>
        <w:rPr>
          <w:rFonts w:ascii="Arial" w:hAnsi="Arial" w:cs="Arial"/>
        </w:rPr>
      </w:pPr>
      <w:r w:rsidRPr="00271C1A">
        <w:rPr>
          <w:rFonts w:ascii="Arial" w:hAnsi="Arial" w:cs="Arial"/>
        </w:rPr>
        <w:t xml:space="preserve">W 2021 r. </w:t>
      </w:r>
      <w:r w:rsidR="00043919">
        <w:rPr>
          <w:rFonts w:ascii="Arial" w:hAnsi="Arial" w:cs="Arial"/>
        </w:rPr>
        <w:t>ko</w:t>
      </w:r>
      <w:r w:rsidR="00B24E10">
        <w:rPr>
          <w:rFonts w:ascii="Arial" w:hAnsi="Arial" w:cs="Arial"/>
        </w:rPr>
        <w:t>ntynuowano</w:t>
      </w:r>
      <w:r w:rsidR="008604CC">
        <w:rPr>
          <w:rFonts w:ascii="Arial" w:hAnsi="Arial" w:cs="Arial"/>
        </w:rPr>
        <w:t xml:space="preserve"> zadanie, </w:t>
      </w:r>
      <w:r w:rsidR="00AE6895" w:rsidRPr="00271C1A">
        <w:rPr>
          <w:rFonts w:ascii="Arial" w:hAnsi="Arial" w:cs="Arial"/>
        </w:rPr>
        <w:t>aktualizuj</w:t>
      </w:r>
      <w:r w:rsidR="00AE6895">
        <w:rPr>
          <w:rFonts w:ascii="Arial" w:hAnsi="Arial" w:cs="Arial"/>
        </w:rPr>
        <w:t>ąc</w:t>
      </w:r>
      <w:r w:rsidRPr="00271C1A">
        <w:rPr>
          <w:rFonts w:ascii="Arial" w:hAnsi="Arial" w:cs="Arial"/>
        </w:rPr>
        <w:t xml:space="preserve"> wykazy dostępnych środków ochrony roślin w</w:t>
      </w:r>
      <w:r w:rsidR="00AE6895">
        <w:rPr>
          <w:rFonts w:ascii="Arial" w:hAnsi="Arial" w:cs="Arial"/>
        </w:rPr>
        <w:t> </w:t>
      </w:r>
      <w:r w:rsidRPr="00271C1A">
        <w:rPr>
          <w:rFonts w:ascii="Arial" w:hAnsi="Arial" w:cs="Arial"/>
        </w:rPr>
        <w:t xml:space="preserve">uprawach rolniczych, sadowniczych, warzywnych i przemysłowych. Dodano nowe </w:t>
      </w:r>
      <w:r w:rsidR="00A27C39">
        <w:rPr>
          <w:rFonts w:ascii="Arial" w:hAnsi="Arial" w:cs="Arial"/>
        </w:rPr>
        <w:t>m</w:t>
      </w:r>
      <w:r w:rsidRPr="00271C1A">
        <w:rPr>
          <w:rFonts w:ascii="Arial" w:hAnsi="Arial" w:cs="Arial"/>
        </w:rPr>
        <w:t>etodyki integrowanej ochrony roślin rolniczych, sadowniczych, warzywnych i przemysłowych</w:t>
      </w:r>
      <w:r w:rsidR="00A27C39">
        <w:rPr>
          <w:rFonts w:ascii="Arial" w:hAnsi="Arial" w:cs="Arial"/>
        </w:rPr>
        <w:t xml:space="preserve"> oraz</w:t>
      </w:r>
      <w:r w:rsidRPr="00271C1A">
        <w:rPr>
          <w:rFonts w:ascii="Arial" w:hAnsi="Arial" w:cs="Arial"/>
        </w:rPr>
        <w:t xml:space="preserve"> </w:t>
      </w:r>
      <w:r w:rsidR="00A27C39">
        <w:rPr>
          <w:rFonts w:ascii="Arial" w:hAnsi="Arial" w:cs="Arial"/>
        </w:rPr>
        <w:t>p</w:t>
      </w:r>
      <w:r w:rsidRPr="00271C1A">
        <w:rPr>
          <w:rFonts w:ascii="Arial" w:hAnsi="Arial" w:cs="Arial"/>
        </w:rPr>
        <w:t>oradniki Sygnalizatora. Dodano także podkategorię „Monitoring Ślimaków.” Sukcesywnie zamieszczano Komunikaty o zagrożeniach roślin uprawnych ze strony agrofagów.</w:t>
      </w:r>
    </w:p>
    <w:p w14:paraId="063E0A25" w14:textId="3DECEAB1" w:rsidR="00D34D37" w:rsidRDefault="00D34D37" w:rsidP="00467DCC">
      <w:pPr>
        <w:pStyle w:val="NormalnyWeb"/>
        <w:tabs>
          <w:tab w:val="left" w:pos="284"/>
        </w:tabs>
        <w:spacing w:beforeAutospacing="0" w:after="120" w:afterAutospacing="0" w:line="360" w:lineRule="auto"/>
        <w:ind w:firstLine="284"/>
        <w:jc w:val="both"/>
        <w:rPr>
          <w:rFonts w:ascii="Arial" w:hAnsi="Arial" w:cs="Arial"/>
        </w:rPr>
      </w:pPr>
      <w:r w:rsidRPr="00271C1A">
        <w:rPr>
          <w:rFonts w:ascii="Arial" w:hAnsi="Arial" w:cs="Arial"/>
        </w:rPr>
        <w:t xml:space="preserve">W bazie </w:t>
      </w:r>
      <w:r w:rsidRPr="00271C1A">
        <w:rPr>
          <w:rFonts w:ascii="Arial" w:hAnsi="Arial" w:cs="Arial"/>
          <w:i/>
          <w:iCs/>
        </w:rPr>
        <w:t>Platformy Sygnalizacji Agrofagów</w:t>
      </w:r>
      <w:r w:rsidRPr="00271C1A">
        <w:rPr>
          <w:rFonts w:ascii="Arial" w:hAnsi="Arial" w:cs="Arial"/>
        </w:rPr>
        <w:t xml:space="preserve">, w </w:t>
      </w:r>
      <w:r w:rsidRPr="00912435">
        <w:rPr>
          <w:rFonts w:ascii="Arial" w:hAnsi="Arial" w:cs="Arial"/>
        </w:rPr>
        <w:t>2021</w:t>
      </w:r>
      <w:r w:rsidR="00FC7CC2">
        <w:rPr>
          <w:rFonts w:ascii="Arial" w:hAnsi="Arial" w:cs="Arial"/>
        </w:rPr>
        <w:t xml:space="preserve"> r.</w:t>
      </w:r>
      <w:r w:rsidRPr="00912435">
        <w:rPr>
          <w:rFonts w:ascii="Arial" w:hAnsi="Arial" w:cs="Arial"/>
        </w:rPr>
        <w:t xml:space="preserve"> było 332 obserwatorów</w:t>
      </w:r>
      <w:r w:rsidRPr="00271C1A">
        <w:rPr>
          <w:rFonts w:ascii="Arial" w:hAnsi="Arial" w:cs="Arial"/>
        </w:rPr>
        <w:t xml:space="preserve"> prowadzących monitoring agrofagów oraz 779 miejsc prowadzenia sygnalizacj</w:t>
      </w:r>
      <w:r w:rsidRPr="00837CE7">
        <w:rPr>
          <w:rFonts w:ascii="Arial" w:hAnsi="Arial" w:cs="Arial"/>
        </w:rPr>
        <w:t>i.</w:t>
      </w:r>
    </w:p>
    <w:p w14:paraId="56FD9D83" w14:textId="77777777" w:rsidR="00FC7CC2" w:rsidRPr="00271C1A" w:rsidRDefault="00FC7CC2" w:rsidP="00FC7CC2">
      <w:pPr>
        <w:pStyle w:val="NormalnyWeb"/>
        <w:tabs>
          <w:tab w:val="left" w:pos="284"/>
        </w:tabs>
        <w:spacing w:line="360" w:lineRule="auto"/>
        <w:ind w:firstLine="284"/>
        <w:jc w:val="center"/>
        <w:rPr>
          <w:rFonts w:ascii="Arial" w:hAnsi="Arial" w:cs="Arial"/>
        </w:rPr>
      </w:pPr>
      <w:r w:rsidRPr="00271C1A">
        <w:rPr>
          <w:rFonts w:ascii="Arial" w:hAnsi="Arial" w:cs="Arial"/>
        </w:rPr>
        <w:t>Mapa Polski z punktami obserwacyjnymi, gdzie prowadzony jest monitoring agrofagów</w:t>
      </w:r>
    </w:p>
    <w:p w14:paraId="1517D3F5" w14:textId="77777777" w:rsidR="00D34D37" w:rsidRDefault="00D34D37" w:rsidP="00FC7CC2">
      <w:pPr>
        <w:pStyle w:val="NormalnyWeb"/>
        <w:tabs>
          <w:tab w:val="left" w:pos="284"/>
        </w:tabs>
        <w:spacing w:beforeAutospacing="0" w:afterAutospacing="0" w:line="360" w:lineRule="auto"/>
        <w:ind w:firstLine="284"/>
        <w:jc w:val="center"/>
        <w:rPr>
          <w:rFonts w:ascii="Arial" w:hAnsi="Arial" w:cs="Arial"/>
        </w:rPr>
      </w:pPr>
      <w:r w:rsidRPr="00C0345A">
        <w:rPr>
          <w:rFonts w:ascii="Arial" w:eastAsia="Calibri" w:hAnsi="Arial" w:cs="Arial"/>
          <w:noProof/>
          <w:sz w:val="22"/>
          <w:szCs w:val="22"/>
        </w:rPr>
        <w:drawing>
          <wp:inline distT="0" distB="0" distL="0" distR="0" wp14:anchorId="147FF0B8" wp14:editId="5BCF0377">
            <wp:extent cx="3371353" cy="3047829"/>
            <wp:effectExtent l="0" t="0" r="635" b="63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6077" cy="3070180"/>
                    </a:xfrm>
                    <a:prstGeom prst="rect">
                      <a:avLst/>
                    </a:prstGeom>
                    <a:noFill/>
                    <a:ln>
                      <a:noFill/>
                    </a:ln>
                  </pic:spPr>
                </pic:pic>
              </a:graphicData>
            </a:graphic>
          </wp:inline>
        </w:drawing>
      </w:r>
    </w:p>
    <w:p w14:paraId="127B051D" w14:textId="77777777" w:rsidR="00D34D37" w:rsidRDefault="00D34D37" w:rsidP="00F6453F">
      <w:pPr>
        <w:pStyle w:val="NormalnyWeb"/>
        <w:tabs>
          <w:tab w:val="left" w:pos="284"/>
        </w:tabs>
        <w:spacing w:beforeAutospacing="0" w:after="120" w:afterAutospacing="0" w:line="360" w:lineRule="auto"/>
        <w:ind w:firstLine="284"/>
        <w:jc w:val="both"/>
        <w:rPr>
          <w:rFonts w:ascii="Arial" w:hAnsi="Arial" w:cs="Arial"/>
        </w:rPr>
      </w:pPr>
      <w:r w:rsidRPr="00271C1A">
        <w:rPr>
          <w:rFonts w:ascii="Arial" w:hAnsi="Arial" w:cs="Arial"/>
        </w:rPr>
        <w:t xml:space="preserve">W 2021 r. licznik odwiedzin wyniósł 786 251 odwiedzających </w:t>
      </w:r>
      <w:r w:rsidRPr="00F6453F">
        <w:rPr>
          <w:rFonts w:ascii="Arial" w:hAnsi="Arial" w:cs="Arial"/>
        </w:rPr>
        <w:t>Platformę Sygnalizacji Agrofagów</w:t>
      </w:r>
      <w:r w:rsidRPr="00271C1A">
        <w:rPr>
          <w:rFonts w:ascii="Arial" w:hAnsi="Arial" w:cs="Arial"/>
        </w:rPr>
        <w:t>.</w:t>
      </w:r>
    </w:p>
    <w:p w14:paraId="64571710" w14:textId="2CFACA3B" w:rsidR="00F6453F" w:rsidRPr="00F6453F" w:rsidRDefault="00F6453F" w:rsidP="00F6453F">
      <w:pPr>
        <w:pStyle w:val="NormalnyWeb"/>
        <w:tabs>
          <w:tab w:val="left" w:pos="284"/>
        </w:tabs>
        <w:spacing w:beforeAutospacing="0" w:after="120" w:afterAutospacing="0" w:line="360" w:lineRule="auto"/>
        <w:ind w:firstLine="284"/>
        <w:jc w:val="both"/>
        <w:rPr>
          <w:rFonts w:ascii="Arial" w:hAnsi="Arial" w:cs="Arial"/>
        </w:rPr>
      </w:pPr>
      <w:r w:rsidRPr="00F6453F">
        <w:rPr>
          <w:rFonts w:ascii="Arial" w:hAnsi="Arial" w:cs="Arial"/>
        </w:rPr>
        <w:lastRenderedPageBreak/>
        <w:t>W 2022 r</w:t>
      </w:r>
      <w:r>
        <w:rPr>
          <w:rFonts w:ascii="Arial" w:hAnsi="Arial" w:cs="Arial"/>
        </w:rPr>
        <w:t>.</w:t>
      </w:r>
      <w:r w:rsidRPr="00F6453F">
        <w:rPr>
          <w:rFonts w:ascii="Arial" w:hAnsi="Arial" w:cs="Arial"/>
        </w:rPr>
        <w:t xml:space="preserve"> systematycznie aktualizowano wykazy dostępnych środków ochrony roślin w uprawach rolniczych, sadowniczych, warzywnych i przemysłowych. Dodano nowe Metodyki integrowanej ochrony roślin rolniczych, sadowniczych, warzywnych i przemysłowych</w:t>
      </w:r>
      <w:r>
        <w:rPr>
          <w:rFonts w:ascii="Arial" w:hAnsi="Arial" w:cs="Arial"/>
        </w:rPr>
        <w:t xml:space="preserve"> oraz</w:t>
      </w:r>
      <w:r w:rsidRPr="00F6453F">
        <w:rPr>
          <w:rFonts w:ascii="Arial" w:hAnsi="Arial" w:cs="Arial"/>
        </w:rPr>
        <w:t xml:space="preserve"> Poradniki Sygnalizatora. </w:t>
      </w:r>
    </w:p>
    <w:p w14:paraId="1C8D6FA0" w14:textId="77777777" w:rsidR="00F6453F" w:rsidRDefault="00F6453F" w:rsidP="00F6453F">
      <w:pPr>
        <w:pStyle w:val="NormalnyWeb"/>
        <w:tabs>
          <w:tab w:val="left" w:pos="284"/>
        </w:tabs>
        <w:spacing w:beforeAutospacing="0" w:after="120" w:afterAutospacing="0" w:line="360" w:lineRule="auto"/>
        <w:ind w:firstLine="284"/>
        <w:jc w:val="both"/>
        <w:rPr>
          <w:rFonts w:ascii="Arial" w:hAnsi="Arial" w:cs="Arial"/>
        </w:rPr>
      </w:pPr>
      <w:r w:rsidRPr="00F6453F">
        <w:rPr>
          <w:rFonts w:ascii="Arial" w:hAnsi="Arial" w:cs="Arial"/>
        </w:rPr>
        <w:t xml:space="preserve">W części „Sygnalizacja agrofagów” wprowadzono nową kategorię związaną z nadzorem nad kwarantannowym nicieniem Węgorkiem sosnowcem </w:t>
      </w:r>
    </w:p>
    <w:p w14:paraId="5712C411" w14:textId="09CD1AE5" w:rsidR="00F6453F" w:rsidRDefault="00F6453F" w:rsidP="00F6453F">
      <w:pPr>
        <w:pStyle w:val="NormalnyWeb"/>
        <w:tabs>
          <w:tab w:val="left" w:pos="284"/>
        </w:tabs>
        <w:spacing w:beforeAutospacing="0" w:after="120" w:afterAutospacing="0" w:line="360" w:lineRule="auto"/>
        <w:ind w:firstLine="284"/>
        <w:jc w:val="both"/>
        <w:rPr>
          <w:rFonts w:ascii="Arial" w:hAnsi="Arial" w:cs="Arial"/>
        </w:rPr>
      </w:pPr>
      <w:r w:rsidRPr="00F6453F">
        <w:rPr>
          <w:rFonts w:ascii="Arial" w:hAnsi="Arial" w:cs="Arial"/>
        </w:rPr>
        <w:t xml:space="preserve">- </w:t>
      </w:r>
      <w:hyperlink r:id="rId33" w:history="1">
        <w:r w:rsidRPr="00FB7B9D">
          <w:rPr>
            <w:rStyle w:val="Hipercze"/>
            <w:rFonts w:ascii="Arial" w:hAnsi="Arial" w:cs="Arial"/>
          </w:rPr>
          <w:t>https://www.agrofagi.com.pl/598,kwarantannowy-nicien-wegorek-sosnowiec</w:t>
        </w:r>
      </w:hyperlink>
    </w:p>
    <w:p w14:paraId="785CDE7F" w14:textId="71B33B56" w:rsidR="00D34D37" w:rsidRDefault="00F6453F" w:rsidP="00F6453F">
      <w:pPr>
        <w:pStyle w:val="NormalnyWeb"/>
        <w:tabs>
          <w:tab w:val="left" w:pos="284"/>
        </w:tabs>
        <w:spacing w:beforeAutospacing="0" w:after="120" w:afterAutospacing="0" w:line="360" w:lineRule="auto"/>
        <w:ind w:firstLine="284"/>
        <w:jc w:val="both"/>
        <w:rPr>
          <w:rFonts w:ascii="Arial" w:hAnsi="Arial" w:cs="Arial"/>
        </w:rPr>
      </w:pPr>
      <w:r w:rsidRPr="00F6453F">
        <w:rPr>
          <w:rFonts w:ascii="Arial" w:hAnsi="Arial" w:cs="Arial"/>
        </w:rPr>
        <w:t>Na bieżąco wprowadzano w części „Komunikaty” informacje o aktualnych zagrożeniach w uprawach rolniczych.</w:t>
      </w:r>
    </w:p>
    <w:p w14:paraId="35FFB39B" w14:textId="5EF91A6A" w:rsidR="00323B8F" w:rsidRDefault="00323B8F" w:rsidP="00BF1F1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2022 r. </w:t>
      </w:r>
      <w:r w:rsidR="004F1E40">
        <w:rPr>
          <w:rFonts w:ascii="Arial" w:hAnsi="Arial" w:cs="Arial"/>
        </w:rPr>
        <w:t xml:space="preserve">liczba obserwatorów </w:t>
      </w:r>
      <w:r w:rsidR="00E80598">
        <w:rPr>
          <w:rFonts w:ascii="Arial" w:hAnsi="Arial" w:cs="Arial"/>
        </w:rPr>
        <w:t xml:space="preserve">wyniosła </w:t>
      </w:r>
      <w:r>
        <w:rPr>
          <w:rFonts w:ascii="Arial" w:hAnsi="Arial" w:cs="Arial"/>
        </w:rPr>
        <w:t>298</w:t>
      </w:r>
      <w:r w:rsidR="00E80598">
        <w:rPr>
          <w:rFonts w:ascii="Arial" w:hAnsi="Arial" w:cs="Arial"/>
        </w:rPr>
        <w:t xml:space="preserve">, a liczba </w:t>
      </w:r>
      <w:r>
        <w:rPr>
          <w:rFonts w:ascii="Arial" w:hAnsi="Arial" w:cs="Arial"/>
        </w:rPr>
        <w:t>miejsc prowadzenia sygnalizacji</w:t>
      </w:r>
      <w:r w:rsidR="0005041A">
        <w:rPr>
          <w:rFonts w:ascii="Arial" w:hAnsi="Arial" w:cs="Arial"/>
        </w:rPr>
        <w:t xml:space="preserve"> </w:t>
      </w:r>
      <w:r w:rsidR="00E80598">
        <w:rPr>
          <w:rFonts w:ascii="Arial" w:hAnsi="Arial" w:cs="Arial"/>
        </w:rPr>
        <w:t>–</w:t>
      </w:r>
      <w:r w:rsidR="0005041A">
        <w:rPr>
          <w:rFonts w:ascii="Arial" w:hAnsi="Arial" w:cs="Arial"/>
        </w:rPr>
        <w:t xml:space="preserve"> 682</w:t>
      </w:r>
      <w:r>
        <w:rPr>
          <w:rFonts w:ascii="Arial" w:hAnsi="Arial" w:cs="Arial"/>
        </w:rPr>
        <w:t>.</w:t>
      </w:r>
      <w:r w:rsidR="00DE7D1D">
        <w:rPr>
          <w:rFonts w:ascii="Arial" w:hAnsi="Arial" w:cs="Arial"/>
        </w:rPr>
        <w:t xml:space="preserve"> </w:t>
      </w:r>
      <w:r w:rsidR="00E80598">
        <w:rPr>
          <w:rFonts w:ascii="Arial" w:hAnsi="Arial" w:cs="Arial"/>
        </w:rPr>
        <w:t>L</w:t>
      </w:r>
      <w:r w:rsidR="00DE7D1D" w:rsidRPr="00DE7D1D">
        <w:rPr>
          <w:rFonts w:ascii="Arial" w:hAnsi="Arial" w:cs="Arial"/>
        </w:rPr>
        <w:t>icznik odwiedzin</w:t>
      </w:r>
      <w:r w:rsidR="00FF2E95">
        <w:rPr>
          <w:rFonts w:ascii="Arial" w:hAnsi="Arial" w:cs="Arial"/>
        </w:rPr>
        <w:t xml:space="preserve"> </w:t>
      </w:r>
      <w:r w:rsidR="00DE7D1D" w:rsidRPr="00DE7D1D">
        <w:rPr>
          <w:rFonts w:ascii="Arial" w:hAnsi="Arial" w:cs="Arial"/>
        </w:rPr>
        <w:t>wyniósł 567 209.</w:t>
      </w:r>
    </w:p>
    <w:p w14:paraId="6678B157" w14:textId="77777777" w:rsidR="00056846" w:rsidRPr="00925BCD" w:rsidRDefault="00E54725">
      <w:pPr>
        <w:pStyle w:val="Nagwek2"/>
        <w:jc w:val="both"/>
        <w:rPr>
          <w:i w:val="0"/>
          <w:sz w:val="20"/>
          <w:szCs w:val="20"/>
        </w:rPr>
      </w:pPr>
      <w:bookmarkStart w:id="71" w:name="_Toc161744889"/>
      <w:r w:rsidRPr="00925BCD">
        <w:rPr>
          <w:i w:val="0"/>
          <w:sz w:val="20"/>
          <w:szCs w:val="20"/>
        </w:rPr>
        <w:t>Zadanie 3. Opracowanie, aktualizacja i udostępnienie metodyk integrowanej ochrony poszczególnych upraw</w:t>
      </w:r>
      <w:bookmarkStart w:id="72" w:name="_Toc301334616"/>
      <w:bookmarkStart w:id="73" w:name="_Toc300916282"/>
      <w:bookmarkStart w:id="74" w:name="_Toc341876101"/>
      <w:bookmarkStart w:id="75" w:name="_Toc341876100"/>
      <w:bookmarkEnd w:id="71"/>
      <w:bookmarkEnd w:id="72"/>
      <w:bookmarkEnd w:id="73"/>
      <w:bookmarkEnd w:id="74"/>
      <w:bookmarkEnd w:id="75"/>
    </w:p>
    <w:p w14:paraId="3F383251"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działań pozalegislacyjnych, służących wdrożeniu ogólnych zasad integrowanej ochrony roślin, jest aktualizacja oraz udostępnienie użytkownikom profesjonalnym środków ochrony roślin metodyk integrowanej ochrony roślin. Metodyki zawierają zalecenia dotyczące metod ochrony roślin dla poszczególnych upraw, obejmujące metody agrotechniczne, biologiczne i chemiczne, ze szczególnym uwzględnieniem wspomagania naturalnych procesów samoregulacji zachodzących w agrocenozach. Jednym z elementów wykorzystywanych w integrowanej ochronie roślin jest stosowanie prawidłowego płodozmianu. Istotna jest też uprawa odmian odpornych i tolerancyjnych oraz wprowadzanie do praktyki rolniczej alternatywnych form uprawy, takich jak siew mieszanek odmian i gatunków, pozwalających na lepsze wykorzystanie zasobów środowiska rolniczego, bez zakłócania jego równowagi biologicznej. </w:t>
      </w:r>
    </w:p>
    <w:p w14:paraId="69EF33DA" w14:textId="77777777" w:rsidR="00056846" w:rsidRPr="00925BCD" w:rsidRDefault="00E54725" w:rsidP="00467DC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Metodyki integrowanej ochrony roślin zawierają wskazówki dotyczące doboru i stosowania środków ochrony roślin w taki sposób, aby minimalizować ryzyko powstawania zagrożeń dla zdrowia ludzi oraz dla środowiska naturalnego, w tym środowiska wodnego i owadów zapylających. Metodyki mają charakter dobrowolnych wytycznych.</w:t>
      </w:r>
    </w:p>
    <w:p w14:paraId="7009E587" w14:textId="4B4BA69C" w:rsidR="001570A5" w:rsidRPr="00925BCD" w:rsidRDefault="001570A5" w:rsidP="00467DCC">
      <w:pPr>
        <w:pStyle w:val="NormalnyWeb"/>
        <w:tabs>
          <w:tab w:val="left" w:pos="284"/>
        </w:tabs>
        <w:spacing w:beforeAutospacing="0" w:after="120" w:afterAutospacing="0" w:line="360" w:lineRule="auto"/>
        <w:ind w:firstLine="284"/>
        <w:jc w:val="both"/>
        <w:rPr>
          <w:rFonts w:ascii="Arial" w:hAnsi="Arial" w:cs="Arial"/>
        </w:rPr>
      </w:pPr>
      <w:r w:rsidRPr="00A87675">
        <w:rPr>
          <w:rFonts w:ascii="Arial" w:hAnsi="Arial" w:cs="Arial"/>
        </w:rPr>
        <w:t xml:space="preserve">W ramach zadania w 2018 r. zaktualizowano 8 metodyk dla roślin rolniczych, opracowano nową metodykę dla uprawy bobu oraz zaktualizowano 3 metodyki dla roślin sadowniczych (gruszy, śliwy </w:t>
      </w:r>
      <w:r w:rsidR="007856F3" w:rsidRPr="00A87675">
        <w:rPr>
          <w:rFonts w:ascii="Arial" w:hAnsi="Arial" w:cs="Arial"/>
        </w:rPr>
        <w:t>i</w:t>
      </w:r>
      <w:r w:rsidR="007856F3">
        <w:rPr>
          <w:rFonts w:ascii="Arial" w:hAnsi="Arial" w:cs="Arial"/>
        </w:rPr>
        <w:t> </w:t>
      </w:r>
      <w:r w:rsidRPr="00A87675">
        <w:rPr>
          <w:rFonts w:ascii="Arial" w:hAnsi="Arial" w:cs="Arial"/>
        </w:rPr>
        <w:t>wiśni), natomiast w 2019 r. zaktualizowano 2 metodyki dla roślin rolniczych oraz dwie dla roślin sadowniczych (czereśni i truskawki) i jedną dla roślin warzywnych (marchwi).</w:t>
      </w:r>
    </w:p>
    <w:p w14:paraId="46B74F66" w14:textId="610511DE" w:rsidR="001570A5" w:rsidRDefault="00D330CA" w:rsidP="00467DCC">
      <w:pPr>
        <w:pStyle w:val="NormalnyWeb"/>
        <w:tabs>
          <w:tab w:val="left" w:pos="284"/>
        </w:tabs>
        <w:spacing w:beforeAutospacing="0" w:after="120" w:afterAutospacing="0" w:line="360" w:lineRule="auto"/>
        <w:ind w:firstLine="284"/>
        <w:jc w:val="both"/>
        <w:rPr>
          <w:rFonts w:ascii="Arial" w:hAnsi="Arial" w:cs="Arial"/>
        </w:rPr>
      </w:pPr>
      <w:r w:rsidRPr="00D330CA">
        <w:rPr>
          <w:rFonts w:ascii="Arial" w:hAnsi="Arial" w:cs="Arial"/>
        </w:rPr>
        <w:t>W 2020 r. opracowano bądź zaktualizowano 8 metodyk integrowanej ochrony upraw rolniczych – dla: łubinów, żyta, owsa, soi, maku, słonecznika, lnianki siewnej i komonicy zwyczajnej. Z</w:t>
      </w:r>
      <w:r w:rsidR="001570A5" w:rsidRPr="00D330CA">
        <w:rPr>
          <w:rFonts w:ascii="Arial" w:hAnsi="Arial" w:cs="Arial"/>
        </w:rPr>
        <w:t xml:space="preserve">aktualizowano </w:t>
      </w:r>
      <w:r w:rsidRPr="00D330CA">
        <w:rPr>
          <w:rFonts w:ascii="Arial" w:hAnsi="Arial" w:cs="Arial"/>
        </w:rPr>
        <w:t xml:space="preserve">również </w:t>
      </w:r>
      <w:r w:rsidR="001570A5" w:rsidRPr="00D330CA">
        <w:rPr>
          <w:rFonts w:ascii="Arial" w:hAnsi="Arial" w:cs="Arial"/>
        </w:rPr>
        <w:t>5 metodyk integrowanej ochrony roślin</w:t>
      </w:r>
      <w:r w:rsidRPr="00D330CA">
        <w:rPr>
          <w:rFonts w:ascii="Arial" w:hAnsi="Arial" w:cs="Arial"/>
        </w:rPr>
        <w:t xml:space="preserve"> sadowniczych i warzywniczych</w:t>
      </w:r>
      <w:r w:rsidR="001570A5" w:rsidRPr="00D330CA">
        <w:rPr>
          <w:rFonts w:ascii="Arial" w:hAnsi="Arial" w:cs="Arial"/>
        </w:rPr>
        <w:t>, dla następujących gatunków: jabłoni, borówki wysokiej, maliny, kalafiora i pomidora pod osłonami, ze szczególnym uwzględnieniem stosowania metod nie chemicznych.</w:t>
      </w:r>
    </w:p>
    <w:p w14:paraId="2C829BFB" w14:textId="0ADA12F1" w:rsidR="00AB0EA3" w:rsidRDefault="00D32699" w:rsidP="001C1EE5">
      <w:pPr>
        <w:pStyle w:val="NormalnyWeb"/>
        <w:tabs>
          <w:tab w:val="left" w:pos="284"/>
        </w:tabs>
        <w:spacing w:beforeAutospacing="0" w:after="120" w:afterAutospacing="0" w:line="360" w:lineRule="auto"/>
        <w:ind w:firstLine="284"/>
        <w:jc w:val="both"/>
        <w:rPr>
          <w:rFonts w:ascii="Arial" w:hAnsi="Arial" w:cs="Arial"/>
        </w:rPr>
      </w:pPr>
      <w:r w:rsidRPr="00EA0199">
        <w:rPr>
          <w:rFonts w:ascii="Arial" w:hAnsi="Arial" w:cs="Arial"/>
        </w:rPr>
        <w:t xml:space="preserve">W 2021 r. nie aktualizowano </w:t>
      </w:r>
      <w:r w:rsidR="001C5EFD" w:rsidRPr="00EA0199">
        <w:rPr>
          <w:rFonts w:ascii="Arial" w:hAnsi="Arial" w:cs="Arial"/>
        </w:rPr>
        <w:t>m</w:t>
      </w:r>
      <w:r w:rsidRPr="00EA0199">
        <w:rPr>
          <w:rFonts w:ascii="Arial" w:hAnsi="Arial" w:cs="Arial"/>
        </w:rPr>
        <w:t>etodyk integrowanej ochrony upraw rolniczych</w:t>
      </w:r>
      <w:r w:rsidR="00417A22">
        <w:rPr>
          <w:rFonts w:ascii="Arial" w:hAnsi="Arial" w:cs="Arial"/>
        </w:rPr>
        <w:t>,</w:t>
      </w:r>
      <w:r w:rsidR="001C5EFD">
        <w:rPr>
          <w:rFonts w:ascii="Arial" w:hAnsi="Arial" w:cs="Arial"/>
        </w:rPr>
        <w:t xml:space="preserve"> a jedynie</w:t>
      </w:r>
      <w:r w:rsidRPr="00D32699">
        <w:rPr>
          <w:rFonts w:ascii="Arial" w:hAnsi="Arial" w:cs="Arial"/>
        </w:rPr>
        <w:t xml:space="preserve"> </w:t>
      </w:r>
      <w:r w:rsidR="002453F9">
        <w:rPr>
          <w:rFonts w:ascii="Arial" w:hAnsi="Arial" w:cs="Arial"/>
        </w:rPr>
        <w:t>p</w:t>
      </w:r>
      <w:r w:rsidR="002453F9" w:rsidRPr="002453F9">
        <w:rPr>
          <w:rFonts w:ascii="Arial" w:hAnsi="Arial" w:cs="Arial"/>
        </w:rPr>
        <w:t xml:space="preserve">rzygotowano i zlecono </w:t>
      </w:r>
      <w:r w:rsidR="002453F9">
        <w:rPr>
          <w:rFonts w:ascii="Arial" w:hAnsi="Arial" w:cs="Arial"/>
        </w:rPr>
        <w:t xml:space="preserve">ich </w:t>
      </w:r>
      <w:r w:rsidR="002453F9" w:rsidRPr="002453F9">
        <w:rPr>
          <w:rFonts w:ascii="Arial" w:hAnsi="Arial" w:cs="Arial"/>
        </w:rPr>
        <w:t>druk</w:t>
      </w:r>
      <w:r w:rsidR="008468EA">
        <w:rPr>
          <w:rFonts w:ascii="Arial" w:hAnsi="Arial" w:cs="Arial"/>
        </w:rPr>
        <w:t xml:space="preserve">. </w:t>
      </w:r>
      <w:r w:rsidR="00CA283E">
        <w:rPr>
          <w:rFonts w:ascii="Arial" w:hAnsi="Arial" w:cs="Arial"/>
        </w:rPr>
        <w:t>O</w:t>
      </w:r>
      <w:r w:rsidR="00AB0EA3" w:rsidRPr="00407C5E">
        <w:rPr>
          <w:rFonts w:ascii="Arial" w:hAnsi="Arial" w:cs="Arial"/>
        </w:rPr>
        <w:t xml:space="preserve">pracowano </w:t>
      </w:r>
      <w:r w:rsidR="00CA283E" w:rsidRPr="00407C5E">
        <w:rPr>
          <w:rFonts w:ascii="Arial" w:hAnsi="Arial" w:cs="Arial"/>
        </w:rPr>
        <w:t>natomiast</w:t>
      </w:r>
      <w:r w:rsidR="00222502" w:rsidRPr="00407C5E">
        <w:rPr>
          <w:rFonts w:ascii="Arial" w:hAnsi="Arial" w:cs="Arial"/>
        </w:rPr>
        <w:t xml:space="preserve"> </w:t>
      </w:r>
      <w:r w:rsidR="00AB0EA3" w:rsidRPr="00407C5E">
        <w:rPr>
          <w:rFonts w:ascii="Arial" w:hAnsi="Arial" w:cs="Arial"/>
        </w:rPr>
        <w:t xml:space="preserve">3 </w:t>
      </w:r>
      <w:r w:rsidR="00251DFB">
        <w:rPr>
          <w:rFonts w:ascii="Arial" w:hAnsi="Arial" w:cs="Arial"/>
        </w:rPr>
        <w:t xml:space="preserve">nowe </w:t>
      </w:r>
      <w:r w:rsidR="00AB0EA3" w:rsidRPr="00407C5E">
        <w:rPr>
          <w:rFonts w:ascii="Arial" w:hAnsi="Arial" w:cs="Arial"/>
        </w:rPr>
        <w:t>metodyki integrowanej ochrony roślin w</w:t>
      </w:r>
      <w:r w:rsidR="004F7880" w:rsidRPr="00407C5E">
        <w:rPr>
          <w:rFonts w:ascii="Arial" w:hAnsi="Arial" w:cs="Arial"/>
        </w:rPr>
        <w:t> </w:t>
      </w:r>
      <w:r w:rsidR="00AB0EA3" w:rsidRPr="00407C5E">
        <w:rPr>
          <w:rFonts w:ascii="Arial" w:hAnsi="Arial" w:cs="Arial"/>
        </w:rPr>
        <w:t xml:space="preserve">wersjach dla producentów i doradców: 1 dla roślin sadowniczych: jeżyna bezkolcowa; 2 dla roślin </w:t>
      </w:r>
      <w:r w:rsidR="00AB0EA3" w:rsidRPr="00407C5E">
        <w:rPr>
          <w:rFonts w:ascii="Arial" w:hAnsi="Arial" w:cs="Arial"/>
        </w:rPr>
        <w:lastRenderedPageBreak/>
        <w:t>warzywnych: czosnek, brokuł</w:t>
      </w:r>
      <w:r w:rsidR="00222502" w:rsidRPr="00407C5E">
        <w:rPr>
          <w:rFonts w:ascii="Arial" w:hAnsi="Arial" w:cs="Arial"/>
        </w:rPr>
        <w:t xml:space="preserve"> a także</w:t>
      </w:r>
      <w:r w:rsidR="00AB0EA3" w:rsidRPr="00407C5E">
        <w:rPr>
          <w:rFonts w:ascii="Arial" w:hAnsi="Arial" w:cs="Arial"/>
        </w:rPr>
        <w:t xml:space="preserve"> zaktualizowano 2 metodyki integrowanej ochrony roślin w</w:t>
      </w:r>
      <w:r w:rsidR="004F7880" w:rsidRPr="00407C5E">
        <w:rPr>
          <w:rFonts w:ascii="Arial" w:hAnsi="Arial" w:cs="Arial"/>
        </w:rPr>
        <w:t> </w:t>
      </w:r>
      <w:r w:rsidR="00AB0EA3" w:rsidRPr="00407C5E">
        <w:rPr>
          <w:rFonts w:ascii="Arial" w:hAnsi="Arial" w:cs="Arial"/>
        </w:rPr>
        <w:t>wersjach dla doradców i producentów porzeczek oraz sałaty w uprawie polowej i pod osłonami</w:t>
      </w:r>
      <w:r w:rsidR="00875B73">
        <w:rPr>
          <w:rFonts w:ascii="Arial" w:hAnsi="Arial" w:cs="Arial"/>
        </w:rPr>
        <w:t>.</w:t>
      </w:r>
      <w:r w:rsidR="00251DFB">
        <w:rPr>
          <w:rFonts w:ascii="Arial" w:hAnsi="Arial" w:cs="Arial"/>
        </w:rPr>
        <w:t xml:space="preserve"> Opracowano także metodykę integrowanej ochrony konopi. </w:t>
      </w:r>
    </w:p>
    <w:p w14:paraId="17A5798D" w14:textId="0BC011F2" w:rsidR="00E61398" w:rsidRDefault="00F77CAB" w:rsidP="001C1EE5">
      <w:pPr>
        <w:pStyle w:val="NormalnyWeb"/>
        <w:tabs>
          <w:tab w:val="left" w:pos="284"/>
        </w:tabs>
        <w:spacing w:beforeAutospacing="0" w:after="120" w:afterAutospacing="0" w:line="360" w:lineRule="auto"/>
        <w:ind w:firstLine="284"/>
        <w:jc w:val="both"/>
        <w:rPr>
          <w:rFonts w:ascii="Arial" w:hAnsi="Arial" w:cs="Arial"/>
        </w:rPr>
      </w:pPr>
      <w:r w:rsidRPr="001072D1">
        <w:rPr>
          <w:rFonts w:ascii="Arial" w:hAnsi="Arial" w:cs="Arial"/>
        </w:rPr>
        <w:t xml:space="preserve">W 2022 r. </w:t>
      </w:r>
      <w:r w:rsidR="00187B7A" w:rsidRPr="001072D1">
        <w:rPr>
          <w:rFonts w:ascii="Arial" w:hAnsi="Arial" w:cs="Arial"/>
        </w:rPr>
        <w:t xml:space="preserve">podobnie jak w 2021 r. </w:t>
      </w:r>
      <w:r w:rsidRPr="001072D1">
        <w:rPr>
          <w:rFonts w:ascii="Arial" w:hAnsi="Arial" w:cs="Arial"/>
        </w:rPr>
        <w:t>nie aktualizowano metodyk integrowanej ochrony upraw rolniczych</w:t>
      </w:r>
      <w:r w:rsidR="00430537" w:rsidRPr="001072D1">
        <w:rPr>
          <w:rFonts w:ascii="Arial" w:hAnsi="Arial" w:cs="Arial"/>
        </w:rPr>
        <w:t>.</w:t>
      </w:r>
      <w:r w:rsidR="001072D1" w:rsidRPr="001072D1">
        <w:rPr>
          <w:rFonts w:ascii="Arial" w:hAnsi="Arial" w:cs="Arial"/>
        </w:rPr>
        <w:t xml:space="preserve"> Opracowano natomiast metodyki </w:t>
      </w:r>
      <w:r w:rsidR="00F21782" w:rsidRPr="001072D1">
        <w:rPr>
          <w:rFonts w:ascii="Arial" w:hAnsi="Arial" w:cs="Arial"/>
        </w:rPr>
        <w:t xml:space="preserve">dla </w:t>
      </w:r>
      <w:r w:rsidR="00875B73" w:rsidRPr="001072D1">
        <w:rPr>
          <w:rFonts w:ascii="Arial" w:hAnsi="Arial" w:cs="Arial"/>
        </w:rPr>
        <w:t xml:space="preserve">aronii i pietruszki korzeniowej w wersjach dla producentów </w:t>
      </w:r>
      <w:r w:rsidR="00875B73" w:rsidRPr="00AB649A">
        <w:rPr>
          <w:rFonts w:ascii="Arial" w:hAnsi="Arial" w:cs="Arial"/>
        </w:rPr>
        <w:t>i</w:t>
      </w:r>
      <w:r w:rsidR="001072D1">
        <w:rPr>
          <w:rFonts w:ascii="Arial" w:hAnsi="Arial" w:cs="Arial"/>
        </w:rPr>
        <w:t> </w:t>
      </w:r>
      <w:r w:rsidR="00875B73" w:rsidRPr="00AB649A">
        <w:rPr>
          <w:rFonts w:ascii="Arial" w:hAnsi="Arial" w:cs="Arial"/>
        </w:rPr>
        <w:t>doradców. Zaktualizowano metodyki integrowanej ochrony truskawki i fasoli w wersjach dla doradców i</w:t>
      </w:r>
      <w:r w:rsidR="00AB649A">
        <w:rPr>
          <w:rFonts w:ascii="Arial" w:hAnsi="Arial" w:cs="Arial"/>
        </w:rPr>
        <w:t> </w:t>
      </w:r>
      <w:r w:rsidR="00875B73" w:rsidRPr="00AB649A">
        <w:rPr>
          <w:rFonts w:ascii="Arial" w:hAnsi="Arial" w:cs="Arial"/>
        </w:rPr>
        <w:t>producentów.</w:t>
      </w:r>
      <w:r w:rsidR="00E61398" w:rsidRPr="001C1EE5">
        <w:rPr>
          <w:rFonts w:ascii="Arial" w:hAnsi="Arial" w:cs="Arial"/>
        </w:rPr>
        <w:t xml:space="preserve"> </w:t>
      </w:r>
      <w:r w:rsidR="00E61398" w:rsidRPr="00E61398">
        <w:rPr>
          <w:rFonts w:ascii="Arial" w:hAnsi="Arial" w:cs="Arial"/>
        </w:rPr>
        <w:t>W 202</w:t>
      </w:r>
      <w:r w:rsidR="00B2430A">
        <w:rPr>
          <w:rFonts w:ascii="Arial" w:hAnsi="Arial" w:cs="Arial"/>
        </w:rPr>
        <w:t xml:space="preserve">2 </w:t>
      </w:r>
      <w:r w:rsidR="00E61398" w:rsidRPr="00E61398">
        <w:rPr>
          <w:rFonts w:ascii="Arial" w:hAnsi="Arial" w:cs="Arial"/>
        </w:rPr>
        <w:t>r. w IUNG-PIB zaktualizowano oraz uzupełniono</w:t>
      </w:r>
      <w:r w:rsidR="003B7878">
        <w:rPr>
          <w:rFonts w:ascii="Arial" w:hAnsi="Arial" w:cs="Arial"/>
        </w:rPr>
        <w:t xml:space="preserve"> </w:t>
      </w:r>
      <w:r w:rsidR="00E61398" w:rsidRPr="00E61398">
        <w:rPr>
          <w:rFonts w:ascii="Arial" w:hAnsi="Arial" w:cs="Arial"/>
        </w:rPr>
        <w:t>Metodykę integrowanej ochrony chmielu oraz „Metodykę integrowanej ochrony tytoniu.</w:t>
      </w:r>
      <w:r w:rsidR="00251DFB" w:rsidRPr="00251DFB">
        <w:rPr>
          <w:rFonts w:ascii="Arial" w:hAnsi="Arial" w:cs="Arial"/>
        </w:rPr>
        <w:t xml:space="preserve"> </w:t>
      </w:r>
      <w:r w:rsidR="00251DFB">
        <w:rPr>
          <w:rFonts w:ascii="Arial" w:hAnsi="Arial" w:cs="Arial"/>
        </w:rPr>
        <w:t>Ponadto opracowano metodykę integrowanej ochrony ostropestu plamistego.</w:t>
      </w:r>
    </w:p>
    <w:p w14:paraId="6357A356" w14:textId="29D3DB9A" w:rsidR="00875B73" w:rsidRPr="00AB649A" w:rsidRDefault="00875B73" w:rsidP="001C1EE5">
      <w:pPr>
        <w:pStyle w:val="NormalnyWeb"/>
        <w:tabs>
          <w:tab w:val="left" w:pos="284"/>
        </w:tabs>
        <w:spacing w:beforeAutospacing="0" w:after="120" w:afterAutospacing="0" w:line="360" w:lineRule="auto"/>
        <w:ind w:firstLine="284"/>
        <w:jc w:val="both"/>
        <w:rPr>
          <w:rFonts w:ascii="Arial" w:hAnsi="Arial" w:cs="Arial"/>
        </w:rPr>
      </w:pPr>
      <w:r w:rsidRPr="00AB649A">
        <w:rPr>
          <w:rFonts w:ascii="Arial" w:hAnsi="Arial" w:cs="Arial"/>
        </w:rPr>
        <w:t xml:space="preserve">Do </w:t>
      </w:r>
      <w:r w:rsidR="003B7878">
        <w:rPr>
          <w:rFonts w:ascii="Arial" w:hAnsi="Arial" w:cs="Arial"/>
        </w:rPr>
        <w:t>wszystkich</w:t>
      </w:r>
      <w:r w:rsidRPr="00AB649A">
        <w:rPr>
          <w:rFonts w:ascii="Arial" w:hAnsi="Arial" w:cs="Arial"/>
        </w:rPr>
        <w:t xml:space="preserve"> metodyk załączono listy kontrolne dla producentów i inspektorów. </w:t>
      </w:r>
    </w:p>
    <w:p w14:paraId="1D80C471" w14:textId="69B79368" w:rsidR="00D330CA" w:rsidRPr="00125F0E" w:rsidRDefault="00D330CA" w:rsidP="001C1EE5">
      <w:pPr>
        <w:pStyle w:val="NormalnyWeb"/>
        <w:tabs>
          <w:tab w:val="left" w:pos="284"/>
        </w:tabs>
        <w:spacing w:beforeAutospacing="0" w:after="120" w:afterAutospacing="0" w:line="360" w:lineRule="auto"/>
        <w:ind w:firstLine="284"/>
        <w:jc w:val="both"/>
        <w:rPr>
          <w:rFonts w:ascii="Arial" w:hAnsi="Arial" w:cs="Arial"/>
        </w:rPr>
      </w:pPr>
      <w:r w:rsidRPr="00AB649A">
        <w:rPr>
          <w:rFonts w:ascii="Arial" w:hAnsi="Arial" w:cs="Arial"/>
        </w:rPr>
        <w:t>Opracowania dedykowane doradcom i producentom stanowią kompendium aktualnej wiedzy</w:t>
      </w:r>
      <w:r w:rsidRPr="00125F0E">
        <w:rPr>
          <w:rFonts w:ascii="Arial" w:hAnsi="Arial" w:cs="Arial"/>
        </w:rPr>
        <w:t xml:space="preserve"> niezbędnej dla wdrażania i prowadzenia ochrony roślin zgodnie z zasadami integrowanej ochrony. </w:t>
      </w:r>
    </w:p>
    <w:p w14:paraId="6FFCE236" w14:textId="5E250364" w:rsidR="00D330CA" w:rsidRPr="00125F0E" w:rsidRDefault="00D330CA" w:rsidP="001C1EE5">
      <w:pPr>
        <w:pStyle w:val="NormalnyWeb"/>
        <w:tabs>
          <w:tab w:val="left" w:pos="284"/>
        </w:tabs>
        <w:spacing w:beforeAutospacing="0" w:after="120" w:afterAutospacing="0" w:line="360" w:lineRule="auto"/>
        <w:ind w:firstLine="284"/>
        <w:jc w:val="both"/>
        <w:rPr>
          <w:rFonts w:ascii="Arial" w:hAnsi="Arial" w:cs="Arial"/>
        </w:rPr>
      </w:pPr>
      <w:r w:rsidRPr="00125F0E">
        <w:rPr>
          <w:rFonts w:ascii="Arial" w:hAnsi="Arial" w:cs="Arial"/>
        </w:rPr>
        <w:t>Zakres merytoryczny metodyk obejmuje następujące rozdziały: wstęp, przepisy prawne, zasady agrotechniki (stanowisko i płodozmian, przygotowanie gleby, nawożenie, siew), dobór odmian, regulację zachwaszczenia, ograniczanie sprawców chorób, ograniczanie strat powodowanych przez szkodniki, odporność agrofagów na środki ochrony roślin, metody biologiczne w integrowanej ochronie roślin, ochronę organizmów pożytecznych, ochronę owadów zapylających, rolę doradztwa w zakresie wdrażania zaleceń integrowanej ochrony roślin, przygotowanie do zbioru, zbiór, transport i</w:t>
      </w:r>
      <w:r w:rsidR="00003711">
        <w:rPr>
          <w:rFonts w:ascii="Arial" w:hAnsi="Arial" w:cs="Arial"/>
        </w:rPr>
        <w:t> </w:t>
      </w:r>
      <w:r w:rsidRPr="00125F0E">
        <w:rPr>
          <w:rFonts w:ascii="Arial" w:hAnsi="Arial" w:cs="Arial"/>
        </w:rPr>
        <w:t xml:space="preserve">przechowywanie plonu, właściwy dobór techniki stosowania środków ochrony roślin, zasady prowadzenia dokumentacji w integrowanej ochronie roślin i listy kontrolne integrowanej ochrony, fazy rozwojowe w skali BBCH oraz spis literatury. </w:t>
      </w:r>
    </w:p>
    <w:p w14:paraId="2A1A5BAA" w14:textId="3B17B47E" w:rsidR="000A0EEF" w:rsidRPr="000A0EEF" w:rsidRDefault="00A87675" w:rsidP="000A0EE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M</w:t>
      </w:r>
      <w:r w:rsidR="000A0EEF" w:rsidRPr="000A0EEF">
        <w:rPr>
          <w:rFonts w:ascii="Arial" w:hAnsi="Arial" w:cs="Arial"/>
        </w:rPr>
        <w:t>etodyki zostały opracowane w wersjach dla producentów i doradców i udostępniane są na Platformie Sygnalizacji Agrofagów.</w:t>
      </w:r>
    </w:p>
    <w:p w14:paraId="28F69A36" w14:textId="3EF1F191" w:rsidR="000A0EEF" w:rsidRDefault="000A0EEF" w:rsidP="000A0EEF">
      <w:pPr>
        <w:pStyle w:val="NormalnyWeb"/>
        <w:tabs>
          <w:tab w:val="left" w:pos="284"/>
        </w:tabs>
        <w:spacing w:beforeAutospacing="0" w:after="120" w:afterAutospacing="0" w:line="360" w:lineRule="auto"/>
        <w:ind w:firstLine="284"/>
        <w:jc w:val="both"/>
        <w:rPr>
          <w:rFonts w:ascii="Arial" w:hAnsi="Arial" w:cs="Arial"/>
        </w:rPr>
      </w:pPr>
      <w:r w:rsidRPr="000A0EEF">
        <w:rPr>
          <w:rFonts w:ascii="Arial" w:hAnsi="Arial" w:cs="Arial"/>
        </w:rPr>
        <w:t>Łącznie opracowan</w:t>
      </w:r>
      <w:r w:rsidR="006129C6">
        <w:rPr>
          <w:rFonts w:ascii="Arial" w:hAnsi="Arial" w:cs="Arial"/>
        </w:rPr>
        <w:t xml:space="preserve">o </w:t>
      </w:r>
      <w:r w:rsidRPr="000A0EEF">
        <w:rPr>
          <w:rFonts w:ascii="Arial" w:hAnsi="Arial" w:cs="Arial"/>
        </w:rPr>
        <w:t xml:space="preserve">metodyki integrowanej ochrony </w:t>
      </w:r>
      <w:r w:rsidRPr="00F5317D">
        <w:rPr>
          <w:rFonts w:ascii="Arial" w:hAnsi="Arial" w:cs="Arial"/>
        </w:rPr>
        <w:t xml:space="preserve">roślin dla </w:t>
      </w:r>
      <w:r w:rsidR="006129C6">
        <w:rPr>
          <w:rFonts w:ascii="Arial" w:hAnsi="Arial" w:cs="Arial"/>
        </w:rPr>
        <w:t>76</w:t>
      </w:r>
      <w:r w:rsidRPr="00F5317D">
        <w:rPr>
          <w:rFonts w:ascii="Arial" w:hAnsi="Arial" w:cs="Arial"/>
        </w:rPr>
        <w:t xml:space="preserve"> upraw.</w:t>
      </w:r>
      <w:r w:rsidRPr="00925BCD">
        <w:rPr>
          <w:rFonts w:ascii="Arial" w:hAnsi="Arial" w:cs="Arial"/>
        </w:rPr>
        <w:t xml:space="preserve"> </w:t>
      </w:r>
    </w:p>
    <w:p w14:paraId="196D0F35" w14:textId="77777777" w:rsidR="00056846" w:rsidRPr="00925BCD" w:rsidRDefault="00E54725">
      <w:pPr>
        <w:pStyle w:val="Nagwek2"/>
        <w:jc w:val="both"/>
        <w:rPr>
          <w:i w:val="0"/>
          <w:sz w:val="20"/>
          <w:szCs w:val="20"/>
        </w:rPr>
      </w:pPr>
      <w:bookmarkStart w:id="76" w:name="_Toc341876102"/>
      <w:bookmarkStart w:id="77" w:name="_Toc301334617"/>
      <w:bookmarkStart w:id="78" w:name="_Toc300916283"/>
      <w:bookmarkStart w:id="79" w:name="_Toc161744890"/>
      <w:r w:rsidRPr="00925BCD">
        <w:rPr>
          <w:i w:val="0"/>
          <w:sz w:val="20"/>
          <w:szCs w:val="20"/>
        </w:rPr>
        <w:t xml:space="preserve">Zadanie 4. </w:t>
      </w:r>
      <w:bookmarkEnd w:id="76"/>
      <w:bookmarkEnd w:id="77"/>
      <w:bookmarkEnd w:id="78"/>
      <w:r w:rsidRPr="00925BCD">
        <w:rPr>
          <w:i w:val="0"/>
          <w:sz w:val="20"/>
          <w:szCs w:val="20"/>
        </w:rPr>
        <w:t>Prowadzenie systemu sygnalizacji agrofagów</w:t>
      </w:r>
      <w:bookmarkEnd w:id="79"/>
    </w:p>
    <w:p w14:paraId="07ED2752" w14:textId="77777777"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Jednym z istotnych elementów integrowanej ochrony roślin jest ograniczenie wykonywania chemicznych zabiegów ochrony roślin do przypadków, gdy jest to uzasadnione występowaniem organizmów szkodliwych w natężeniu stwarzającym zagrożenie dla upraw oraz wybór optymalnego terminu wykonania zabiegu ochrony roślin. Pozwala to, przez podniesienie efektywności zabiegów ochrony roślin, na ograniczenie ilości stosowanych środków ochrony roślin czy też dobór najbardziej skutecznych preparatów.</w:t>
      </w:r>
    </w:p>
    <w:p w14:paraId="300A17B5" w14:textId="6F8F7FFA"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 xml:space="preserve">Mając na uwadze zapotrzebowanie producentów na dokładne informacje dotyczące określenia optymalnych terminów i ustalenia potrzeby wykonania zabiegów na Platformie Sygnalizacji Agrofagów udostępniona została aplikacja Sygnalizacja agrofagów. W wyniku obserwacji prowadzonych przez pracowników </w:t>
      </w:r>
      <w:r w:rsidRPr="0081600F">
        <w:rPr>
          <w:rFonts w:ascii="Arial" w:hAnsi="Arial" w:cs="Arial"/>
        </w:rPr>
        <w:t>Instytutu Ochrony Roślin – PIB, Instytutu</w:t>
      </w:r>
      <w:r w:rsidRPr="00925BCD">
        <w:rPr>
          <w:rFonts w:ascii="Arial" w:hAnsi="Arial" w:cs="Arial"/>
        </w:rPr>
        <w:t xml:space="preserve"> Hodowli i Aklimatyzacji Roślin – PIB, </w:t>
      </w:r>
      <w:r w:rsidR="00EE4054">
        <w:rPr>
          <w:rFonts w:ascii="Arial" w:hAnsi="Arial" w:cs="Arial"/>
        </w:rPr>
        <w:t>Instytutu</w:t>
      </w:r>
      <w:r w:rsidR="0082798E">
        <w:rPr>
          <w:rFonts w:ascii="Arial" w:hAnsi="Arial" w:cs="Arial"/>
        </w:rPr>
        <w:t xml:space="preserve"> Uprawy Nawożenia i Gleboznawstwa</w:t>
      </w:r>
      <w:r w:rsidR="00EE4054">
        <w:rPr>
          <w:rFonts w:ascii="Arial" w:hAnsi="Arial" w:cs="Arial"/>
        </w:rPr>
        <w:t xml:space="preserve"> </w:t>
      </w:r>
      <w:r w:rsidR="00413C81">
        <w:rPr>
          <w:rFonts w:ascii="Arial" w:hAnsi="Arial" w:cs="Arial"/>
        </w:rPr>
        <w:t xml:space="preserve">– PIB, </w:t>
      </w:r>
      <w:r w:rsidRPr="00925BCD">
        <w:rPr>
          <w:rFonts w:ascii="Arial" w:hAnsi="Arial" w:cs="Arial"/>
        </w:rPr>
        <w:t xml:space="preserve">COBORU, ośrodków doradztwa rolniczego oraz kilku firm prywatnych z  sektora rolnego, w 2018 r. </w:t>
      </w:r>
      <w:r w:rsidR="00690EFE" w:rsidRPr="00925BCD">
        <w:rPr>
          <w:rFonts w:ascii="Arial" w:hAnsi="Arial" w:cs="Arial"/>
        </w:rPr>
        <w:t>i 2019 r.</w:t>
      </w:r>
      <w:r w:rsidR="004A1341" w:rsidRPr="00925BCD">
        <w:rPr>
          <w:rFonts w:ascii="Arial" w:hAnsi="Arial" w:cs="Arial"/>
        </w:rPr>
        <w:t xml:space="preserve"> </w:t>
      </w:r>
      <w:r w:rsidRPr="00925BCD">
        <w:rPr>
          <w:rFonts w:ascii="Arial" w:hAnsi="Arial" w:cs="Arial"/>
        </w:rPr>
        <w:t>w ok. 300</w:t>
      </w:r>
      <w:r w:rsidR="00D330CA">
        <w:rPr>
          <w:rFonts w:ascii="Arial" w:hAnsi="Arial" w:cs="Arial"/>
        </w:rPr>
        <w:t>,</w:t>
      </w:r>
      <w:r w:rsidR="00F92F3E">
        <w:rPr>
          <w:rFonts w:ascii="Arial" w:hAnsi="Arial" w:cs="Arial"/>
        </w:rPr>
        <w:t xml:space="preserve"> </w:t>
      </w:r>
      <w:r w:rsidR="00D86C0C" w:rsidRPr="00D86C0C">
        <w:rPr>
          <w:rFonts w:ascii="Arial" w:hAnsi="Arial" w:cs="Arial"/>
        </w:rPr>
        <w:t>w 2020 r. w ok. 500, w 2021 w ok. 800</w:t>
      </w:r>
      <w:r w:rsidR="0014322C" w:rsidRPr="0014322C">
        <w:rPr>
          <w:rFonts w:ascii="Arial" w:hAnsi="Arial" w:cs="Arial"/>
        </w:rPr>
        <w:t xml:space="preserve">, </w:t>
      </w:r>
      <w:r w:rsidR="0014322C" w:rsidRPr="0014322C">
        <w:rPr>
          <w:rFonts w:ascii="Arial" w:hAnsi="Arial" w:cs="Arial"/>
        </w:rPr>
        <w:lastRenderedPageBreak/>
        <w:t>a</w:t>
      </w:r>
      <w:r w:rsidR="0076553B">
        <w:rPr>
          <w:rFonts w:ascii="Arial" w:hAnsi="Arial" w:cs="Arial"/>
        </w:rPr>
        <w:t> </w:t>
      </w:r>
      <w:r w:rsidR="0014322C" w:rsidRPr="0014322C">
        <w:rPr>
          <w:rFonts w:ascii="Arial" w:hAnsi="Arial" w:cs="Arial"/>
        </w:rPr>
        <w:t xml:space="preserve">w 2022 r. w ok. 700 </w:t>
      </w:r>
      <w:r w:rsidRPr="00925BCD">
        <w:rPr>
          <w:rFonts w:ascii="Arial" w:hAnsi="Arial" w:cs="Arial"/>
        </w:rPr>
        <w:t xml:space="preserve">lokalizacjach prowadzona była sygnalizacja dla następujących upraw </w:t>
      </w:r>
    </w:p>
    <w:p w14:paraId="0E3C46F6" w14:textId="77777777" w:rsidR="00056846" w:rsidRPr="00925BCD" w:rsidRDefault="00E54725" w:rsidP="004A1341">
      <w:pPr>
        <w:pStyle w:val="Default"/>
        <w:numPr>
          <w:ilvl w:val="0"/>
          <w:numId w:val="18"/>
        </w:numPr>
        <w:spacing w:line="360" w:lineRule="auto"/>
        <w:ind w:left="1276"/>
        <w:jc w:val="both"/>
        <w:rPr>
          <w:rFonts w:ascii="Arial" w:hAnsi="Arial" w:cs="Arial"/>
          <w:sz w:val="20"/>
          <w:szCs w:val="20"/>
        </w:rPr>
      </w:pPr>
      <w:r w:rsidRPr="00925BCD">
        <w:rPr>
          <w:rFonts w:ascii="Arial" w:hAnsi="Arial" w:cs="Arial"/>
          <w:sz w:val="20"/>
          <w:szCs w:val="20"/>
        </w:rPr>
        <w:t xml:space="preserve">pszenica ozima: </w:t>
      </w:r>
    </w:p>
    <w:p w14:paraId="397AF46E"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wiosenny/letni:</w:t>
      </w:r>
    </w:p>
    <w:p w14:paraId="3CFFE81E"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septoriozy (bez podziału na gatunki), brunatna plamistość liści, skrzypionki, mszyca czeremchowo-zbożowa, mszyca zbożowa </w:t>
      </w:r>
    </w:p>
    <w:p w14:paraId="40789DAA"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jesienny:</w:t>
      </w:r>
    </w:p>
    <w:p w14:paraId="6E4569A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septorioza paskowana, mszyca czeremchowo-zbożowa, </w:t>
      </w:r>
    </w:p>
    <w:p w14:paraId="77F254C0"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kukurydza </w:t>
      </w:r>
    </w:p>
    <w:p w14:paraId="26AA2EFB" w14:textId="77777777" w:rsidR="00056846" w:rsidRPr="00925BCD" w:rsidRDefault="00E54725" w:rsidP="004A1341">
      <w:pPr>
        <w:pStyle w:val="Default"/>
        <w:spacing w:line="360" w:lineRule="auto"/>
        <w:ind w:left="2127" w:hanging="273"/>
        <w:jc w:val="both"/>
        <w:rPr>
          <w:rFonts w:ascii="Arial" w:hAnsi="Arial" w:cs="Arial"/>
          <w:sz w:val="20"/>
          <w:szCs w:val="20"/>
        </w:rPr>
      </w:pPr>
      <w:r w:rsidRPr="00925BCD">
        <w:rPr>
          <w:rFonts w:ascii="Arial" w:hAnsi="Arial" w:cs="Arial"/>
          <w:sz w:val="20"/>
          <w:szCs w:val="20"/>
        </w:rPr>
        <w:t>– ploniarka zbożówka, omacnica prosowianka, stonka kukurydziana,</w:t>
      </w:r>
    </w:p>
    <w:p w14:paraId="69D915F1"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rzepak ozimy </w:t>
      </w:r>
    </w:p>
    <w:p w14:paraId="482BB8AF" w14:textId="77777777" w:rsidR="00056846" w:rsidRPr="00925BCD" w:rsidRDefault="00E54725" w:rsidP="004A1341">
      <w:pPr>
        <w:pStyle w:val="Default"/>
        <w:numPr>
          <w:ilvl w:val="0"/>
          <w:numId w:val="19"/>
        </w:numPr>
        <w:spacing w:line="360" w:lineRule="auto"/>
        <w:ind w:left="1985"/>
        <w:jc w:val="both"/>
        <w:rPr>
          <w:rFonts w:ascii="Arial" w:hAnsi="Arial" w:cs="Arial"/>
          <w:sz w:val="20"/>
          <w:szCs w:val="20"/>
        </w:rPr>
      </w:pPr>
      <w:r w:rsidRPr="00925BCD">
        <w:rPr>
          <w:rFonts w:ascii="Arial" w:hAnsi="Arial" w:cs="Arial"/>
          <w:sz w:val="20"/>
          <w:szCs w:val="20"/>
        </w:rPr>
        <w:t>okres wiosenny/letni:</w:t>
      </w:r>
    </w:p>
    <w:p w14:paraId="5058EE43"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czerń krzyżowych, chowacz brukwiaczek, chowacz czterozębny, chowacz podobnik, słodyszek rzepakowy  </w:t>
      </w:r>
    </w:p>
    <w:p w14:paraId="7EB94E43" w14:textId="77777777" w:rsidR="00056846" w:rsidRPr="00925BCD" w:rsidRDefault="00E54725" w:rsidP="004A1341">
      <w:pPr>
        <w:pStyle w:val="Default"/>
        <w:numPr>
          <w:ilvl w:val="0"/>
          <w:numId w:val="19"/>
        </w:numPr>
        <w:spacing w:line="360" w:lineRule="auto"/>
        <w:jc w:val="both"/>
        <w:rPr>
          <w:rFonts w:ascii="Arial" w:hAnsi="Arial" w:cs="Arial"/>
          <w:sz w:val="20"/>
          <w:szCs w:val="20"/>
        </w:rPr>
      </w:pPr>
      <w:r w:rsidRPr="00925BCD">
        <w:rPr>
          <w:rFonts w:ascii="Arial" w:hAnsi="Arial" w:cs="Arial"/>
          <w:sz w:val="20"/>
          <w:szCs w:val="20"/>
        </w:rPr>
        <w:t>okres jesienny:</w:t>
      </w:r>
    </w:p>
    <w:p w14:paraId="25FC5CF3" w14:textId="77777777" w:rsidR="00056846" w:rsidRPr="00925BCD" w:rsidRDefault="00E54725" w:rsidP="004A1341">
      <w:pPr>
        <w:pStyle w:val="Default"/>
        <w:spacing w:line="360" w:lineRule="auto"/>
        <w:ind w:left="1134" w:firstLine="708"/>
        <w:jc w:val="both"/>
        <w:rPr>
          <w:rFonts w:ascii="Arial" w:hAnsi="Arial" w:cs="Arial"/>
          <w:sz w:val="20"/>
          <w:szCs w:val="20"/>
        </w:rPr>
      </w:pPr>
      <w:r w:rsidRPr="00925BCD">
        <w:rPr>
          <w:rFonts w:ascii="Arial" w:hAnsi="Arial" w:cs="Arial"/>
          <w:sz w:val="20"/>
          <w:szCs w:val="20"/>
        </w:rPr>
        <w:t xml:space="preserve">– sucha zgnilizna kapustnych, pchełki ziemne, śmietka kapuściana, </w:t>
      </w:r>
    </w:p>
    <w:p w14:paraId="5D868C73"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burak cukrowy</w:t>
      </w:r>
    </w:p>
    <w:p w14:paraId="0DC6FE2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chwościk buraka, mszyca trzmielinowo - burakowa, rolnice, śmietka ćwiklanka,</w:t>
      </w:r>
    </w:p>
    <w:p w14:paraId="2610167A"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ziemniak </w:t>
      </w:r>
    </w:p>
    <w:p w14:paraId="523AFBAB"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zaraza ziemniaka, stonka ziemniaczana,</w:t>
      </w:r>
    </w:p>
    <w:p w14:paraId="3BD5B58C"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bobowate (łubin, groch, bobik, soja)</w:t>
      </w:r>
    </w:p>
    <w:p w14:paraId="10A2A151"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mszyce, oprzędziki.</w:t>
      </w:r>
    </w:p>
    <w:p w14:paraId="351DA383" w14:textId="3D858C17" w:rsidR="00352091" w:rsidRDefault="00352091" w:rsidP="00D8409F">
      <w:pPr>
        <w:pStyle w:val="NormalnyWeb"/>
        <w:tabs>
          <w:tab w:val="left" w:pos="284"/>
        </w:tabs>
        <w:spacing w:beforeAutospacing="0" w:after="120" w:afterAutospacing="0" w:line="360" w:lineRule="auto"/>
        <w:ind w:firstLine="284"/>
        <w:jc w:val="both"/>
        <w:rPr>
          <w:rFonts w:ascii="Arial" w:hAnsi="Arial" w:cs="Arial"/>
        </w:rPr>
      </w:pPr>
      <w:r w:rsidRPr="00352091">
        <w:rPr>
          <w:rFonts w:ascii="Arial" w:hAnsi="Arial" w:cs="Arial"/>
        </w:rPr>
        <w:t xml:space="preserve">W 2021 </w:t>
      </w:r>
      <w:r w:rsidR="000D3601">
        <w:rPr>
          <w:rFonts w:ascii="Arial" w:hAnsi="Arial" w:cs="Arial"/>
        </w:rPr>
        <w:t xml:space="preserve">r. </w:t>
      </w:r>
      <w:r w:rsidRPr="00352091">
        <w:rPr>
          <w:rFonts w:ascii="Arial" w:hAnsi="Arial" w:cs="Arial"/>
        </w:rPr>
        <w:t xml:space="preserve">rozpoczęto zamieszczanie </w:t>
      </w:r>
      <w:r w:rsidR="00832058">
        <w:rPr>
          <w:rFonts w:ascii="Arial" w:hAnsi="Arial" w:cs="Arial"/>
        </w:rPr>
        <w:t>k</w:t>
      </w:r>
      <w:r w:rsidRPr="00352091">
        <w:rPr>
          <w:rFonts w:ascii="Arial" w:hAnsi="Arial" w:cs="Arial"/>
        </w:rPr>
        <w:t>omunikatów dotyczących zagrożeń ze strony ślimaków w</w:t>
      </w:r>
      <w:r>
        <w:rPr>
          <w:rFonts w:ascii="Arial" w:hAnsi="Arial" w:cs="Arial"/>
        </w:rPr>
        <w:t> </w:t>
      </w:r>
      <w:r w:rsidRPr="00352091">
        <w:rPr>
          <w:rFonts w:ascii="Arial" w:hAnsi="Arial" w:cs="Arial"/>
        </w:rPr>
        <w:t>uprawach roślin rolniczych</w:t>
      </w:r>
      <w:r w:rsidR="00D32A8F">
        <w:rPr>
          <w:rFonts w:ascii="Arial" w:hAnsi="Arial" w:cs="Arial"/>
        </w:rPr>
        <w:t xml:space="preserve">, a w </w:t>
      </w:r>
      <w:r w:rsidR="00D32A8F" w:rsidRPr="00D32A8F">
        <w:rPr>
          <w:rFonts w:ascii="Arial" w:hAnsi="Arial" w:cs="Arial"/>
        </w:rPr>
        <w:t xml:space="preserve">2022 </w:t>
      </w:r>
      <w:r w:rsidR="00D32A8F">
        <w:rPr>
          <w:rFonts w:ascii="Arial" w:hAnsi="Arial" w:cs="Arial"/>
        </w:rPr>
        <w:t xml:space="preserve">r. </w:t>
      </w:r>
      <w:r w:rsidR="00D32A8F" w:rsidRPr="00D32A8F">
        <w:rPr>
          <w:rFonts w:ascii="Arial" w:hAnsi="Arial" w:cs="Arial"/>
        </w:rPr>
        <w:t xml:space="preserve">kontynuowano </w:t>
      </w:r>
      <w:r w:rsidR="004420C3">
        <w:rPr>
          <w:rFonts w:ascii="Arial" w:hAnsi="Arial" w:cs="Arial"/>
        </w:rPr>
        <w:t xml:space="preserve">ich </w:t>
      </w:r>
      <w:r w:rsidR="00D32A8F" w:rsidRPr="00D32A8F">
        <w:rPr>
          <w:rFonts w:ascii="Arial" w:hAnsi="Arial" w:cs="Arial"/>
        </w:rPr>
        <w:t>zamieszczani</w:t>
      </w:r>
      <w:r w:rsidR="006824E2">
        <w:rPr>
          <w:rFonts w:ascii="Arial" w:hAnsi="Arial" w:cs="Arial"/>
        </w:rPr>
        <w:t>e</w:t>
      </w:r>
      <w:r w:rsidR="004420C3">
        <w:rPr>
          <w:rFonts w:ascii="Arial" w:hAnsi="Arial" w:cs="Arial"/>
        </w:rPr>
        <w:t>.</w:t>
      </w:r>
      <w:r w:rsidR="00D32A8F">
        <w:rPr>
          <w:rFonts w:ascii="Arial" w:hAnsi="Arial" w:cs="Arial"/>
        </w:rPr>
        <w:t xml:space="preserve"> </w:t>
      </w:r>
    </w:p>
    <w:p w14:paraId="08E6114C" w14:textId="45DF326F" w:rsidR="00875B73" w:rsidRDefault="00875B73" w:rsidP="00D8409F">
      <w:pPr>
        <w:pStyle w:val="NormalnyWeb"/>
        <w:tabs>
          <w:tab w:val="left" w:pos="284"/>
        </w:tabs>
        <w:spacing w:beforeAutospacing="0" w:after="120" w:afterAutospacing="0" w:line="360" w:lineRule="auto"/>
        <w:ind w:firstLine="284"/>
        <w:jc w:val="both"/>
        <w:rPr>
          <w:rFonts w:ascii="Arial" w:hAnsi="Arial" w:cs="Arial"/>
        </w:rPr>
      </w:pPr>
      <w:r w:rsidRPr="00875B73">
        <w:rPr>
          <w:rFonts w:ascii="Arial" w:hAnsi="Arial" w:cs="Arial"/>
        </w:rPr>
        <w:t>W latach 2018 – 2022 opracowywano także poradniki:</w:t>
      </w:r>
    </w:p>
    <w:p w14:paraId="7FDAE482" w14:textId="6FD1EC40" w:rsidR="00875B73" w:rsidRDefault="00935947" w:rsidP="00D8409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opracowano 8 poradników sygnalizatora do ochrony upraw przed chorobami i</w:t>
      </w:r>
      <w:r w:rsidR="004A1341" w:rsidRPr="00925BCD">
        <w:rPr>
          <w:rFonts w:ascii="Arial" w:hAnsi="Arial" w:cs="Arial"/>
        </w:rPr>
        <w:t> </w:t>
      </w:r>
      <w:r w:rsidRPr="00925BCD">
        <w:rPr>
          <w:rFonts w:ascii="Arial" w:hAnsi="Arial" w:cs="Arial"/>
        </w:rPr>
        <w:t xml:space="preserve">szkodnikami: 1 dla roślin sadowniczych (winorośl) i 7 dla roślin warzywnych (burak ćwikłowy, groch siewny - cukrowy i łuskowy, kalafior, kapusta pekińska, papryka w gruncie, pietruszka, sałata w gruncie). </w:t>
      </w:r>
      <w:r w:rsidR="005E336C" w:rsidRPr="005E336C">
        <w:rPr>
          <w:rFonts w:ascii="Arial" w:hAnsi="Arial" w:cs="Arial"/>
        </w:rPr>
        <w:t xml:space="preserve">W 2018 r. w IUNG-PIB opracowano również dwa poradniki sygnalizatora dla roślin przemysłowych (chmiel, tytoń). </w:t>
      </w:r>
      <w:r w:rsidRPr="00925BCD">
        <w:rPr>
          <w:rFonts w:ascii="Arial" w:hAnsi="Arial" w:cs="Arial"/>
        </w:rPr>
        <w:t>Z kolei w 2019 r. opracowano poradniki sygnalizatora: 4 dla roślin warzywnych (kapusta brukselska, kapusta włoska, endywia, rukola) oraz 4 dla roślin ozdobnych (bratek ogrodowy, cyklamen, drzewa alejowe z rodziny różowatych, mieczyk).</w:t>
      </w:r>
      <w:r w:rsidR="0070402C">
        <w:rPr>
          <w:rFonts w:ascii="Arial" w:hAnsi="Arial" w:cs="Arial"/>
        </w:rPr>
        <w:t xml:space="preserve"> </w:t>
      </w:r>
      <w:r w:rsidR="005A3419" w:rsidRPr="005E336C">
        <w:rPr>
          <w:rFonts w:ascii="Arial" w:hAnsi="Arial" w:cs="Arial"/>
        </w:rPr>
        <w:t>W 2020 r</w:t>
      </w:r>
      <w:r w:rsidR="005E336C">
        <w:rPr>
          <w:rFonts w:ascii="Arial" w:hAnsi="Arial" w:cs="Arial"/>
        </w:rPr>
        <w:t>.</w:t>
      </w:r>
      <w:r w:rsidR="005A3419" w:rsidRPr="005E336C">
        <w:rPr>
          <w:rFonts w:ascii="Arial" w:hAnsi="Arial" w:cs="Arial"/>
        </w:rPr>
        <w:t xml:space="preserve"> opracowano </w:t>
      </w:r>
      <w:r w:rsidR="005E336C" w:rsidRPr="005E336C">
        <w:rPr>
          <w:rFonts w:ascii="Arial" w:hAnsi="Arial" w:cs="Arial"/>
        </w:rPr>
        <w:t xml:space="preserve">natomiast </w:t>
      </w:r>
      <w:r w:rsidR="005A3419" w:rsidRPr="005E336C">
        <w:rPr>
          <w:rFonts w:ascii="Arial" w:hAnsi="Arial" w:cs="Arial"/>
        </w:rPr>
        <w:t xml:space="preserve">3 poradniki sygnalizatora do prognozowania występowania agrofagów na jeżynie bezkolcowej, brokule </w:t>
      </w:r>
      <w:r w:rsidR="005E336C" w:rsidRPr="005E336C">
        <w:rPr>
          <w:rFonts w:ascii="Arial" w:hAnsi="Arial" w:cs="Arial"/>
        </w:rPr>
        <w:t>i</w:t>
      </w:r>
      <w:r w:rsidR="005E336C">
        <w:rPr>
          <w:rFonts w:ascii="Arial" w:hAnsi="Arial" w:cs="Arial"/>
        </w:rPr>
        <w:t> </w:t>
      </w:r>
      <w:r w:rsidR="005A3419" w:rsidRPr="005E336C">
        <w:rPr>
          <w:rFonts w:ascii="Arial" w:hAnsi="Arial" w:cs="Arial"/>
        </w:rPr>
        <w:t>chryzantemie</w:t>
      </w:r>
      <w:r w:rsidR="00BB2EA9">
        <w:rPr>
          <w:rFonts w:ascii="Arial" w:hAnsi="Arial" w:cs="Arial"/>
        </w:rPr>
        <w:t>.</w:t>
      </w:r>
      <w:r w:rsidR="00991723">
        <w:rPr>
          <w:rFonts w:ascii="Arial" w:hAnsi="Arial" w:cs="Arial"/>
        </w:rPr>
        <w:t xml:space="preserve"> </w:t>
      </w:r>
      <w:r w:rsidR="00BB2EA9" w:rsidRPr="00BB2EA9">
        <w:rPr>
          <w:rFonts w:ascii="Arial" w:hAnsi="Arial" w:cs="Arial"/>
        </w:rPr>
        <w:t xml:space="preserve">W 2021 </w:t>
      </w:r>
      <w:r w:rsidR="00BB2EA9">
        <w:rPr>
          <w:rFonts w:ascii="Arial" w:hAnsi="Arial" w:cs="Arial"/>
        </w:rPr>
        <w:t xml:space="preserve">r. </w:t>
      </w:r>
      <w:r w:rsidR="00BB2EA9" w:rsidRPr="00BB2EA9">
        <w:rPr>
          <w:rFonts w:ascii="Arial" w:hAnsi="Arial" w:cs="Arial"/>
        </w:rPr>
        <w:t>opracowano 2 poradniki sygnalizatora: „Poradnik sygnalizatora ochrony roślin energetycznych” i „Poradnik sygnalizatora ochrony magazynów zbożowych”</w:t>
      </w:r>
      <w:r w:rsidR="00BB2EA9">
        <w:rPr>
          <w:rFonts w:ascii="Arial" w:hAnsi="Arial" w:cs="Arial"/>
        </w:rPr>
        <w:t xml:space="preserve"> </w:t>
      </w:r>
      <w:r w:rsidR="00BB2EA9" w:rsidRPr="007B2CBF">
        <w:rPr>
          <w:rFonts w:ascii="Arial" w:hAnsi="Arial" w:cs="Arial"/>
        </w:rPr>
        <w:t>oraz</w:t>
      </w:r>
      <w:r w:rsidR="00991723" w:rsidRPr="007B2CBF">
        <w:rPr>
          <w:rFonts w:ascii="Arial" w:hAnsi="Arial" w:cs="Arial"/>
        </w:rPr>
        <w:t xml:space="preserve"> poradniki sygnalizatora dla aronii, czosnku i pieczarki</w:t>
      </w:r>
      <w:r w:rsidR="00BA05AC">
        <w:rPr>
          <w:rFonts w:ascii="Arial" w:hAnsi="Arial" w:cs="Arial"/>
        </w:rPr>
        <w:t xml:space="preserve">, natomiast w </w:t>
      </w:r>
      <w:r w:rsidR="00875B73" w:rsidRPr="00544410">
        <w:rPr>
          <w:rFonts w:ascii="Arial" w:hAnsi="Arial" w:cs="Arial"/>
        </w:rPr>
        <w:t xml:space="preserve">2022 r. opracowano dwa Poradniki sygnalizatora do prognozowania występowania agrofagów: róży pod osłonami (róże ozdobne uprawiane na kwiat cięty) oraz bobu. </w:t>
      </w:r>
    </w:p>
    <w:p w14:paraId="63614C1C" w14:textId="1D28F8AA" w:rsidR="00251DFB" w:rsidRPr="00544410" w:rsidRDefault="00251DFB" w:rsidP="00D8409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Opracowano także poradniki sygnalizatora dla roślin przemysłowych oraz zielarskich. </w:t>
      </w:r>
    </w:p>
    <w:p w14:paraId="624C67FC" w14:textId="520F2E75" w:rsidR="005A3419" w:rsidRPr="005E336C" w:rsidRDefault="005A3419" w:rsidP="00D8409F">
      <w:pPr>
        <w:pStyle w:val="NormalnyWeb"/>
        <w:tabs>
          <w:tab w:val="left" w:pos="284"/>
        </w:tabs>
        <w:spacing w:beforeAutospacing="0" w:after="120" w:afterAutospacing="0" w:line="360" w:lineRule="auto"/>
        <w:ind w:firstLine="284"/>
        <w:jc w:val="both"/>
        <w:rPr>
          <w:rFonts w:ascii="Arial" w:hAnsi="Arial" w:cs="Arial"/>
        </w:rPr>
      </w:pPr>
      <w:r w:rsidRPr="005E336C">
        <w:rPr>
          <w:rFonts w:ascii="Arial" w:hAnsi="Arial" w:cs="Arial"/>
        </w:rPr>
        <w:lastRenderedPageBreak/>
        <w:t>W poradnikach zamieszczono informacje dotyczące objawów wywoływanych przez patogeny i</w:t>
      </w:r>
      <w:r w:rsidR="00B230E9">
        <w:rPr>
          <w:rFonts w:ascii="Arial" w:hAnsi="Arial" w:cs="Arial"/>
        </w:rPr>
        <w:t> </w:t>
      </w:r>
      <w:r w:rsidRPr="005E336C">
        <w:rPr>
          <w:rFonts w:ascii="Arial" w:hAnsi="Arial" w:cs="Arial"/>
        </w:rPr>
        <w:t>szkodniki, monitoringu zagrożenia, zasad ochrony przed tymi agrofagami wraz z propozycją metod sygnalizowania optymalnych terminów ich zwalczania oraz dane o zaburzeniach fizjologicznych spowodowanych m.in. niedoborem składników pokarmowych.</w:t>
      </w:r>
    </w:p>
    <w:p w14:paraId="7C69259C" w14:textId="308DCFCD" w:rsidR="00BD630A" w:rsidRDefault="00413C81" w:rsidP="001C2B31">
      <w:pPr>
        <w:pStyle w:val="NormalnyWeb"/>
        <w:tabs>
          <w:tab w:val="left" w:pos="284"/>
        </w:tabs>
        <w:spacing w:beforeAutospacing="0" w:after="120" w:afterAutospacing="0" w:line="360" w:lineRule="auto"/>
        <w:ind w:firstLine="284"/>
        <w:jc w:val="both"/>
        <w:rPr>
          <w:rFonts w:ascii="Arial" w:hAnsi="Arial" w:cs="Arial"/>
        </w:rPr>
      </w:pPr>
      <w:r w:rsidRPr="005E336C">
        <w:rPr>
          <w:rFonts w:ascii="Arial" w:hAnsi="Arial" w:cs="Arial"/>
        </w:rPr>
        <w:t xml:space="preserve">W ramach realizacji tego zadania w Instytucie Uprawy Nawożenia i Gleboznawstwa </w:t>
      </w:r>
      <w:r w:rsidR="0070402C" w:rsidRPr="00925BCD">
        <w:rPr>
          <w:rFonts w:ascii="Arial" w:hAnsi="Arial" w:cs="Arial"/>
        </w:rPr>
        <w:t>–</w:t>
      </w:r>
      <w:r w:rsidR="007B5611">
        <w:rPr>
          <w:rFonts w:ascii="Arial" w:hAnsi="Arial" w:cs="Arial"/>
        </w:rPr>
        <w:t xml:space="preserve"> </w:t>
      </w:r>
      <w:r w:rsidRPr="005E336C">
        <w:rPr>
          <w:rFonts w:ascii="Arial" w:hAnsi="Arial" w:cs="Arial"/>
        </w:rPr>
        <w:t xml:space="preserve">PIB prowadzony był monitoring organizmów szkodliwych dla chmielu i tytoniu. </w:t>
      </w:r>
      <w:r w:rsidR="00BD630A">
        <w:rPr>
          <w:rFonts w:ascii="Arial" w:hAnsi="Arial" w:cs="Arial"/>
        </w:rPr>
        <w:t xml:space="preserve">W przypadku występowania zagrożenia ze strony organizmów szkodliwych lub czynników abiotycznych (np. gradobicie, susza) na Platformie Sygnalizacji Agrofagów zamieszczane </w:t>
      </w:r>
      <w:r w:rsidR="00307DBA">
        <w:rPr>
          <w:rFonts w:ascii="Arial" w:hAnsi="Arial" w:cs="Arial"/>
        </w:rPr>
        <w:t>były</w:t>
      </w:r>
      <w:r w:rsidR="00BD630A">
        <w:rPr>
          <w:rFonts w:ascii="Arial" w:hAnsi="Arial" w:cs="Arial"/>
        </w:rPr>
        <w:t xml:space="preserve"> stosowne komunikaty. W 2021 r. ukazały się dwa takie komunikaty: pierwszy na temat zgnilizny twardzikowej chmielu oraz drugi dotyczący </w:t>
      </w:r>
      <w:r w:rsidR="00BD630A" w:rsidRPr="00052603">
        <w:rPr>
          <w:rFonts w:ascii="Arial" w:hAnsi="Arial" w:cs="Arial"/>
        </w:rPr>
        <w:t>zgnilizny podstawy łodyg tytoniu oraz ograniczania niekorzystnych skutków intensywnych opadów i gradobicia na plantacjach tytoniu</w:t>
      </w:r>
      <w:r w:rsidR="00BD630A">
        <w:rPr>
          <w:rFonts w:ascii="Arial" w:hAnsi="Arial" w:cs="Arial"/>
        </w:rPr>
        <w:t>.</w:t>
      </w:r>
    </w:p>
    <w:p w14:paraId="24800357" w14:textId="0E0E2DB4" w:rsidR="007C2F77" w:rsidRPr="00472F3E" w:rsidRDefault="007C2F77" w:rsidP="001C2B31">
      <w:pPr>
        <w:pStyle w:val="NormalnyWeb"/>
        <w:tabs>
          <w:tab w:val="left" w:pos="284"/>
        </w:tabs>
        <w:spacing w:beforeAutospacing="0" w:after="120" w:afterAutospacing="0" w:line="360" w:lineRule="auto"/>
        <w:ind w:firstLine="284"/>
        <w:jc w:val="both"/>
        <w:rPr>
          <w:rFonts w:ascii="Arial" w:hAnsi="Arial" w:cs="Arial"/>
        </w:rPr>
      </w:pPr>
      <w:r w:rsidRPr="00472F3E">
        <w:rPr>
          <w:rFonts w:ascii="Arial" w:hAnsi="Arial" w:cs="Arial"/>
        </w:rPr>
        <w:t xml:space="preserve">W 2022 r. wydano trzy komunikaty, które dotyczyły zagrożeń w uprawie chmielu powodowanych przez przędziorka chmielowca i mszycę śliwowo-chmielową, a także chorób wirusowych tytoniu, takich jak mozaika tytoniowa. W </w:t>
      </w:r>
      <w:r w:rsidR="005813D1" w:rsidRPr="00472F3E">
        <w:rPr>
          <w:rFonts w:ascii="Arial" w:hAnsi="Arial" w:cs="Arial"/>
        </w:rPr>
        <w:t>komunikatach</w:t>
      </w:r>
      <w:r w:rsidRPr="00472F3E">
        <w:rPr>
          <w:rFonts w:ascii="Arial" w:hAnsi="Arial" w:cs="Arial"/>
        </w:rPr>
        <w:t>, oprócz informacji o charakterystycznych objawach chorobowych i biologii agrofagów, prezentowano sposoby ich ograniczania zgodnie z zasadami integrowanej ochrony roślin.</w:t>
      </w:r>
    </w:p>
    <w:p w14:paraId="5E0CF19A" w14:textId="77777777" w:rsidR="007C2F77" w:rsidRPr="00472F3E" w:rsidRDefault="007C2F77" w:rsidP="001C2B31">
      <w:pPr>
        <w:pStyle w:val="NormalnyWeb"/>
        <w:tabs>
          <w:tab w:val="left" w:pos="284"/>
        </w:tabs>
        <w:spacing w:beforeAutospacing="0" w:after="120" w:afterAutospacing="0" w:line="360" w:lineRule="auto"/>
        <w:ind w:firstLine="284"/>
        <w:jc w:val="both"/>
        <w:rPr>
          <w:rFonts w:ascii="Arial" w:hAnsi="Arial" w:cs="Arial"/>
        </w:rPr>
      </w:pPr>
      <w:r w:rsidRPr="00472F3E">
        <w:rPr>
          <w:rFonts w:ascii="Arial" w:hAnsi="Arial" w:cs="Arial"/>
        </w:rPr>
        <w:t xml:space="preserve">Monitorowanie organizmów szkodliwych w uprawach chmielu i tytoniu oraz publikowanie stosownych komunikatów na Platformie Sygnalizacji Agrofagów stanowi wsparcie dla producentów tych gatunków uprawnych, umożliwia bowiem dostęp do aktualnych informacji o zagrożeniach oraz podjęcie szybkich i skutecznych działań ochronnych. </w:t>
      </w:r>
    </w:p>
    <w:p w14:paraId="62305A78" w14:textId="77777777" w:rsidR="00056846" w:rsidRPr="00925BCD" w:rsidRDefault="00E54725">
      <w:pPr>
        <w:pStyle w:val="Nagwek2"/>
        <w:jc w:val="both"/>
        <w:rPr>
          <w:i w:val="0"/>
          <w:sz w:val="20"/>
          <w:szCs w:val="20"/>
        </w:rPr>
      </w:pPr>
      <w:bookmarkStart w:id="80" w:name="_Toc341876103"/>
      <w:bookmarkStart w:id="81" w:name="_Toc161744891"/>
      <w:r w:rsidRPr="00925BCD">
        <w:rPr>
          <w:i w:val="0"/>
          <w:sz w:val="20"/>
          <w:szCs w:val="20"/>
        </w:rPr>
        <w:t xml:space="preserve">Zadanie 5. </w:t>
      </w:r>
      <w:bookmarkEnd w:id="80"/>
      <w:r w:rsidRPr="00925BCD">
        <w:rPr>
          <w:i w:val="0"/>
          <w:sz w:val="20"/>
          <w:szCs w:val="20"/>
        </w:rPr>
        <w:t>Udostępnienie systemów wspomagania podejmowania decyzji w ochronie roślin</w:t>
      </w:r>
      <w:bookmarkEnd w:id="81"/>
    </w:p>
    <w:p w14:paraId="740B8F8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Istotnym elementem monitorowania występowania organizmów szkodliwych i sygnalizacji ich występowania jest wykorzystanie zaawansowanych systemów wspomagania decyzji w ochronie roślin. Systemy takie umożliwiają ograniczenie liczby zabiegów przy jednoczesnym zabezpieczeniu skutecznej ochrony roślin uprawnych, co przyczynia się do zwiększenia bezpieczeństwa konsumentów płodów rolnych oraz środowiska naturalnego, a także ograniczenia kosztów produkcji. </w:t>
      </w:r>
    </w:p>
    <w:p w14:paraId="7A8DF10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Wsparciem dla wdrożenia zasad integrowanej ochrony roślin poza systemem sygnalizacji agrofagów jest zatem udostępnienie wybranych systemów wspomagania podejmowania decyzji w ochronie roślin użytkownikom profesjonalnym środków ochrony roślin.</w:t>
      </w:r>
    </w:p>
    <w:p w14:paraId="3264825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realizowanego w latach 2011–2015 programu wieloletniego pt. „Ochrona roślin uprawnych z uwzględnieniem bezpieczeństwa żywności oraz ograniczenia strat w plonach i zagrożeń dla zdrowia ludzi, zwierząt domowych i środowiska” oraz realizowanego pod taką samą nazwą programu na lata 2016-2020, Instytut Ochrony Roślin – PIB prowadził prace nad adaptacją i udostępnieniem programów wspomagania podejmowania decyzji w ochronie ziemniaka przed zarazą, w ochronie pszenicy ozimej oraz jęczmienia ozimego przed chorobami grzybowymi, a także programów do prognozowania występowania rolnic i skrzypionek.</w:t>
      </w:r>
    </w:p>
    <w:p w14:paraId="54EA2E7B" w14:textId="1F80465B"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F92F3E">
        <w:rPr>
          <w:rFonts w:ascii="Arial" w:hAnsi="Arial" w:cs="Arial"/>
        </w:rPr>
        <w:t xml:space="preserve">latach </w:t>
      </w:r>
      <w:r w:rsidRPr="00925BCD">
        <w:rPr>
          <w:rFonts w:ascii="Arial" w:hAnsi="Arial" w:cs="Arial"/>
        </w:rPr>
        <w:t>2018</w:t>
      </w:r>
      <w:r w:rsidR="00453314" w:rsidRPr="001C2B31">
        <w:rPr>
          <w:rFonts w:ascii="Arial" w:hAnsi="Arial" w:cs="Arial"/>
        </w:rPr>
        <w:t>–</w:t>
      </w:r>
      <w:r w:rsidR="00F92F3E">
        <w:rPr>
          <w:rFonts w:ascii="Arial" w:hAnsi="Arial" w:cs="Arial"/>
        </w:rPr>
        <w:t>202</w:t>
      </w:r>
      <w:r w:rsidR="002916CB">
        <w:rPr>
          <w:rFonts w:ascii="Arial" w:hAnsi="Arial" w:cs="Arial"/>
        </w:rPr>
        <w:t>2</w:t>
      </w:r>
      <w:r w:rsidR="00F92F3E">
        <w:rPr>
          <w:rFonts w:ascii="Arial" w:hAnsi="Arial" w:cs="Arial"/>
        </w:rPr>
        <w:t xml:space="preserve"> </w:t>
      </w:r>
      <w:r w:rsidRPr="00925BCD">
        <w:rPr>
          <w:rFonts w:ascii="Arial" w:hAnsi="Arial" w:cs="Arial"/>
        </w:rPr>
        <w:t>upowszechni</w:t>
      </w:r>
      <w:r w:rsidR="00F92F3E">
        <w:rPr>
          <w:rFonts w:ascii="Arial" w:hAnsi="Arial" w:cs="Arial"/>
        </w:rPr>
        <w:t>a</w:t>
      </w:r>
      <w:r w:rsidRPr="00925BCD">
        <w:rPr>
          <w:rFonts w:ascii="Arial" w:hAnsi="Arial" w:cs="Arial"/>
        </w:rPr>
        <w:t xml:space="preserve">no systemy doradcze wspomagające podjęcie decyzji </w:t>
      </w:r>
      <w:r w:rsidRPr="00925BCD">
        <w:rPr>
          <w:rFonts w:ascii="Arial" w:hAnsi="Arial" w:cs="Arial"/>
        </w:rPr>
        <w:lastRenderedPageBreak/>
        <w:t xml:space="preserve">(prognozowanie krótkoterminowe) </w:t>
      </w:r>
      <w:r w:rsidR="00C952C3" w:rsidRPr="00925BCD">
        <w:rPr>
          <w:rFonts w:ascii="Arial" w:hAnsi="Arial" w:cs="Arial"/>
        </w:rPr>
        <w:t>w</w:t>
      </w:r>
      <w:r w:rsidRPr="00925BCD">
        <w:rPr>
          <w:rFonts w:ascii="Arial" w:hAnsi="Arial" w:cs="Arial"/>
        </w:rPr>
        <w:t xml:space="preserve"> ochronie pszenicy ozimej przed rdzą brunatną oraz wdrażano system doradczy wspomagający podjęcie decyzji o ochronie ziemniaka przed stonką ziemniaczaną.</w:t>
      </w:r>
    </w:p>
    <w:p w14:paraId="370618D3" w14:textId="09E37F04"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Platformie Sygnalizacji Agrofagów </w:t>
      </w:r>
      <w:r w:rsidR="00C952C3" w:rsidRPr="00925BCD">
        <w:rPr>
          <w:rFonts w:ascii="Arial" w:hAnsi="Arial" w:cs="Arial"/>
        </w:rPr>
        <w:t>w 20</w:t>
      </w:r>
      <w:r w:rsidR="00F92F3E">
        <w:rPr>
          <w:rFonts w:ascii="Arial" w:hAnsi="Arial" w:cs="Arial"/>
        </w:rPr>
        <w:t>2</w:t>
      </w:r>
      <w:r w:rsidR="002916CB">
        <w:rPr>
          <w:rFonts w:ascii="Arial" w:hAnsi="Arial" w:cs="Arial"/>
        </w:rPr>
        <w:t>2</w:t>
      </w:r>
      <w:r w:rsidR="00C952C3" w:rsidRPr="00925BCD">
        <w:rPr>
          <w:rFonts w:ascii="Arial" w:hAnsi="Arial" w:cs="Arial"/>
        </w:rPr>
        <w:t xml:space="preserve"> r. </w:t>
      </w:r>
      <w:r w:rsidRPr="00925BCD">
        <w:rPr>
          <w:rFonts w:ascii="Arial" w:hAnsi="Arial" w:cs="Arial"/>
        </w:rPr>
        <w:t>znajdowały się systemy wspomagające podjęcie decyzji o ochronie:</w:t>
      </w:r>
    </w:p>
    <w:p w14:paraId="7FF31EF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pszenicy ozimej przed takimi chorobami jak: mączniak prawdziwy zbóż, rdza żółta, rdza brunatna, septoriozy, łamliwość podstawy źdźbła oraz przed skrzypionkami,</w:t>
      </w:r>
    </w:p>
    <w:p w14:paraId="2CF781B6"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jęczmienia ozimego przed mączniakiem prawdziwym, </w:t>
      </w:r>
    </w:p>
    <w:p w14:paraId="2E37DB6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ziemniak przed zarazą ziemniaka, </w:t>
      </w:r>
    </w:p>
    <w:p w14:paraId="2FE84E9D"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buraka przed rolnicami, </w:t>
      </w:r>
    </w:p>
    <w:p w14:paraId="7E1CBB3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internetowy system wspomagania decyzji w ochronie roślin ogrodniczych.</w:t>
      </w:r>
    </w:p>
    <w:p w14:paraId="2F47398C" w14:textId="1A6D184F"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„Opracowywanie systemów wspomagania decyzji w ochronie roślin ogrodniczych” realizowanego w ramach programu wieloletniego pod nazwą „Działania na rzecz poprawy konkurencyjności i innowacyjności sektora ogrodniczego z uwzględnieniem jakości i</w:t>
      </w:r>
      <w:r w:rsidR="00935947" w:rsidRPr="00925BCD">
        <w:rPr>
          <w:rFonts w:ascii="Arial" w:hAnsi="Arial" w:cs="Arial"/>
        </w:rPr>
        <w:t> </w:t>
      </w:r>
      <w:r w:rsidRPr="00925BCD">
        <w:rPr>
          <w:rFonts w:ascii="Arial" w:hAnsi="Arial" w:cs="Arial"/>
        </w:rPr>
        <w:t xml:space="preserve">bezpieczeństwa żywności oraz ochrony środowiska naturalnego” Instytut Ogrodnictwa w </w:t>
      </w:r>
      <w:r w:rsidR="00FB402B" w:rsidRPr="00925BCD">
        <w:rPr>
          <w:rFonts w:ascii="Arial" w:hAnsi="Arial" w:cs="Arial"/>
        </w:rPr>
        <w:t>latach 2018</w:t>
      </w:r>
      <w:r w:rsidR="00115335" w:rsidRPr="00772A61">
        <w:rPr>
          <w:rFonts w:ascii="Arial" w:hAnsi="Arial" w:cs="Arial"/>
        </w:rPr>
        <w:t>–</w:t>
      </w:r>
      <w:r w:rsidRPr="00925BCD">
        <w:rPr>
          <w:rFonts w:ascii="Arial" w:hAnsi="Arial" w:cs="Arial"/>
        </w:rPr>
        <w:t>2019 aktualizował internetowy system wspomagania decyzji „HortiOchrona” w ochronie roślin ogrodniczych dla jabłoni, cebuli i róży szklarniowej oraz gromadził dane do opracowania system</w:t>
      </w:r>
      <w:r w:rsidR="00FB402B" w:rsidRPr="00925BCD">
        <w:rPr>
          <w:rFonts w:ascii="Arial" w:hAnsi="Arial" w:cs="Arial"/>
        </w:rPr>
        <w:t>ów</w:t>
      </w:r>
      <w:r w:rsidRPr="00925BCD">
        <w:rPr>
          <w:rFonts w:ascii="Arial" w:hAnsi="Arial" w:cs="Arial"/>
        </w:rPr>
        <w:t xml:space="preserve"> dla trzech kolejnych gatunków: truskawki, marchwi i żywotnika zachodniego. Informacje te dostępne są na stronie internetowej </w:t>
      </w:r>
      <w:hyperlink r:id="rId34">
        <w:r w:rsidRPr="00925BCD">
          <w:rPr>
            <w:rStyle w:val="czeinternetowe"/>
            <w:rFonts w:ascii="Arial" w:hAnsi="Arial" w:cs="Arial"/>
            <w:color w:val="auto"/>
          </w:rPr>
          <w:t>http://hortiochrona.inhort.pl/</w:t>
        </w:r>
      </w:hyperlink>
      <w:r w:rsidRPr="00925BCD">
        <w:rPr>
          <w:rFonts w:ascii="Arial" w:hAnsi="Arial" w:cs="Arial"/>
        </w:rPr>
        <w:t xml:space="preserve"> oraz poprzez Platformę Sygnalizacji Agrofagów: </w:t>
      </w:r>
      <w:hyperlink r:id="rId35">
        <w:r w:rsidRPr="00925BCD">
          <w:rPr>
            <w:rStyle w:val="czeinternetowe"/>
            <w:rFonts w:ascii="Arial" w:hAnsi="Arial" w:cs="Arial"/>
            <w:color w:val="auto"/>
          </w:rPr>
          <w:t>https://www.agrofagi.com.pl/</w:t>
        </w:r>
      </w:hyperlink>
      <w:r w:rsidRPr="00925BCD">
        <w:rPr>
          <w:rFonts w:ascii="Arial" w:hAnsi="Arial" w:cs="Arial"/>
        </w:rPr>
        <w:t>.</w:t>
      </w:r>
    </w:p>
    <w:p w14:paraId="4E63F16E" w14:textId="65FE6C72" w:rsidR="005A3419" w:rsidRDefault="005A3419" w:rsidP="004A1341">
      <w:pPr>
        <w:pStyle w:val="NormalnyWeb"/>
        <w:tabs>
          <w:tab w:val="left" w:pos="284"/>
        </w:tabs>
        <w:spacing w:beforeAutospacing="0" w:after="120" w:afterAutospacing="0" w:line="360" w:lineRule="auto"/>
        <w:ind w:firstLine="284"/>
        <w:jc w:val="both"/>
        <w:rPr>
          <w:rFonts w:ascii="Arial" w:hAnsi="Arial" w:cs="Arial"/>
        </w:rPr>
      </w:pPr>
      <w:r w:rsidRPr="000F44D8">
        <w:rPr>
          <w:rFonts w:ascii="Arial" w:hAnsi="Arial" w:cs="Arial"/>
        </w:rPr>
        <w:t>W 2020 r</w:t>
      </w:r>
      <w:r w:rsidR="006E048E">
        <w:rPr>
          <w:rFonts w:ascii="Arial" w:hAnsi="Arial" w:cs="Arial"/>
        </w:rPr>
        <w:t>.</w:t>
      </w:r>
      <w:r w:rsidRPr="000F44D8">
        <w:rPr>
          <w:rFonts w:ascii="Arial" w:hAnsi="Arial" w:cs="Arial"/>
        </w:rPr>
        <w:t xml:space="preserve"> zakończono prace nad wprowadzaniem do systemu HortiOchrona danych dla truskawki, marchwi i żywotnika zachodniego z zakresu diagnostyki agrofagów, metod lustracji, profilaktyki </w:t>
      </w:r>
      <w:r w:rsidR="006E048E" w:rsidRPr="000F44D8">
        <w:rPr>
          <w:rFonts w:ascii="Arial" w:hAnsi="Arial" w:cs="Arial"/>
        </w:rPr>
        <w:t>i</w:t>
      </w:r>
      <w:r w:rsidR="006E048E">
        <w:rPr>
          <w:rFonts w:ascii="Arial" w:hAnsi="Arial" w:cs="Arial"/>
        </w:rPr>
        <w:t> </w:t>
      </w:r>
      <w:r w:rsidRPr="000F44D8">
        <w:rPr>
          <w:rFonts w:ascii="Arial" w:hAnsi="Arial" w:cs="Arial"/>
        </w:rPr>
        <w:t>zwalczania, w tym informacji na temat zalecanych środków ochrony roślin. Zaktualizowano też dane dla wcześniej opracowanych upraw: jabłoni, cebuli i róży szklarniowej.</w:t>
      </w:r>
    </w:p>
    <w:p w14:paraId="2C7F8BE2" w14:textId="4179E5D4" w:rsidR="00991723" w:rsidRDefault="00991723" w:rsidP="00B7781F">
      <w:pPr>
        <w:pStyle w:val="NormalnyWeb"/>
        <w:tabs>
          <w:tab w:val="left" w:pos="284"/>
        </w:tabs>
        <w:spacing w:beforeAutospacing="0" w:after="120" w:afterAutospacing="0" w:line="360" w:lineRule="auto"/>
        <w:ind w:firstLine="284"/>
        <w:jc w:val="both"/>
        <w:rPr>
          <w:rFonts w:ascii="Arial" w:hAnsi="Arial" w:cs="Arial"/>
        </w:rPr>
      </w:pPr>
      <w:r w:rsidRPr="00B7781F">
        <w:rPr>
          <w:rFonts w:ascii="Arial" w:hAnsi="Arial" w:cs="Arial"/>
        </w:rPr>
        <w:t xml:space="preserve">W 2021 </w:t>
      </w:r>
      <w:r w:rsidR="00117951" w:rsidRPr="00B7781F">
        <w:rPr>
          <w:rFonts w:ascii="Arial" w:hAnsi="Arial" w:cs="Arial"/>
        </w:rPr>
        <w:t xml:space="preserve">r. </w:t>
      </w:r>
      <w:r w:rsidRPr="00B7781F">
        <w:rPr>
          <w:rFonts w:ascii="Arial" w:hAnsi="Arial" w:cs="Arial"/>
        </w:rPr>
        <w:t>opracowano materiały dotyczące ważnych gospodarczo agrofagów dla trzech nowych gatunków roślin ogrodniczych: czereśni, kapusty głowiastej i bukszpanu i wprowadzano je do systemu HortiOchrona. Materiały obejmowały charakterystyki agrofagów, w tym ich biologię, występowanie i</w:t>
      </w:r>
      <w:r w:rsidR="002F734A">
        <w:rPr>
          <w:rFonts w:ascii="Arial" w:hAnsi="Arial" w:cs="Arial"/>
        </w:rPr>
        <w:t> </w:t>
      </w:r>
      <w:r w:rsidRPr="00B7781F">
        <w:rPr>
          <w:rFonts w:ascii="Arial" w:hAnsi="Arial" w:cs="Arial"/>
        </w:rPr>
        <w:t xml:space="preserve">szkodliwość, a także metody lustracji i monitorowania, zasady profilaktyki i zwalczania oraz materiały graficzne i ilustracyjne, służące do diagnostyki i opisów objawów uszkodzeń. Zaktualizowano też dane dla wcześniej opracowanych upraw: jabłoni, truskawki, cebuli, marchwi, róży szklarniowej i żywotnika zachodniego. </w:t>
      </w:r>
      <w:r w:rsidR="0062732E" w:rsidRPr="00B7781F">
        <w:rPr>
          <w:rFonts w:ascii="Arial" w:hAnsi="Arial" w:cs="Arial"/>
        </w:rPr>
        <w:t>Z</w:t>
      </w:r>
      <w:r w:rsidRPr="00B7781F">
        <w:rPr>
          <w:rFonts w:ascii="Arial" w:hAnsi="Arial" w:cs="Arial"/>
        </w:rPr>
        <w:t xml:space="preserve">aprojektowano i zaimplementowano </w:t>
      </w:r>
      <w:r w:rsidR="0062732E" w:rsidRPr="00B7781F">
        <w:rPr>
          <w:rFonts w:ascii="Arial" w:hAnsi="Arial" w:cs="Arial"/>
        </w:rPr>
        <w:t xml:space="preserve">również </w:t>
      </w:r>
      <w:r w:rsidRPr="00B7781F">
        <w:rPr>
          <w:rFonts w:ascii="Arial" w:hAnsi="Arial" w:cs="Arial"/>
        </w:rPr>
        <w:t>moduł z zakresu produkcji ekologicznej oraz moduł dotyczący odporności agrofagów na środki ochrony roślin. Prowadzono też ograniczony monitoring i sygnalizację pojawu chorób i szkodników na roślinach objętych systemem, a także badania uzupełniające nad zwalczaniem wybranych agrofagów dla wprowadzanych gatunków.</w:t>
      </w:r>
    </w:p>
    <w:p w14:paraId="7C72CE5A" w14:textId="0D55F0FD" w:rsidR="00DD5220" w:rsidRDefault="00DD5220" w:rsidP="000E7F04">
      <w:pPr>
        <w:widowControl w:val="0"/>
        <w:tabs>
          <w:tab w:val="left" w:pos="284"/>
        </w:tabs>
        <w:spacing w:after="120" w:line="360" w:lineRule="auto"/>
        <w:ind w:firstLine="284"/>
        <w:jc w:val="both"/>
        <w:rPr>
          <w:rFonts w:ascii="Arial" w:hAnsi="Arial" w:cs="Arial"/>
        </w:rPr>
      </w:pPr>
      <w:r w:rsidRPr="006E20DC">
        <w:rPr>
          <w:rFonts w:ascii="Arial" w:eastAsia="Times New Roman" w:hAnsi="Arial" w:cs="Arial"/>
          <w:sz w:val="20"/>
          <w:szCs w:val="20"/>
          <w:lang w:eastAsia="pl-PL"/>
        </w:rPr>
        <w:t>W 2022</w:t>
      </w:r>
      <w:r w:rsidR="004C4AEA" w:rsidRPr="006E20DC">
        <w:rPr>
          <w:rFonts w:ascii="Arial" w:eastAsia="Times New Roman" w:hAnsi="Arial" w:cs="Arial"/>
          <w:sz w:val="20"/>
          <w:szCs w:val="20"/>
          <w:lang w:eastAsia="pl-PL"/>
        </w:rPr>
        <w:t xml:space="preserve"> r</w:t>
      </w:r>
      <w:r w:rsidRPr="006E20DC">
        <w:rPr>
          <w:rFonts w:ascii="Arial" w:eastAsia="Times New Roman" w:hAnsi="Arial" w:cs="Arial"/>
          <w:sz w:val="20"/>
          <w:szCs w:val="20"/>
          <w:lang w:eastAsia="pl-PL"/>
        </w:rPr>
        <w:t xml:space="preserve">. </w:t>
      </w:r>
      <w:r w:rsidR="004C4AEA" w:rsidRPr="006E20DC">
        <w:rPr>
          <w:rFonts w:ascii="Arial" w:eastAsia="Times New Roman" w:hAnsi="Arial" w:cs="Arial"/>
          <w:sz w:val="20"/>
          <w:szCs w:val="20"/>
          <w:lang w:eastAsia="pl-PL"/>
        </w:rPr>
        <w:t>o</w:t>
      </w:r>
      <w:r w:rsidRPr="006E20DC">
        <w:rPr>
          <w:rFonts w:ascii="Arial" w:eastAsia="Times New Roman" w:hAnsi="Arial" w:cs="Arial"/>
          <w:sz w:val="20"/>
          <w:szCs w:val="20"/>
          <w:lang w:eastAsia="pl-PL"/>
        </w:rPr>
        <w:t xml:space="preserve">pracowano </w:t>
      </w:r>
      <w:r w:rsidR="004C4AEA" w:rsidRPr="006E20DC">
        <w:rPr>
          <w:rFonts w:ascii="Arial" w:eastAsia="Times New Roman" w:hAnsi="Arial" w:cs="Arial"/>
          <w:sz w:val="20"/>
          <w:szCs w:val="20"/>
          <w:lang w:eastAsia="pl-PL"/>
        </w:rPr>
        <w:t xml:space="preserve">kolejne </w:t>
      </w:r>
      <w:r w:rsidRPr="006E20DC">
        <w:rPr>
          <w:rFonts w:ascii="Arial" w:eastAsia="Times New Roman" w:hAnsi="Arial" w:cs="Arial"/>
          <w:sz w:val="20"/>
          <w:szCs w:val="20"/>
          <w:lang w:eastAsia="pl-PL"/>
        </w:rPr>
        <w:t>materiały dotyczące ważnych gospodarczo agrofagów dla trzech nowych gatunków roślin ogrodniczych: czarnej porzeczki, fasoli</w:t>
      </w:r>
      <w:r w:rsidR="000E7F04" w:rsidRPr="006E20DC">
        <w:rPr>
          <w:rFonts w:ascii="Arial" w:eastAsia="Times New Roman" w:hAnsi="Arial" w:cs="Arial"/>
          <w:sz w:val="20"/>
          <w:szCs w:val="20"/>
          <w:lang w:eastAsia="pl-PL"/>
        </w:rPr>
        <w:t>,</w:t>
      </w:r>
      <w:r w:rsidRPr="006E20DC">
        <w:rPr>
          <w:rFonts w:ascii="Arial" w:eastAsia="Times New Roman" w:hAnsi="Arial" w:cs="Arial"/>
          <w:sz w:val="20"/>
          <w:szCs w:val="20"/>
          <w:lang w:eastAsia="pl-PL"/>
        </w:rPr>
        <w:t xml:space="preserve"> chryzantemy pod osłonami i</w:t>
      </w:r>
      <w:r w:rsidR="000E7F04" w:rsidRPr="006E20DC">
        <w:rPr>
          <w:rFonts w:ascii="Arial" w:eastAsia="Times New Roman" w:hAnsi="Arial" w:cs="Arial"/>
          <w:sz w:val="20"/>
          <w:szCs w:val="20"/>
          <w:lang w:eastAsia="pl-PL"/>
        </w:rPr>
        <w:t> </w:t>
      </w:r>
      <w:r w:rsidRPr="006E20DC">
        <w:rPr>
          <w:rFonts w:ascii="Arial" w:eastAsia="Times New Roman" w:hAnsi="Arial" w:cs="Arial"/>
          <w:sz w:val="20"/>
          <w:szCs w:val="20"/>
          <w:lang w:eastAsia="pl-PL"/>
        </w:rPr>
        <w:t xml:space="preserve">wprowadzano je do systemu. </w:t>
      </w:r>
      <w:r w:rsidR="00405AF0" w:rsidRPr="006E20DC">
        <w:rPr>
          <w:rFonts w:ascii="Arial" w:eastAsia="Times New Roman" w:hAnsi="Arial" w:cs="Arial"/>
          <w:sz w:val="20"/>
          <w:szCs w:val="20"/>
          <w:lang w:eastAsia="pl-PL"/>
        </w:rPr>
        <w:t>D</w:t>
      </w:r>
      <w:r w:rsidRPr="006E20DC">
        <w:rPr>
          <w:rFonts w:ascii="Arial" w:eastAsia="Times New Roman" w:hAnsi="Arial" w:cs="Arial"/>
          <w:sz w:val="20"/>
          <w:szCs w:val="20"/>
          <w:lang w:eastAsia="pl-PL"/>
        </w:rPr>
        <w:t xml:space="preserve">o modułu z zakresu produkcji ekologicznej w systemie wspomagania decyzji HortiOchrona zostały wprowadzone materiały dotyczące ekologicznego systemu produkcji </w:t>
      </w:r>
      <w:r w:rsidRPr="006E20DC">
        <w:rPr>
          <w:rFonts w:ascii="Arial" w:eastAsia="Times New Roman" w:hAnsi="Arial" w:cs="Arial"/>
          <w:sz w:val="20"/>
          <w:szCs w:val="20"/>
          <w:lang w:eastAsia="pl-PL"/>
        </w:rPr>
        <w:lastRenderedPageBreak/>
        <w:t>ogórka gruntowego i brokułu: charakterystyki agrofagów, metody i terminy lustracji, zasady zapobiegania i ochrony przed agrofagami, a także informacje o metodach zwalczania tych agrofagów w ekologicznym systemie produkcji. Charakterystyki agrofagów dla ogórka i brokułu opracowano dla 2</w:t>
      </w:r>
      <w:r w:rsidR="006E20DC">
        <w:rPr>
          <w:rFonts w:ascii="Arial" w:eastAsia="Times New Roman" w:hAnsi="Arial" w:cs="Arial"/>
          <w:sz w:val="20"/>
          <w:szCs w:val="20"/>
          <w:lang w:eastAsia="pl-PL"/>
        </w:rPr>
        <w:t> </w:t>
      </w:r>
      <w:r w:rsidRPr="006E20DC">
        <w:rPr>
          <w:rFonts w:ascii="Arial" w:eastAsia="Times New Roman" w:hAnsi="Arial" w:cs="Arial"/>
          <w:sz w:val="20"/>
          <w:szCs w:val="20"/>
          <w:lang w:eastAsia="pl-PL"/>
        </w:rPr>
        <w:t>patogenów, 2 szkodników i 4 chorób nieinfekcyjnych. W części ekologicznej systemu dodatkowo zamieszczono charakterystyki agrofagów marchwi, w których wprowadzono metody zapobiegania i</w:t>
      </w:r>
      <w:r w:rsidR="00032B29" w:rsidRPr="006E20DC">
        <w:rPr>
          <w:rFonts w:ascii="Arial" w:eastAsia="Times New Roman" w:hAnsi="Arial" w:cs="Arial"/>
          <w:sz w:val="20"/>
          <w:szCs w:val="20"/>
          <w:lang w:eastAsia="pl-PL"/>
        </w:rPr>
        <w:t> </w:t>
      </w:r>
      <w:r w:rsidRPr="006E20DC">
        <w:rPr>
          <w:rFonts w:ascii="Arial" w:eastAsia="Times New Roman" w:hAnsi="Arial" w:cs="Arial"/>
          <w:sz w:val="20"/>
          <w:szCs w:val="20"/>
          <w:lang w:eastAsia="pl-PL"/>
        </w:rPr>
        <w:t xml:space="preserve">zwalczania w tym systemie uprawy. </w:t>
      </w:r>
    </w:p>
    <w:p w14:paraId="5A778068" w14:textId="77777777" w:rsidR="00056846" w:rsidRPr="00925BCD" w:rsidRDefault="00E54725">
      <w:pPr>
        <w:pStyle w:val="Nagwek2"/>
        <w:jc w:val="both"/>
        <w:rPr>
          <w:i w:val="0"/>
          <w:sz w:val="20"/>
          <w:szCs w:val="20"/>
        </w:rPr>
      </w:pPr>
      <w:bookmarkStart w:id="82" w:name="_Toc161744892"/>
      <w:r w:rsidRPr="00925BCD">
        <w:rPr>
          <w:i w:val="0"/>
          <w:sz w:val="20"/>
          <w:szCs w:val="20"/>
        </w:rPr>
        <w:t>Zadanie 6. Udostępnienie programów integrowanej ochrony roślin</w:t>
      </w:r>
      <w:bookmarkEnd w:id="82"/>
    </w:p>
    <w:p w14:paraId="3585F9B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Narzędziem niezbędnym dla prawidłowego planowania i wykonywania zabiegów ochrony roślin są programy integrowanej ochrony opracowywane dla poszczególnych upraw. Programy te są także uzupełnieniem wiedzy przekazywanej za pośrednictwem metodyk integrowanej ochrony roślin, ponieważ zawierają informacje o aktualnie dostępnych środkach ochrony roślin. </w:t>
      </w:r>
    </w:p>
    <w:p w14:paraId="6FCA86F9"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Programy ochrony roślin, aby pomagały we wdrażaniu zasad integrowanej ochrony roślin, obok informacji o chemicznych metodach ochrony roślin, zawierają wytyczne dotyczące działań prewencyjnych i zapobiegających wystąpieniu agrofagów oraz informacje o niechemicznych metodach ich zwalczania. Programy wskazują także preparaty zawierające substancje czynne niskiego ryzyka, preparaty biologiczne oraz substancje podstawowe, którym należy przyznać pierwszeństwo przed zastosowaniem chemicznych środków ochrony roślin. </w:t>
      </w:r>
    </w:p>
    <w:p w14:paraId="47A8EAF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Programy ochrony roślin uwzględniają także specyficzne wymagania systemów jakości żywności, nakierowane na ograniczanie zagrożeń dla środowiska naturalnego oraz dla zdrowia ludzi, czyli rolnictwa ekologicznego oraz integrowanej produkcji roślin. </w:t>
      </w:r>
    </w:p>
    <w:p w14:paraId="364A6D1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Programy ochrony roślin wskazują jakie zagrożenia mogą wiązać się ze stosowaniem poszczególnych preparatów, zawierają zalecenia w jaki sposób zagrożenia te można eliminować a także inne niezbędne informacje dla prawidłowego planowania zabiegów ochrony roślin, jak np. wskazówki dotyczące łącznego stosowania agrochemikaliów czy zapobiegania powstawaniu odporności u organizmów szkodliwych czy też minimalizowania obecności pozostałości substancji czynnych.</w:t>
      </w:r>
    </w:p>
    <w:p w14:paraId="60477B52"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zadania w 2018 r. opracowywane zostały programy dla upraw rolniczych (program ochrony pszenicy ozimej i jarej, rzepaku ozimego i jarego, jęczmienia ozimego i jarego, pszenżyta ozimego i jarego, ziemniaka, buraka cukrowego i pastewnego, kukurydzy, soi, gorczycy, bobiku, grochu, łubinu, żyta, owsa). Z kolei w przypadku roślin ogrodniczych opracowano 11 nowych oraz zaktualizowano 19 programów ochrony przed agrofagami: </w:t>
      </w:r>
    </w:p>
    <w:p w14:paraId="3152D793"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sadownicze: opracowano nowe programy ochrony dla czereśni, porzeczki czarnej; zaktualizowano programy dla truskawki, maliny, borówki wysokiej, śliwy, wiśni;</w:t>
      </w:r>
    </w:p>
    <w:p w14:paraId="5224F3A0"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warzywne: opracowano nowe programy ochrony dla bobu, buraka ćwikłowego, ogórka gruntowego, pomidora szklarniowego; zaktualizowano programy dla cebuli, fasoli, grochu, kapusty głowiastej, kapusty pekińskiej, marchwi, pietruszki korzeniowej/naciowej, selera/selera naciowego, pomidora gruntowego;</w:t>
      </w:r>
    </w:p>
    <w:p w14:paraId="6EA31711"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lastRenderedPageBreak/>
        <w:t>rośliny ozdobne: opracowano nowe programy ochrony dla chryzantemy szklarniowej, goździka szklarniowego, cyklamena, żywotnika, astra jesiennego; zaktualizowano programy dla bratka ogrodowego, lilii, różanecznika, mieczyka, traw ozdobnych.</w:t>
      </w:r>
    </w:p>
    <w:p w14:paraId="01B8CE22" w14:textId="77777777" w:rsidR="00056846" w:rsidRPr="00925BCD" w:rsidRDefault="004F3CB3" w:rsidP="004A1341">
      <w:pPr>
        <w:pStyle w:val="NormalnyWeb"/>
        <w:tabs>
          <w:tab w:val="left" w:pos="284"/>
        </w:tabs>
        <w:spacing w:beforeAutospacing="0" w:after="120" w:afterAutospacing="0" w:line="360" w:lineRule="auto"/>
        <w:ind w:firstLine="284"/>
        <w:jc w:val="both"/>
        <w:rPr>
          <w:rFonts w:ascii="Arial" w:hAnsi="Arial" w:cs="Arial"/>
        </w:rPr>
      </w:pPr>
      <w:bookmarkStart w:id="83" w:name="_Hlk92711585"/>
      <w:r w:rsidRPr="00925BCD">
        <w:rPr>
          <w:rFonts w:ascii="Arial" w:hAnsi="Arial" w:cs="Arial"/>
        </w:rPr>
        <w:t>W 2019 r. zaktualizowane zostały programy dla ochrony pszenicy ozimej, rzepaku ozimego i rzepaku jarego, jęczmienia ozimego, soi, bobiku, grochu i łubinu, kukurydzy i buraka cukrowego.</w:t>
      </w:r>
      <w:r w:rsidR="00281A9F" w:rsidRPr="00925BCD">
        <w:rPr>
          <w:rFonts w:ascii="Arial" w:hAnsi="Arial" w:cs="Arial"/>
        </w:rPr>
        <w:t xml:space="preserve"> </w:t>
      </w:r>
      <w:r w:rsidR="00E54725" w:rsidRPr="00925BCD">
        <w:rPr>
          <w:rFonts w:ascii="Arial" w:hAnsi="Arial" w:cs="Arial"/>
        </w:rPr>
        <w:t>Z kolei w</w:t>
      </w:r>
      <w:r w:rsidR="00281A9F" w:rsidRPr="00925BCD">
        <w:rPr>
          <w:rFonts w:ascii="Arial" w:hAnsi="Arial" w:cs="Arial"/>
        </w:rPr>
        <w:t> </w:t>
      </w:r>
      <w:r w:rsidR="00E54725" w:rsidRPr="00925BCD">
        <w:rPr>
          <w:rFonts w:ascii="Arial" w:hAnsi="Arial" w:cs="Arial"/>
        </w:rPr>
        <w:t xml:space="preserve"> przypadku roślin ogrodniczych opracowano 11 nowych oraz zaktualizowano 30 programów ochrony przed agrofagami: </w:t>
      </w:r>
    </w:p>
    <w:bookmarkEnd w:id="83"/>
    <w:p w14:paraId="29C891A5"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sadownicze: opracowano nowe programy ochrony dla agrestu i gruszy oraz zaktualizowano programy dla: truskawki, maliny, borówki wysokiej, śliwy, wiśni; czereśni, i porzeczki czarnej; </w:t>
      </w:r>
    </w:p>
    <w:p w14:paraId="0E882FA1"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warzywne: opracowano nowe programy ochrony dla czosnku, kalafiora, pora, i sałaty oraz zaktualizowano programy ochrony dla cebuli, fasoli, grochu, kapusty głowiastej, kapusty pekińskiej, marchwi, pietruszki korzeniowej/naciowej, selera/selera naciowego, pomidora gruntowego, bobu, buraka ćwikłowego, ogórka gruntowego, pomidora szklarniowego,</w:t>
      </w:r>
    </w:p>
    <w:p w14:paraId="1997DEF3" w14:textId="14E5C893" w:rsidR="00281A9F"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ozdobne: opracowano nowe programy ochrony dla cyprysika Lawsona, gerbery, pelargonii, róży gruntowej, surfinii oraz zaktualizowano programy dla astra jesiennego, bratka ogrodowego, chryzantemy szklarniowej, cyklamena, goździka szklarniowego, lilii, mieczyka, różanecznika, traw ozdobnych, żywotnika.</w:t>
      </w:r>
    </w:p>
    <w:p w14:paraId="474BDDF2" w14:textId="5B50B846" w:rsidR="006E048E" w:rsidRDefault="00A61439" w:rsidP="006E048E">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W 2020 r. zaktualizowane zostały programy dla ochrony</w:t>
      </w:r>
      <w:r w:rsidR="003B2B48" w:rsidRPr="006E048E">
        <w:rPr>
          <w:rFonts w:ascii="Arial" w:hAnsi="Arial" w:cs="Arial"/>
        </w:rPr>
        <w:t xml:space="preserve"> pszenicy ozimej i jarej, jęczmienia ozimego i jarego, pszenżyta ozimego i jarego, żyta, owsa, rzepaku ozimego i rzepaku jarego, oraz ziemniaka, buraka cukrowego i pastewnego, kukurydzy, soi, gorczycy, bobiku, grochu i łubinu. </w:t>
      </w:r>
      <w:r w:rsidRPr="006E048E">
        <w:rPr>
          <w:rFonts w:ascii="Arial" w:hAnsi="Arial" w:cs="Arial"/>
        </w:rPr>
        <w:t xml:space="preserve">Z kolei w  przypadku roślin ogrodniczych </w:t>
      </w:r>
      <w:r w:rsidR="00CD1242" w:rsidRPr="006E048E">
        <w:rPr>
          <w:rFonts w:ascii="Arial" w:hAnsi="Arial" w:cs="Arial"/>
        </w:rPr>
        <w:t>opracowano 11 nowych programów ochrony roślin ogrodniczych: 2 dla roślin sadowniczych (porzeczka czerwona i biała oraz winorośl), 4 dla roślin warzywnych (brokuł, ogórek szklarniowy, chrzan i szpinak) i 5 dla roślin ozdobnych (poinsecja, eustoma, róża pod osłonami, tawuła i begonia) oraz zaktualizowano 42 programy ochrony opracowane w latach poprzednich: 10 dla roślin sadowniczych, 17 dla roślin warzywnych i 15 dla roślin ozdobnych.</w:t>
      </w:r>
    </w:p>
    <w:p w14:paraId="2AA1594C" w14:textId="5FAC5BD3" w:rsidR="00991723" w:rsidRDefault="00F6788E" w:rsidP="006E048E">
      <w:pPr>
        <w:pStyle w:val="NormalnyWeb"/>
        <w:tabs>
          <w:tab w:val="left" w:pos="284"/>
        </w:tabs>
        <w:spacing w:beforeAutospacing="0" w:after="120" w:afterAutospacing="0" w:line="360" w:lineRule="auto"/>
        <w:ind w:firstLine="284"/>
        <w:jc w:val="both"/>
        <w:rPr>
          <w:rFonts w:ascii="Arial" w:hAnsi="Arial" w:cs="Arial"/>
        </w:rPr>
      </w:pPr>
      <w:r w:rsidRPr="00F6788E">
        <w:rPr>
          <w:rFonts w:ascii="Arial" w:hAnsi="Arial" w:cs="Arial"/>
        </w:rPr>
        <w:t>W 2021 r. opracowane zostały nowe programy</w:t>
      </w:r>
      <w:r w:rsidR="00744B52">
        <w:rPr>
          <w:rFonts w:ascii="Arial" w:hAnsi="Arial" w:cs="Arial"/>
        </w:rPr>
        <w:t xml:space="preserve"> (21)</w:t>
      </w:r>
      <w:r w:rsidRPr="00F6788E">
        <w:rPr>
          <w:rFonts w:ascii="Arial" w:hAnsi="Arial" w:cs="Arial"/>
        </w:rPr>
        <w:t xml:space="preserve"> dla ochrony upraw rolniczych: pszenica ozima, rzepak ozimy, rzepak jary</w:t>
      </w:r>
      <w:r w:rsidR="00FE694D">
        <w:rPr>
          <w:rFonts w:ascii="Arial" w:hAnsi="Arial" w:cs="Arial"/>
        </w:rPr>
        <w:t>,</w:t>
      </w:r>
      <w:r w:rsidRPr="00F6788E">
        <w:rPr>
          <w:rFonts w:ascii="Arial" w:hAnsi="Arial" w:cs="Arial"/>
        </w:rPr>
        <w:t xml:space="preserve"> jęczmień ozimy, jęczmień jary, pszenżyto ozime</w:t>
      </w:r>
      <w:r w:rsidR="00905AB4">
        <w:rPr>
          <w:rFonts w:ascii="Arial" w:hAnsi="Arial" w:cs="Arial"/>
        </w:rPr>
        <w:t>,</w:t>
      </w:r>
      <w:r w:rsidRPr="00F6788E">
        <w:rPr>
          <w:rFonts w:ascii="Arial" w:hAnsi="Arial" w:cs="Arial"/>
        </w:rPr>
        <w:t xml:space="preserve"> pszenica jara, ziemniak, żyto ozime, żyto jare, słonecznik</w:t>
      </w:r>
      <w:r w:rsidR="00905AB4">
        <w:rPr>
          <w:rFonts w:ascii="Arial" w:hAnsi="Arial" w:cs="Arial"/>
        </w:rPr>
        <w:t>,</w:t>
      </w:r>
      <w:r w:rsidRPr="00F6788E">
        <w:rPr>
          <w:rFonts w:ascii="Arial" w:hAnsi="Arial" w:cs="Arial"/>
        </w:rPr>
        <w:t xml:space="preserve"> kukurydza, gorczyca, soja, bobik, groch i łubin, burak cukrowy, burak pastewny, owies, pszenżyto jare</w:t>
      </w:r>
      <w:r w:rsidR="002B3EF9">
        <w:rPr>
          <w:rFonts w:ascii="Arial" w:hAnsi="Arial" w:cs="Arial"/>
        </w:rPr>
        <w:t xml:space="preserve"> oraz</w:t>
      </w:r>
      <w:r w:rsidRPr="00F6788E">
        <w:rPr>
          <w:rFonts w:ascii="Arial" w:hAnsi="Arial" w:cs="Arial"/>
        </w:rPr>
        <w:t xml:space="preserve"> zaktualizowano programy dla ochrony rzepaku ozimego, pszenicy ozimej.</w:t>
      </w:r>
      <w:r w:rsidR="00803056">
        <w:rPr>
          <w:rFonts w:ascii="Arial" w:hAnsi="Arial" w:cs="Arial"/>
        </w:rPr>
        <w:t xml:space="preserve"> W tym też roku </w:t>
      </w:r>
      <w:r w:rsidR="00991723" w:rsidRPr="00155FB6">
        <w:rPr>
          <w:rFonts w:ascii="Arial" w:hAnsi="Arial" w:cs="Arial"/>
        </w:rPr>
        <w:t>opracowywano nowe programy ochrony przed agrofagami dla 2 gatunków roślin sadowniczych (brzoskwinia, leszczyna), 2 gatunków roślin warzywnych (kapusta brukselska, papryka pod osłonami) i 2 gatunków roślin ozdobnych (rojnik, modrzew) oraz zaktualizowano 53 programy ochrony opracowane w latach poprzednich: 12 dla roślin sadowniczych, 21 dla roślin warzywnych i 20 dla roślin ozdobnych</w:t>
      </w:r>
      <w:r w:rsidR="00DD5220">
        <w:rPr>
          <w:rFonts w:ascii="Arial" w:hAnsi="Arial" w:cs="Arial"/>
        </w:rPr>
        <w:t>.</w:t>
      </w:r>
      <w:r w:rsidR="006824E2">
        <w:rPr>
          <w:rFonts w:ascii="Arial" w:hAnsi="Arial" w:cs="Arial"/>
        </w:rPr>
        <w:t xml:space="preserve"> Opracowano także programy ochrony roślin zielarskich – melisy lekarskiej, majeranku ogrodowego i cząbra ogrodowego. </w:t>
      </w:r>
    </w:p>
    <w:p w14:paraId="6C027610" w14:textId="25D87F65" w:rsidR="00DD5220" w:rsidRPr="00CA1799" w:rsidRDefault="0016056E" w:rsidP="00DD5220">
      <w:pPr>
        <w:pStyle w:val="NormalnyWeb"/>
        <w:tabs>
          <w:tab w:val="left" w:pos="284"/>
        </w:tabs>
        <w:spacing w:beforeAutospacing="0" w:after="120" w:afterAutospacing="0" w:line="360" w:lineRule="auto"/>
        <w:ind w:firstLine="284"/>
        <w:jc w:val="both"/>
        <w:rPr>
          <w:rFonts w:ascii="Arial" w:hAnsi="Arial" w:cs="Arial"/>
          <w:color w:val="000000"/>
        </w:rPr>
      </w:pPr>
      <w:r w:rsidRPr="0016056E">
        <w:rPr>
          <w:rFonts w:ascii="Arial" w:hAnsi="Arial" w:cs="Arial"/>
        </w:rPr>
        <w:t>W 2022</w:t>
      </w:r>
      <w:r w:rsidR="000B5070">
        <w:rPr>
          <w:rFonts w:ascii="Arial" w:hAnsi="Arial" w:cs="Arial"/>
        </w:rPr>
        <w:t xml:space="preserve"> </w:t>
      </w:r>
      <w:r>
        <w:rPr>
          <w:rFonts w:ascii="Arial" w:hAnsi="Arial" w:cs="Arial"/>
        </w:rPr>
        <w:t xml:space="preserve">r. </w:t>
      </w:r>
      <w:r w:rsidRPr="0016056E">
        <w:rPr>
          <w:rFonts w:ascii="Arial" w:hAnsi="Arial" w:cs="Arial"/>
        </w:rPr>
        <w:t>zaktualizowano 21 programów ochrony</w:t>
      </w:r>
      <w:r w:rsidR="006824E2" w:rsidRPr="006824E2">
        <w:rPr>
          <w:rFonts w:ascii="Arial" w:hAnsi="Arial" w:cs="Arial"/>
        </w:rPr>
        <w:t xml:space="preserve"> </w:t>
      </w:r>
      <w:r w:rsidR="006824E2" w:rsidRPr="00F6788E">
        <w:rPr>
          <w:rFonts w:ascii="Arial" w:hAnsi="Arial" w:cs="Arial"/>
        </w:rPr>
        <w:t>upraw rolniczych</w:t>
      </w:r>
      <w:r w:rsidRPr="0016056E">
        <w:rPr>
          <w:rFonts w:ascii="Arial" w:hAnsi="Arial" w:cs="Arial"/>
        </w:rPr>
        <w:t xml:space="preserve">: pszenicy ozimej i jarej, rzepaku </w:t>
      </w:r>
      <w:r w:rsidRPr="0016056E">
        <w:rPr>
          <w:rFonts w:ascii="Arial" w:hAnsi="Arial" w:cs="Arial"/>
        </w:rPr>
        <w:lastRenderedPageBreak/>
        <w:t>ozimego i jarego, jęczmienia ozimego i jarego, pszenżyta ozimego i jarego, żyta, owsa, ziemniaka, buraka cukrowego i</w:t>
      </w:r>
      <w:r w:rsidR="008F61DA">
        <w:rPr>
          <w:rFonts w:ascii="Arial" w:hAnsi="Arial" w:cs="Arial"/>
        </w:rPr>
        <w:t> </w:t>
      </w:r>
      <w:r w:rsidRPr="0016056E">
        <w:rPr>
          <w:rFonts w:ascii="Arial" w:hAnsi="Arial" w:cs="Arial"/>
        </w:rPr>
        <w:t>pastewnego, kukurydzy, soi, gorczycy, słonecznika, bobiku, grochu i łubinu.</w:t>
      </w:r>
      <w:r w:rsidR="008E6048">
        <w:rPr>
          <w:rFonts w:ascii="Arial" w:hAnsi="Arial" w:cs="Arial"/>
        </w:rPr>
        <w:t xml:space="preserve"> </w:t>
      </w:r>
      <w:r w:rsidR="008E6048" w:rsidRPr="00DC5942">
        <w:rPr>
          <w:rFonts w:ascii="Arial" w:hAnsi="Arial" w:cs="Arial"/>
        </w:rPr>
        <w:t xml:space="preserve">Również w </w:t>
      </w:r>
      <w:r w:rsidR="00CF7E96" w:rsidRPr="00DC5942">
        <w:rPr>
          <w:rFonts w:ascii="Arial" w:hAnsi="Arial" w:cs="Arial"/>
        </w:rPr>
        <w:t>2022</w:t>
      </w:r>
      <w:r w:rsidR="002905CE">
        <w:rPr>
          <w:rFonts w:ascii="Arial" w:hAnsi="Arial" w:cs="Arial"/>
        </w:rPr>
        <w:t> </w:t>
      </w:r>
      <w:r w:rsidR="00CF7E96" w:rsidRPr="00DC5942">
        <w:rPr>
          <w:rFonts w:ascii="Arial" w:hAnsi="Arial" w:cs="Arial"/>
        </w:rPr>
        <w:t xml:space="preserve">r. </w:t>
      </w:r>
      <w:r w:rsidR="00DD5220" w:rsidRPr="00DC5942">
        <w:rPr>
          <w:rFonts w:ascii="Arial" w:hAnsi="Arial" w:cs="Arial"/>
        </w:rPr>
        <w:t>o</w:t>
      </w:r>
      <w:r w:rsidR="00DD5220" w:rsidRPr="00DC5942">
        <w:rPr>
          <w:rFonts w:ascii="Arial" w:eastAsiaTheme="minorHAnsi" w:hAnsi="Arial" w:cs="Arial"/>
        </w:rPr>
        <w:t xml:space="preserve">pracowano 6 nowych programów </w:t>
      </w:r>
      <w:r w:rsidR="00DD5220" w:rsidRPr="00DC5942">
        <w:rPr>
          <w:rFonts w:ascii="Arial" w:hAnsi="Arial" w:cs="Arial"/>
          <w:lang w:eastAsia="en-US"/>
        </w:rPr>
        <w:t>ochrony przed agrofagami dla 2 gatunków roślin sadowniczych (</w:t>
      </w:r>
      <w:r w:rsidR="00DD5220" w:rsidRPr="00DC5942">
        <w:rPr>
          <w:rFonts w:ascii="Arial" w:hAnsi="Arial" w:cs="Arial"/>
        </w:rPr>
        <w:t>morela, truskawka pod osłonami</w:t>
      </w:r>
      <w:r w:rsidR="00DD5220" w:rsidRPr="00DC5942">
        <w:rPr>
          <w:rFonts w:ascii="Arial" w:hAnsi="Arial" w:cs="Arial"/>
          <w:lang w:eastAsia="en-US"/>
        </w:rPr>
        <w:t>), 2 gatunków roślin warzywnych (</w:t>
      </w:r>
      <w:r w:rsidR="00DD5220" w:rsidRPr="00DC5942">
        <w:rPr>
          <w:rFonts w:ascii="Arial" w:hAnsi="Arial" w:cs="Arial"/>
        </w:rPr>
        <w:t>oberżyna pod osłonami, cukinia</w:t>
      </w:r>
      <w:r w:rsidR="00DD5220" w:rsidRPr="00DC5942">
        <w:rPr>
          <w:rFonts w:ascii="Arial" w:hAnsi="Arial" w:cs="Arial"/>
          <w:lang w:eastAsia="en-US"/>
        </w:rPr>
        <w:t xml:space="preserve">) i 2 gatunków roślin ozdobnych </w:t>
      </w:r>
      <w:r w:rsidR="00DD5220" w:rsidRPr="00DC5942">
        <w:rPr>
          <w:rFonts w:ascii="Arial" w:hAnsi="Arial" w:cs="Arial"/>
        </w:rPr>
        <w:t>(figowiec, bukszpan) oraz zaktualizowano 59 programów ochrony przed agrofagami: 14 dla roślin sadowniczych, 23 dla roślin warzywnych i 22 dla roślin ozdobnych.</w:t>
      </w:r>
      <w:r w:rsidR="00DD5220" w:rsidRPr="00CA1799">
        <w:rPr>
          <w:rFonts w:ascii="Arial" w:hAnsi="Arial" w:cs="Arial"/>
        </w:rPr>
        <w:t xml:space="preserve"> </w:t>
      </w:r>
      <w:r w:rsidR="006824E2">
        <w:rPr>
          <w:rFonts w:ascii="Arial" w:hAnsi="Arial" w:cs="Arial"/>
        </w:rPr>
        <w:t>Opracowano także programy ochrony roślin zielarskich – rozmarynu, oregano i</w:t>
      </w:r>
      <w:r w:rsidR="004A23E7">
        <w:rPr>
          <w:rFonts w:ascii="Arial" w:hAnsi="Arial" w:cs="Arial"/>
        </w:rPr>
        <w:t> </w:t>
      </w:r>
      <w:r w:rsidR="006824E2">
        <w:rPr>
          <w:rFonts w:ascii="Arial" w:hAnsi="Arial" w:cs="Arial"/>
        </w:rPr>
        <w:t>lawendy oraz roślin przemysłowych – lnu i konopi.</w:t>
      </w:r>
    </w:p>
    <w:p w14:paraId="2846A81E" w14:textId="1E4C6754" w:rsidR="00897525" w:rsidRDefault="00413C81" w:rsidP="00897525">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 xml:space="preserve">W ramach realizacji zadania w Instytucie Uprawy Nawożenia i Gleboznawstwa PIB opracowano programy ochrony dla chmielu i tytoniu. Są one systematycznie aktualizowane. </w:t>
      </w:r>
      <w:r w:rsidR="003E0CEB">
        <w:rPr>
          <w:rFonts w:ascii="Arial" w:hAnsi="Arial" w:cs="Arial"/>
        </w:rPr>
        <w:t>W 2021 r. opracowano po cztery aktualizacje każdego z programów (w odstępach kwartalnych)</w:t>
      </w:r>
      <w:r w:rsidR="00897525">
        <w:rPr>
          <w:rFonts w:ascii="Arial" w:hAnsi="Arial" w:cs="Arial"/>
        </w:rPr>
        <w:t>, natomiast w</w:t>
      </w:r>
      <w:r w:rsidR="00897525" w:rsidRPr="00C41F6A">
        <w:rPr>
          <w:rFonts w:ascii="Arial" w:hAnsi="Arial" w:cs="Arial"/>
        </w:rPr>
        <w:t xml:space="preserve"> </w:t>
      </w:r>
      <w:r w:rsidR="00897525">
        <w:rPr>
          <w:rFonts w:ascii="Arial" w:hAnsi="Arial" w:cs="Arial"/>
        </w:rPr>
        <w:t>2022</w:t>
      </w:r>
      <w:r w:rsidR="00E506A8">
        <w:rPr>
          <w:rFonts w:ascii="Arial" w:hAnsi="Arial" w:cs="Arial"/>
        </w:rPr>
        <w:t> </w:t>
      </w:r>
      <w:r w:rsidR="00897525">
        <w:rPr>
          <w:rFonts w:ascii="Arial" w:hAnsi="Arial" w:cs="Arial"/>
        </w:rPr>
        <w:t>r. przygotowano po dwie aktualizacje (w odstępach półrocznych)</w:t>
      </w:r>
      <w:r w:rsidR="00897525" w:rsidRPr="00CB02AE">
        <w:rPr>
          <w:rFonts w:ascii="Arial" w:hAnsi="Arial" w:cs="Arial"/>
        </w:rPr>
        <w:t xml:space="preserve">. </w:t>
      </w:r>
      <w:r w:rsidR="00897525" w:rsidRPr="00C41F6A">
        <w:rPr>
          <w:rFonts w:ascii="Arial" w:hAnsi="Arial" w:cs="Arial"/>
        </w:rPr>
        <w:t xml:space="preserve"> </w:t>
      </w:r>
    </w:p>
    <w:p w14:paraId="39AC61CA" w14:textId="5A9926BC" w:rsidR="00897525" w:rsidRPr="00C41F6A" w:rsidRDefault="00897525" w:rsidP="00897525">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Systematyczna aktualizacja programów integrowanej ochrony umożliwia dostęp do bieżących informacji w zakresie środków ochrony roślin dopuszczonych do stosowania, pozwala na prawidłowe i</w:t>
      </w:r>
      <w:r w:rsidR="00E506A8">
        <w:rPr>
          <w:rFonts w:ascii="Arial" w:hAnsi="Arial" w:cs="Arial"/>
        </w:rPr>
        <w:t> </w:t>
      </w:r>
      <w:r>
        <w:rPr>
          <w:rFonts w:ascii="Arial" w:hAnsi="Arial" w:cs="Arial"/>
        </w:rPr>
        <w:t>zgodne z prawem planowanie i wykonywanie zabiegów ochrony roślin.</w:t>
      </w:r>
    </w:p>
    <w:p w14:paraId="2177FD82" w14:textId="48414D65"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Powyższe programy zostały upowszechnione za pośrednictwem Platformy Sygnalizacji Agrofagów.</w:t>
      </w:r>
    </w:p>
    <w:p w14:paraId="134530E2" w14:textId="77777777" w:rsidR="00056846"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6CC227C9" wp14:editId="7A22E7CA">
            <wp:extent cx="1304925" cy="1852672"/>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7"/>
                    <pic:cNvPicPr>
                      <a:picLocks noChangeAspect="1" noChangeArrowheads="1"/>
                    </pic:cNvPicPr>
                  </pic:nvPicPr>
                  <pic:blipFill>
                    <a:blip r:embed="rId36"/>
                    <a:stretch>
                      <a:fillRect/>
                    </a:stretch>
                  </pic:blipFill>
                  <pic:spPr bwMode="auto">
                    <a:xfrm>
                      <a:off x="0" y="0"/>
                      <a:ext cx="1311020" cy="1861325"/>
                    </a:xfrm>
                    <a:prstGeom prst="rect">
                      <a:avLst/>
                    </a:prstGeom>
                  </pic:spPr>
                </pic:pic>
              </a:graphicData>
            </a:graphic>
          </wp:inline>
        </w:drawing>
      </w:r>
      <w:r w:rsidRPr="00925BCD">
        <w:rPr>
          <w:noProof/>
        </w:rPr>
        <w:drawing>
          <wp:inline distT="0" distB="0" distL="0" distR="0" wp14:anchorId="30AFCB42" wp14:editId="6478AABC">
            <wp:extent cx="1291839" cy="1828800"/>
            <wp:effectExtent l="0" t="0" r="3810" b="0"/>
            <wp:docPr id="1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8"/>
                    <pic:cNvPicPr>
                      <a:picLocks noChangeAspect="1" noChangeArrowheads="1"/>
                    </pic:cNvPicPr>
                  </pic:nvPicPr>
                  <pic:blipFill>
                    <a:blip r:embed="rId37"/>
                    <a:stretch>
                      <a:fillRect/>
                    </a:stretch>
                  </pic:blipFill>
                  <pic:spPr bwMode="auto">
                    <a:xfrm>
                      <a:off x="0" y="0"/>
                      <a:ext cx="1300049" cy="1840422"/>
                    </a:xfrm>
                    <a:prstGeom prst="rect">
                      <a:avLst/>
                    </a:prstGeom>
                  </pic:spPr>
                </pic:pic>
              </a:graphicData>
            </a:graphic>
          </wp:inline>
        </w:drawing>
      </w:r>
    </w:p>
    <w:p w14:paraId="7D6C5B14" w14:textId="2ED819B0" w:rsidR="001158F0" w:rsidRDefault="001158F0">
      <w:pPr>
        <w:pStyle w:val="NormalnyWeb"/>
        <w:tabs>
          <w:tab w:val="left" w:pos="284"/>
        </w:tabs>
        <w:spacing w:before="280" w:beforeAutospacing="0" w:after="120" w:afterAutospacing="0" w:line="360" w:lineRule="auto"/>
        <w:ind w:firstLine="284"/>
        <w:jc w:val="both"/>
        <w:rPr>
          <w:rFonts w:ascii="Arial" w:hAnsi="Arial" w:cs="Arial"/>
        </w:rPr>
      </w:pPr>
      <w:r>
        <w:rPr>
          <w:rFonts w:ascii="Arial" w:hAnsi="Arial" w:cs="Arial"/>
          <w:noProof/>
        </w:rPr>
        <w:drawing>
          <wp:inline distT="0" distB="0" distL="0" distR="0" wp14:anchorId="708F85AF" wp14:editId="61A8715B">
            <wp:extent cx="3295650" cy="2462032"/>
            <wp:effectExtent l="0" t="0" r="0" b="0"/>
            <wp:docPr id="6524201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08204" cy="2471411"/>
                    </a:xfrm>
                    <a:prstGeom prst="rect">
                      <a:avLst/>
                    </a:prstGeom>
                    <a:noFill/>
                  </pic:spPr>
                </pic:pic>
              </a:graphicData>
            </a:graphic>
          </wp:inline>
        </w:drawing>
      </w:r>
    </w:p>
    <w:p w14:paraId="4E704E53" w14:textId="77777777" w:rsidR="000B1FE8" w:rsidRPr="00925BCD" w:rsidRDefault="000B1FE8">
      <w:pPr>
        <w:pStyle w:val="NormalnyWeb"/>
        <w:tabs>
          <w:tab w:val="left" w:pos="284"/>
        </w:tabs>
        <w:spacing w:before="280" w:beforeAutospacing="0" w:after="120" w:afterAutospacing="0" w:line="360" w:lineRule="auto"/>
        <w:ind w:firstLine="284"/>
        <w:jc w:val="both"/>
        <w:rPr>
          <w:rFonts w:ascii="Arial" w:hAnsi="Arial" w:cs="Arial"/>
        </w:rPr>
      </w:pPr>
    </w:p>
    <w:p w14:paraId="6070FA9B" w14:textId="77777777" w:rsidR="00056846" w:rsidRPr="00925BCD" w:rsidRDefault="00E54725">
      <w:pPr>
        <w:pStyle w:val="Nagwek2"/>
        <w:jc w:val="both"/>
        <w:rPr>
          <w:i w:val="0"/>
          <w:sz w:val="20"/>
          <w:szCs w:val="20"/>
        </w:rPr>
      </w:pPr>
      <w:bookmarkStart w:id="84" w:name="_Toc341876104"/>
      <w:bookmarkStart w:id="85" w:name="_Toc161744893"/>
      <w:r w:rsidRPr="00925BCD">
        <w:rPr>
          <w:i w:val="0"/>
          <w:sz w:val="20"/>
          <w:szCs w:val="20"/>
        </w:rPr>
        <w:lastRenderedPageBreak/>
        <w:t>Zadanie 7. Upowszechnianie wyników oceny prowadzonej w ramach Porejestrowego Doświadczalnictwa Odmianowego</w:t>
      </w:r>
      <w:bookmarkEnd w:id="84"/>
      <w:bookmarkEnd w:id="85"/>
    </w:p>
    <w:p w14:paraId="694B087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Wykorzystywanie odmian roślin uprawnych wykazujących odporność lub tolerancję na organizmy szkodliwe jest jednym z czynników sprzyjających ograniczeniu stosowania środków ochrony roślin. </w:t>
      </w:r>
    </w:p>
    <w:p w14:paraId="0BE0C0A3" w14:textId="3E41A252"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realizowane jest przez Centralny Ośrodek Badania Odmian Roślin Uprawnych, z wykorzystaniem oceny odporności odmian roślin uprawnych na agrofagi prowadzonej w ramach Porejestrowego Doświadczalnictwa Odmianowego (PDO), na podstawie którego tworzone są „Listy odmian zalecanych do uprawy na obszarze województw” (LOZ). LOZ stanowią jeden z elementów systemów wspomagania podejmowania decyzji w ochronie roślin udostępnianych m.in. na Platformie Sygnalizacji Agrofagów w ramach doradztwa rolniczego.  </w:t>
      </w:r>
    </w:p>
    <w:p w14:paraId="13EF8CE8" w14:textId="65EF6AFB"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C07E81">
        <w:rPr>
          <w:rFonts w:ascii="Arial" w:hAnsi="Arial" w:cs="Arial"/>
        </w:rPr>
        <w:t xml:space="preserve">Centralny Ośrodek Badania Odmian Roślin Uprawnych w </w:t>
      </w:r>
      <w:r w:rsidRPr="00725FA4">
        <w:rPr>
          <w:rFonts w:ascii="Arial" w:hAnsi="Arial" w:cs="Arial"/>
        </w:rPr>
        <w:t xml:space="preserve">latach </w:t>
      </w:r>
      <w:r w:rsidRPr="00C07E81">
        <w:rPr>
          <w:rFonts w:ascii="Arial" w:hAnsi="Arial" w:cs="Arial"/>
        </w:rPr>
        <w:t>2018</w:t>
      </w:r>
      <w:r w:rsidR="00453314">
        <w:rPr>
          <w:rFonts w:cs="Arial"/>
        </w:rPr>
        <w:t>–</w:t>
      </w:r>
      <w:r w:rsidRPr="00725FA4">
        <w:rPr>
          <w:rFonts w:ascii="Arial" w:hAnsi="Arial" w:cs="Arial"/>
        </w:rPr>
        <w:t>202</w:t>
      </w:r>
      <w:r w:rsidR="00985584">
        <w:rPr>
          <w:rFonts w:ascii="Arial" w:hAnsi="Arial" w:cs="Arial"/>
        </w:rPr>
        <w:t>1</w:t>
      </w:r>
      <w:r w:rsidRPr="00C07E81">
        <w:rPr>
          <w:rFonts w:ascii="Arial" w:hAnsi="Arial" w:cs="Arial"/>
        </w:rPr>
        <w:t xml:space="preserve"> w ramach PDO prowadził </w:t>
      </w:r>
      <w:r w:rsidR="003450B6">
        <w:rPr>
          <w:rFonts w:ascii="Arial" w:hAnsi="Arial" w:cs="Arial"/>
        </w:rPr>
        <w:t xml:space="preserve">stałe lub okresowe </w:t>
      </w:r>
      <w:r w:rsidRPr="00C07E81">
        <w:rPr>
          <w:rFonts w:ascii="Arial" w:hAnsi="Arial" w:cs="Arial"/>
        </w:rPr>
        <w:t>badania wartości gospodarczej odmian 3</w:t>
      </w:r>
      <w:r w:rsidR="00EE2676">
        <w:rPr>
          <w:rFonts w:ascii="Arial" w:hAnsi="Arial" w:cs="Arial"/>
        </w:rPr>
        <w:t>4</w:t>
      </w:r>
      <w:r w:rsidRPr="00C07E81">
        <w:rPr>
          <w:rFonts w:ascii="Arial" w:hAnsi="Arial" w:cs="Arial"/>
        </w:rPr>
        <w:t xml:space="preserve"> najważniejszych gospodarczo roślin rolniczych oraz dodatkowo 9 gatunków roślin warzywnych i winorośli</w:t>
      </w:r>
      <w:r w:rsidR="002E7FFA">
        <w:rPr>
          <w:rFonts w:ascii="Arial" w:hAnsi="Arial" w:cs="Arial"/>
        </w:rPr>
        <w:t>, natomiast w 202</w:t>
      </w:r>
      <w:r w:rsidR="00EE2676">
        <w:rPr>
          <w:rFonts w:ascii="Arial" w:hAnsi="Arial" w:cs="Arial"/>
        </w:rPr>
        <w:t>2</w:t>
      </w:r>
      <w:r w:rsidR="00864297">
        <w:rPr>
          <w:rFonts w:ascii="Arial" w:hAnsi="Arial" w:cs="Arial"/>
        </w:rPr>
        <w:t> </w:t>
      </w:r>
      <w:r w:rsidR="002E7FFA">
        <w:rPr>
          <w:rFonts w:ascii="Arial" w:hAnsi="Arial" w:cs="Arial"/>
        </w:rPr>
        <w:t xml:space="preserve">r. </w:t>
      </w:r>
      <w:r w:rsidR="00523902" w:rsidRPr="00523902">
        <w:rPr>
          <w:rFonts w:ascii="Arial" w:hAnsi="Arial" w:cs="Arial"/>
        </w:rPr>
        <w:t>prowadz</w:t>
      </w:r>
      <w:r w:rsidR="000B68CF">
        <w:rPr>
          <w:rFonts w:ascii="Arial" w:hAnsi="Arial" w:cs="Arial"/>
        </w:rPr>
        <w:t>ił</w:t>
      </w:r>
      <w:r w:rsidR="00523902" w:rsidRPr="00523902">
        <w:rPr>
          <w:rFonts w:ascii="Arial" w:hAnsi="Arial" w:cs="Arial"/>
        </w:rPr>
        <w:t xml:space="preserve"> badania odmian 2</w:t>
      </w:r>
      <w:r w:rsidR="008177CE">
        <w:rPr>
          <w:rFonts w:ascii="Arial" w:hAnsi="Arial" w:cs="Arial"/>
        </w:rPr>
        <w:t>3</w:t>
      </w:r>
      <w:r w:rsidR="00523902" w:rsidRPr="00523902">
        <w:rPr>
          <w:rFonts w:ascii="Arial" w:hAnsi="Arial" w:cs="Arial"/>
        </w:rPr>
        <w:t xml:space="preserve"> ważnych gospodarczo gatunków roślin rolniczych jednorocznych oraz 9</w:t>
      </w:r>
      <w:r w:rsidR="00CE6313">
        <w:rPr>
          <w:rFonts w:ascii="Arial" w:hAnsi="Arial" w:cs="Arial"/>
        </w:rPr>
        <w:t> </w:t>
      </w:r>
      <w:r w:rsidR="00523902" w:rsidRPr="00523902">
        <w:rPr>
          <w:rFonts w:ascii="Arial" w:hAnsi="Arial" w:cs="Arial"/>
        </w:rPr>
        <w:t xml:space="preserve">gatunków wieloletnich (wiechlinowate i bobowate drobnonasienne), a także </w:t>
      </w:r>
      <w:r w:rsidR="008177CE">
        <w:rPr>
          <w:rFonts w:ascii="Arial" w:hAnsi="Arial" w:cs="Arial"/>
        </w:rPr>
        <w:t>2</w:t>
      </w:r>
      <w:r w:rsidR="00523902" w:rsidRPr="00523902">
        <w:rPr>
          <w:rFonts w:ascii="Arial" w:hAnsi="Arial" w:cs="Arial"/>
        </w:rPr>
        <w:t xml:space="preserve"> gatunków roślin warzywnych i</w:t>
      </w:r>
      <w:r w:rsidR="000B68CF">
        <w:rPr>
          <w:rFonts w:ascii="Arial" w:hAnsi="Arial" w:cs="Arial"/>
        </w:rPr>
        <w:t> </w:t>
      </w:r>
      <w:r w:rsidR="00523902" w:rsidRPr="00523902">
        <w:rPr>
          <w:rFonts w:ascii="Arial" w:hAnsi="Arial" w:cs="Arial"/>
        </w:rPr>
        <w:t>winorośli</w:t>
      </w:r>
      <w:r w:rsidR="00557F07">
        <w:rPr>
          <w:rFonts w:ascii="Arial" w:hAnsi="Arial" w:cs="Arial"/>
        </w:rPr>
        <w:t>.</w:t>
      </w:r>
      <w:r w:rsidRPr="00C07E81">
        <w:rPr>
          <w:rFonts w:ascii="Arial" w:hAnsi="Arial" w:cs="Arial"/>
        </w:rPr>
        <w:t xml:space="preserve"> Jednym z kluczowych elementów tych badań była ocena podatności poszczególnych odmian na porażenie przez agrofagi uzyskana </w:t>
      </w:r>
      <w:r w:rsidR="00557F07" w:rsidRPr="00C07E81">
        <w:rPr>
          <w:rFonts w:ascii="Arial" w:hAnsi="Arial" w:cs="Arial"/>
        </w:rPr>
        <w:t>w</w:t>
      </w:r>
      <w:r w:rsidR="00557F07">
        <w:rPr>
          <w:rFonts w:ascii="Arial" w:hAnsi="Arial" w:cs="Arial"/>
        </w:rPr>
        <w:t> </w:t>
      </w:r>
      <w:r w:rsidRPr="00C07E81">
        <w:rPr>
          <w:rFonts w:ascii="Arial" w:hAnsi="Arial" w:cs="Arial"/>
        </w:rPr>
        <w:t>warunkach naturalnej polowej infekcji.</w:t>
      </w:r>
      <w:r w:rsidRPr="00925BCD">
        <w:rPr>
          <w:rFonts w:ascii="Arial" w:hAnsi="Arial" w:cs="Arial"/>
        </w:rPr>
        <w:t xml:space="preserve"> </w:t>
      </w:r>
    </w:p>
    <w:p w14:paraId="14C29187" w14:textId="732DD874"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B83476">
        <w:rPr>
          <w:rFonts w:ascii="Arial" w:hAnsi="Arial" w:cs="Arial"/>
        </w:rPr>
        <w:t xml:space="preserve">Łącznie </w:t>
      </w:r>
      <w:r w:rsidRPr="00725FA4">
        <w:rPr>
          <w:rFonts w:ascii="Arial" w:hAnsi="Arial" w:cs="Arial"/>
        </w:rPr>
        <w:t>w latach 2018-202</w:t>
      </w:r>
      <w:r w:rsidR="00170ED8">
        <w:rPr>
          <w:rFonts w:ascii="Arial" w:hAnsi="Arial" w:cs="Arial"/>
        </w:rPr>
        <w:t>2</w:t>
      </w:r>
      <w:r w:rsidRPr="00B83476">
        <w:rPr>
          <w:rFonts w:ascii="Arial" w:hAnsi="Arial" w:cs="Arial"/>
        </w:rPr>
        <w:t xml:space="preserve"> założono lub kontynuowano </w:t>
      </w:r>
      <w:r w:rsidR="00170ED8">
        <w:rPr>
          <w:rFonts w:ascii="Arial" w:hAnsi="Arial" w:cs="Arial"/>
          <w:b/>
          <w:bCs/>
        </w:rPr>
        <w:t>5</w:t>
      </w:r>
      <w:r w:rsidR="00CA4157">
        <w:rPr>
          <w:rFonts w:ascii="Arial" w:hAnsi="Arial" w:cs="Arial"/>
          <w:b/>
          <w:bCs/>
        </w:rPr>
        <w:t> </w:t>
      </w:r>
      <w:r w:rsidR="00170ED8">
        <w:rPr>
          <w:rFonts w:ascii="Arial" w:hAnsi="Arial" w:cs="Arial"/>
          <w:b/>
          <w:bCs/>
        </w:rPr>
        <w:t>117</w:t>
      </w:r>
      <w:r w:rsidRPr="00725FA4">
        <w:rPr>
          <w:rFonts w:ascii="Arial" w:hAnsi="Arial" w:cs="Arial"/>
        </w:rPr>
        <w:t xml:space="preserve"> </w:t>
      </w:r>
      <w:r w:rsidRPr="00B83476">
        <w:rPr>
          <w:rFonts w:ascii="Arial" w:hAnsi="Arial" w:cs="Arial"/>
          <w:b/>
        </w:rPr>
        <w:t xml:space="preserve">doświadczeń polowych </w:t>
      </w:r>
      <w:r w:rsidRPr="00725FA4">
        <w:rPr>
          <w:rFonts w:ascii="Arial" w:hAnsi="Arial" w:cs="Arial"/>
          <w:i/>
        </w:rPr>
        <w:t xml:space="preserve">(odpowiednio: </w:t>
      </w:r>
      <w:r>
        <w:rPr>
          <w:rFonts w:ascii="Arial" w:hAnsi="Arial" w:cs="Arial"/>
          <w:i/>
        </w:rPr>
        <w:t xml:space="preserve">w </w:t>
      </w:r>
      <w:r w:rsidRPr="00725FA4">
        <w:rPr>
          <w:rFonts w:ascii="Arial" w:hAnsi="Arial" w:cs="Arial"/>
          <w:i/>
        </w:rPr>
        <w:t>2018</w:t>
      </w:r>
      <w:r>
        <w:rPr>
          <w:rFonts w:ascii="Arial" w:hAnsi="Arial" w:cs="Arial"/>
          <w:i/>
        </w:rPr>
        <w:t xml:space="preserve"> r.</w:t>
      </w:r>
      <w:r w:rsidRPr="00725FA4">
        <w:rPr>
          <w:rFonts w:ascii="Arial" w:hAnsi="Arial" w:cs="Arial"/>
          <w:i/>
        </w:rPr>
        <w:t xml:space="preserve"> – 969; </w:t>
      </w:r>
      <w:r>
        <w:rPr>
          <w:rFonts w:ascii="Arial" w:hAnsi="Arial" w:cs="Arial"/>
          <w:i/>
        </w:rPr>
        <w:t xml:space="preserve">w </w:t>
      </w:r>
      <w:r w:rsidRPr="00725FA4">
        <w:rPr>
          <w:rFonts w:ascii="Arial" w:hAnsi="Arial" w:cs="Arial"/>
          <w:i/>
        </w:rPr>
        <w:t>2019</w:t>
      </w:r>
      <w:r>
        <w:rPr>
          <w:rFonts w:ascii="Arial" w:hAnsi="Arial" w:cs="Arial"/>
          <w:i/>
        </w:rPr>
        <w:t xml:space="preserve"> r.</w:t>
      </w:r>
      <w:r w:rsidRPr="00725FA4">
        <w:rPr>
          <w:rFonts w:ascii="Arial" w:hAnsi="Arial" w:cs="Arial"/>
          <w:i/>
        </w:rPr>
        <w:t xml:space="preserve"> – 1012; </w:t>
      </w:r>
      <w:r>
        <w:rPr>
          <w:rFonts w:ascii="Arial" w:hAnsi="Arial" w:cs="Arial"/>
          <w:i/>
        </w:rPr>
        <w:t xml:space="preserve">w </w:t>
      </w:r>
      <w:r w:rsidRPr="00725FA4">
        <w:rPr>
          <w:rFonts w:ascii="Arial" w:hAnsi="Arial" w:cs="Arial"/>
          <w:i/>
        </w:rPr>
        <w:t>2020</w:t>
      </w:r>
      <w:r>
        <w:rPr>
          <w:rFonts w:ascii="Arial" w:hAnsi="Arial" w:cs="Arial"/>
          <w:i/>
        </w:rPr>
        <w:t xml:space="preserve"> r</w:t>
      </w:r>
      <w:bookmarkStart w:id="86" w:name="_Hlk119412540"/>
      <w:r>
        <w:rPr>
          <w:rFonts w:ascii="Arial" w:hAnsi="Arial" w:cs="Arial"/>
          <w:i/>
        </w:rPr>
        <w:t>.</w:t>
      </w:r>
      <w:r w:rsidRPr="00725FA4">
        <w:rPr>
          <w:rFonts w:ascii="Arial" w:hAnsi="Arial" w:cs="Arial"/>
          <w:i/>
        </w:rPr>
        <w:t xml:space="preserve"> –</w:t>
      </w:r>
      <w:bookmarkEnd w:id="86"/>
      <w:r w:rsidRPr="00725FA4">
        <w:rPr>
          <w:rFonts w:ascii="Arial" w:hAnsi="Arial" w:cs="Arial"/>
          <w:i/>
        </w:rPr>
        <w:t xml:space="preserve"> 1005</w:t>
      </w:r>
      <w:r w:rsidR="005A4E1F">
        <w:rPr>
          <w:rFonts w:ascii="Arial" w:hAnsi="Arial" w:cs="Arial"/>
          <w:i/>
        </w:rPr>
        <w:t>, w 2021</w:t>
      </w:r>
      <w:r w:rsidR="000D465C">
        <w:rPr>
          <w:rFonts w:ascii="Arial" w:hAnsi="Arial" w:cs="Arial"/>
          <w:i/>
        </w:rPr>
        <w:t xml:space="preserve"> r.</w:t>
      </w:r>
      <w:r w:rsidR="000D465C" w:rsidRPr="00725FA4">
        <w:rPr>
          <w:rFonts w:ascii="Arial" w:hAnsi="Arial" w:cs="Arial"/>
          <w:i/>
        </w:rPr>
        <w:t xml:space="preserve"> –</w:t>
      </w:r>
      <w:r w:rsidR="000D465C">
        <w:rPr>
          <w:rFonts w:ascii="Arial" w:hAnsi="Arial" w:cs="Arial"/>
          <w:i/>
        </w:rPr>
        <w:t xml:space="preserve"> </w:t>
      </w:r>
      <w:r w:rsidR="002A0788">
        <w:rPr>
          <w:rFonts w:ascii="Arial" w:hAnsi="Arial" w:cs="Arial"/>
          <w:i/>
        </w:rPr>
        <w:t>1</w:t>
      </w:r>
      <w:r w:rsidR="00CA4157">
        <w:rPr>
          <w:rFonts w:ascii="Arial" w:hAnsi="Arial" w:cs="Arial"/>
          <w:i/>
        </w:rPr>
        <w:t> </w:t>
      </w:r>
      <w:r w:rsidR="002A0788">
        <w:rPr>
          <w:rFonts w:ascii="Arial" w:hAnsi="Arial" w:cs="Arial"/>
          <w:i/>
        </w:rPr>
        <w:t>024</w:t>
      </w:r>
      <w:r w:rsidR="00CA4157">
        <w:rPr>
          <w:rFonts w:ascii="Arial" w:hAnsi="Arial" w:cs="Arial"/>
          <w:i/>
        </w:rPr>
        <w:t xml:space="preserve">, </w:t>
      </w:r>
      <w:r w:rsidR="00D16F90">
        <w:rPr>
          <w:rFonts w:ascii="Arial" w:hAnsi="Arial" w:cs="Arial"/>
          <w:i/>
        </w:rPr>
        <w:t xml:space="preserve">a </w:t>
      </w:r>
      <w:r w:rsidR="00CA4157">
        <w:rPr>
          <w:rFonts w:ascii="Arial" w:hAnsi="Arial" w:cs="Arial"/>
          <w:i/>
        </w:rPr>
        <w:t xml:space="preserve">w 2022 r. </w:t>
      </w:r>
      <w:r w:rsidR="00CA4157" w:rsidRPr="00725FA4">
        <w:rPr>
          <w:rFonts w:ascii="Arial" w:hAnsi="Arial" w:cs="Arial"/>
          <w:i/>
        </w:rPr>
        <w:t>–</w:t>
      </w:r>
      <w:r w:rsidR="00CA4157">
        <w:rPr>
          <w:rFonts w:ascii="Arial" w:hAnsi="Arial" w:cs="Arial"/>
          <w:i/>
        </w:rPr>
        <w:t xml:space="preserve"> </w:t>
      </w:r>
      <w:r w:rsidR="00B53D2A">
        <w:rPr>
          <w:rFonts w:ascii="Arial" w:hAnsi="Arial" w:cs="Arial"/>
          <w:i/>
        </w:rPr>
        <w:t>1 107</w:t>
      </w:r>
      <w:r w:rsidRPr="00725FA4">
        <w:rPr>
          <w:rFonts w:ascii="Arial" w:hAnsi="Arial" w:cs="Arial"/>
          <w:i/>
        </w:rPr>
        <w:t>)</w:t>
      </w:r>
      <w:r w:rsidRPr="00B83476">
        <w:rPr>
          <w:rFonts w:ascii="Arial" w:hAnsi="Arial" w:cs="Arial"/>
        </w:rPr>
        <w:t xml:space="preserve">, w których </w:t>
      </w:r>
      <w:r w:rsidRPr="00725FA4">
        <w:rPr>
          <w:rFonts w:ascii="Arial" w:hAnsi="Arial" w:cs="Arial"/>
        </w:rPr>
        <w:t xml:space="preserve">corocznie </w:t>
      </w:r>
      <w:r w:rsidRPr="00B83476">
        <w:rPr>
          <w:rFonts w:ascii="Arial" w:hAnsi="Arial" w:cs="Arial"/>
        </w:rPr>
        <w:t xml:space="preserve">sprawdzano wartość gospodarczą </w:t>
      </w:r>
      <w:r w:rsidRPr="00725FA4">
        <w:rPr>
          <w:rFonts w:ascii="Arial" w:hAnsi="Arial" w:cs="Arial"/>
          <w:b/>
        </w:rPr>
        <w:t>około 700</w:t>
      </w:r>
      <w:r w:rsidRPr="00B83476">
        <w:rPr>
          <w:rFonts w:ascii="Arial" w:hAnsi="Arial" w:cs="Arial"/>
          <w:b/>
        </w:rPr>
        <w:t xml:space="preserve"> odmian</w:t>
      </w:r>
      <w:r w:rsidRPr="00725FA4">
        <w:rPr>
          <w:rFonts w:ascii="Arial" w:hAnsi="Arial" w:cs="Arial"/>
          <w:b/>
        </w:rPr>
        <w:t xml:space="preserve"> </w:t>
      </w:r>
      <w:r w:rsidRPr="00725FA4">
        <w:rPr>
          <w:rFonts w:ascii="Arial" w:hAnsi="Arial" w:cs="Arial"/>
          <w:i/>
        </w:rPr>
        <w:t xml:space="preserve">(odpowiednio: </w:t>
      </w:r>
      <w:r>
        <w:rPr>
          <w:rFonts w:ascii="Arial" w:hAnsi="Arial" w:cs="Arial"/>
          <w:i/>
        </w:rPr>
        <w:t>w</w:t>
      </w:r>
      <w:r w:rsidR="00FE16B2">
        <w:rPr>
          <w:rFonts w:ascii="Arial" w:hAnsi="Arial" w:cs="Arial"/>
          <w:i/>
        </w:rPr>
        <w:t> </w:t>
      </w:r>
      <w:r w:rsidRPr="00725FA4">
        <w:rPr>
          <w:rFonts w:ascii="Arial" w:hAnsi="Arial" w:cs="Arial"/>
          <w:i/>
        </w:rPr>
        <w:t>2018</w:t>
      </w:r>
      <w:r>
        <w:rPr>
          <w:rFonts w:ascii="Arial" w:hAnsi="Arial" w:cs="Arial"/>
          <w:i/>
        </w:rPr>
        <w:t xml:space="preserve"> r.</w:t>
      </w:r>
      <w:r w:rsidRPr="00725FA4">
        <w:rPr>
          <w:rFonts w:ascii="Arial" w:hAnsi="Arial" w:cs="Arial"/>
          <w:i/>
        </w:rPr>
        <w:t xml:space="preserve"> – 792; </w:t>
      </w:r>
      <w:r>
        <w:rPr>
          <w:rFonts w:ascii="Arial" w:hAnsi="Arial" w:cs="Arial"/>
          <w:i/>
        </w:rPr>
        <w:t>w</w:t>
      </w:r>
      <w:r w:rsidR="006722E3">
        <w:rPr>
          <w:rFonts w:ascii="Arial" w:hAnsi="Arial" w:cs="Arial"/>
          <w:i/>
        </w:rPr>
        <w:t> </w:t>
      </w:r>
      <w:r w:rsidRPr="00725FA4">
        <w:rPr>
          <w:rFonts w:ascii="Arial" w:hAnsi="Arial" w:cs="Arial"/>
          <w:i/>
        </w:rPr>
        <w:t>2019</w:t>
      </w:r>
      <w:r w:rsidR="006722E3">
        <w:rPr>
          <w:rFonts w:ascii="Arial" w:hAnsi="Arial" w:cs="Arial"/>
          <w:i/>
        </w:rPr>
        <w:t> </w:t>
      </w:r>
      <w:r>
        <w:rPr>
          <w:rFonts w:ascii="Arial" w:hAnsi="Arial" w:cs="Arial"/>
          <w:i/>
        </w:rPr>
        <w:t>r.</w:t>
      </w:r>
      <w:r w:rsidRPr="00725FA4">
        <w:rPr>
          <w:rFonts w:ascii="Arial" w:hAnsi="Arial" w:cs="Arial"/>
          <w:i/>
        </w:rPr>
        <w:t xml:space="preserve"> – 733; </w:t>
      </w:r>
      <w:r>
        <w:rPr>
          <w:rFonts w:ascii="Arial" w:hAnsi="Arial" w:cs="Arial"/>
          <w:i/>
        </w:rPr>
        <w:t xml:space="preserve">w </w:t>
      </w:r>
      <w:r w:rsidRPr="00725FA4">
        <w:rPr>
          <w:rFonts w:ascii="Arial" w:hAnsi="Arial" w:cs="Arial"/>
          <w:i/>
        </w:rPr>
        <w:t>2020</w:t>
      </w:r>
      <w:r>
        <w:rPr>
          <w:rFonts w:ascii="Arial" w:hAnsi="Arial" w:cs="Arial"/>
          <w:i/>
        </w:rPr>
        <w:t xml:space="preserve"> r.</w:t>
      </w:r>
      <w:r w:rsidRPr="00725FA4">
        <w:rPr>
          <w:rFonts w:ascii="Arial" w:hAnsi="Arial" w:cs="Arial"/>
          <w:i/>
        </w:rPr>
        <w:t xml:space="preserve"> – 662</w:t>
      </w:r>
      <w:r w:rsidR="006722E3">
        <w:rPr>
          <w:rFonts w:ascii="Arial" w:hAnsi="Arial" w:cs="Arial"/>
          <w:i/>
        </w:rPr>
        <w:t>, w 2021 r.</w:t>
      </w:r>
      <w:r w:rsidR="006722E3" w:rsidRPr="00725FA4">
        <w:rPr>
          <w:rFonts w:ascii="Arial" w:hAnsi="Arial" w:cs="Arial"/>
          <w:i/>
        </w:rPr>
        <w:t xml:space="preserve"> –</w:t>
      </w:r>
      <w:r w:rsidR="006722E3">
        <w:rPr>
          <w:rFonts w:ascii="Arial" w:hAnsi="Arial" w:cs="Arial"/>
          <w:i/>
        </w:rPr>
        <w:t xml:space="preserve"> </w:t>
      </w:r>
      <w:r w:rsidR="006D7150">
        <w:rPr>
          <w:rFonts w:ascii="Arial" w:hAnsi="Arial" w:cs="Arial"/>
          <w:i/>
        </w:rPr>
        <w:t>732</w:t>
      </w:r>
      <w:r w:rsidR="00FE16B2">
        <w:rPr>
          <w:rFonts w:ascii="Arial" w:hAnsi="Arial" w:cs="Arial"/>
          <w:i/>
        </w:rPr>
        <w:t xml:space="preserve">, </w:t>
      </w:r>
      <w:r w:rsidR="00D16F90">
        <w:rPr>
          <w:rFonts w:ascii="Arial" w:hAnsi="Arial" w:cs="Arial"/>
          <w:i/>
        </w:rPr>
        <w:t xml:space="preserve">a </w:t>
      </w:r>
      <w:r w:rsidR="00FE16B2">
        <w:rPr>
          <w:rFonts w:ascii="Arial" w:hAnsi="Arial" w:cs="Arial"/>
          <w:i/>
        </w:rPr>
        <w:t>w 2022 r.</w:t>
      </w:r>
      <w:r w:rsidR="00253128" w:rsidRPr="00253128">
        <w:rPr>
          <w:rFonts w:ascii="Arial" w:hAnsi="Arial" w:cs="Arial"/>
          <w:i/>
        </w:rPr>
        <w:t xml:space="preserve"> </w:t>
      </w:r>
      <w:r w:rsidR="00253128" w:rsidRPr="00725FA4">
        <w:rPr>
          <w:rFonts w:ascii="Arial" w:hAnsi="Arial" w:cs="Arial"/>
          <w:i/>
        </w:rPr>
        <w:t>–</w:t>
      </w:r>
      <w:r w:rsidR="00253128">
        <w:rPr>
          <w:rFonts w:ascii="Arial" w:hAnsi="Arial" w:cs="Arial"/>
          <w:i/>
        </w:rPr>
        <w:t xml:space="preserve"> 718</w:t>
      </w:r>
      <w:r w:rsidRPr="00725FA4">
        <w:rPr>
          <w:rFonts w:ascii="Arial" w:hAnsi="Arial" w:cs="Arial"/>
          <w:i/>
        </w:rPr>
        <w:t>)</w:t>
      </w:r>
      <w:r w:rsidRPr="00B83476">
        <w:rPr>
          <w:rFonts w:ascii="Arial" w:hAnsi="Arial" w:cs="Arial"/>
        </w:rPr>
        <w:t>. W zdecydowanej</w:t>
      </w:r>
      <w:r w:rsidRPr="00925BCD">
        <w:rPr>
          <w:rFonts w:ascii="Arial" w:hAnsi="Arial" w:cs="Arial"/>
        </w:rPr>
        <w:t xml:space="preserve"> większości były to odmiany roślin rolniczych wpisane do Krajowego rejestru odmian. W kilkunastu gatunkach badania polowe poszerzone zostały o analizy chemiczne </w:t>
      </w:r>
      <w:r w:rsidR="00557F07" w:rsidRPr="00925BCD">
        <w:rPr>
          <w:rFonts w:ascii="Arial" w:hAnsi="Arial" w:cs="Arial"/>
        </w:rPr>
        <w:t>i</w:t>
      </w:r>
      <w:r w:rsidR="00557F07">
        <w:rPr>
          <w:rFonts w:ascii="Arial" w:hAnsi="Arial" w:cs="Arial"/>
        </w:rPr>
        <w:t> </w:t>
      </w:r>
      <w:r w:rsidRPr="00925BCD">
        <w:rPr>
          <w:rFonts w:ascii="Arial" w:hAnsi="Arial" w:cs="Arial"/>
        </w:rPr>
        <w:t xml:space="preserve">technologiczne materiału ze zbioru doświadczeń. </w:t>
      </w:r>
    </w:p>
    <w:p w14:paraId="7C97AC9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powyższych badań i doświadczeń PDO oraz LOZ publikowane były zarówno na poziomie centralnym jak i regionalnym (w poszczególnych województwach). Materiały te dostępne są zarówno w wersji papierowej jak i w formie elektronicznej. Publikacje papierowe centralne ukazują się w ramach trzech serii wydawniczych: </w:t>
      </w:r>
    </w:p>
    <w:p w14:paraId="61C50B39"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Wstępne wyniki plonowania odmian w doświadczeniach porejestrowych - wydawane są w krótkim terminie po zbiorach poszczególnych grup roślin i zawierają najczęściej jedynie wyniki plonowania odmian, </w:t>
      </w:r>
    </w:p>
    <w:p w14:paraId="5F4C78F9"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Wyniki porejestrowych doświadczeń odmianowych - wydawane w późniejszym terminie i zawierają wyniki z dwóch ostatnich sezonów wegetacyjnych wszystkich ważniejszych cech wartości gospodarczej odmian, w tym porażenie odmian przez ważniejsze patogeny.</w:t>
      </w:r>
    </w:p>
    <w:p w14:paraId="13C9DE8C"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Listy opisowe odmian – zawierające </w:t>
      </w:r>
      <w:r w:rsidRPr="00925BCD">
        <w:rPr>
          <w:rFonts w:ascii="Arial" w:hAnsi="Arial" w:cs="Arial"/>
          <w:color w:val="000000"/>
          <w:shd w:val="clear" w:color="auto" w:fill="FFFFFF"/>
        </w:rPr>
        <w:t>ogólne informacje o znaczeniu gospodarczym danej rośliny uprawnej oraz bardziej szczegółowe o odmianach wpisanych do krajowego rejestru, w tym charakterystyki liczbowe cech gospodarczych i użytkowych, a dla odmian nowo zarejestrowanych - dodatkowo opis słowny.</w:t>
      </w:r>
    </w:p>
    <w:p w14:paraId="1879CD5B" w14:textId="025332E4" w:rsidR="009837B4" w:rsidRDefault="00E54725"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Dodatkowo w 2018 r. z okazji przypadającego jubileuszu 20-lecia realizacji programu PDO opracowano „Wydawnictwo jubileuszowe z okazji XX-lecia Porejestrowego doświadczalnictwa (PDO) i rekomendacji odmian w Polsce (1998-2010)” oraz wydano znowelizowany „Informator Porejestrowe doświadczalnictwo odmianowe oraz rekomendacja odmian w Polsce”. W 2019 r., opublikowano „Listę odmian zalecanych do uprawy na obszarze województw</w:t>
      </w:r>
      <w:r w:rsidR="009837B4">
        <w:rPr>
          <w:rFonts w:ascii="Arial" w:hAnsi="Arial" w:cs="Arial"/>
        </w:rPr>
        <w:t>”</w:t>
      </w:r>
      <w:r w:rsidRPr="00925BCD">
        <w:rPr>
          <w:rFonts w:ascii="Arial" w:hAnsi="Arial" w:cs="Arial"/>
        </w:rPr>
        <w:t xml:space="preserve"> oraz w ramach tzw. „Inicjatywy białkowej COBORU”, której celem jest poszerzenie zakresu badań odmian roślin bobowatych grubonasiennych i</w:t>
      </w:r>
      <w:r w:rsidR="008752B6" w:rsidRPr="00925BCD">
        <w:rPr>
          <w:rFonts w:ascii="Arial" w:hAnsi="Arial" w:cs="Arial"/>
        </w:rPr>
        <w:t> </w:t>
      </w:r>
      <w:r w:rsidRPr="00925BCD">
        <w:rPr>
          <w:rFonts w:ascii="Arial" w:hAnsi="Arial" w:cs="Arial"/>
        </w:rPr>
        <w:t>soi, wydano: „Informator - Inicjatywa białkowa COBORU” oraz ulotkę „Wyniki doświadczeń odmianowych PDO. Rośliny bobowate grubonasienne i soja. 2017-2018”.</w:t>
      </w:r>
      <w:r w:rsidR="009837B4">
        <w:rPr>
          <w:rFonts w:ascii="Arial" w:hAnsi="Arial" w:cs="Arial"/>
        </w:rPr>
        <w:t xml:space="preserve"> </w:t>
      </w:r>
      <w:r w:rsidR="009837B4" w:rsidRPr="001371FC">
        <w:rPr>
          <w:rFonts w:ascii="Arial" w:hAnsi="Arial" w:cs="Arial"/>
        </w:rPr>
        <w:t xml:space="preserve">W 2020 r. wydano dla każdego województwa odrębnie ulotkę </w:t>
      </w:r>
      <w:r w:rsidR="009837B4" w:rsidRPr="00725FA4">
        <w:rPr>
          <w:rFonts w:ascii="Arial" w:hAnsi="Arial" w:cs="Arial"/>
        </w:rPr>
        <w:t>„Listy odmian zalecanych do uprawy na obszarze województw, którą</w:t>
      </w:r>
      <w:r w:rsidR="009837B4" w:rsidRPr="001371FC">
        <w:rPr>
          <w:rFonts w:ascii="Arial" w:hAnsi="Arial" w:cs="Arial"/>
        </w:rPr>
        <w:t xml:space="preserve"> we współpracy z MRiRW poprzez KRUS dostarczono wszystkim rolnikom zarejestrowanym w tej instytucji. Ponadto podobnie jak w </w:t>
      </w:r>
      <w:r w:rsidR="00EA109D">
        <w:rPr>
          <w:rFonts w:ascii="Arial" w:hAnsi="Arial" w:cs="Arial"/>
        </w:rPr>
        <w:t xml:space="preserve">roku </w:t>
      </w:r>
      <w:r w:rsidR="009837B4" w:rsidRPr="001371FC">
        <w:rPr>
          <w:rFonts w:ascii="Arial" w:hAnsi="Arial" w:cs="Arial"/>
        </w:rPr>
        <w:t xml:space="preserve">poprzednim w kilkutysięcznym nakładzie wydano broszurę </w:t>
      </w:r>
      <w:r w:rsidR="009837B4" w:rsidRPr="00725FA4">
        <w:rPr>
          <w:rFonts w:ascii="Arial" w:hAnsi="Arial" w:cs="Arial"/>
        </w:rPr>
        <w:t>„Listę odmian zalecanych do uprawy na obszarze województw. 2020”, ulotkę „Listę odmian zalecanych do</w:t>
      </w:r>
      <w:r w:rsidR="00DC7E4D">
        <w:rPr>
          <w:rFonts w:ascii="Arial" w:hAnsi="Arial" w:cs="Arial"/>
        </w:rPr>
        <w:t> </w:t>
      </w:r>
      <w:r w:rsidR="009837B4" w:rsidRPr="00725FA4">
        <w:rPr>
          <w:rFonts w:ascii="Arial" w:hAnsi="Arial" w:cs="Arial"/>
        </w:rPr>
        <w:t>uprawy na obszarze województw roślin bobowatych grubonasiennych i soi. 2020”, „Informator - Inicjatywa białkowa COBORU”, ulotkę „Wyniki doświadczeń odmianowych PDO. Rośliny bobowate grubonasienne i soja. 2017-2019”, ulotkę „Międzynarodowy Rok Zdrowia Roślin” oraz ulotkę opracowaną przez MRiRW  „Zacznij od nasion! To się opłaca”</w:t>
      </w:r>
      <w:r w:rsidR="009837B4" w:rsidRPr="000C6BBB">
        <w:rPr>
          <w:rFonts w:ascii="Arial" w:hAnsi="Arial" w:cs="Arial"/>
        </w:rPr>
        <w:t>.</w:t>
      </w:r>
    </w:p>
    <w:p w14:paraId="4CD40FA5" w14:textId="5F9585E6" w:rsidR="009727A8" w:rsidRDefault="00D20C4D" w:rsidP="009837B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Pr="00D20C4D">
        <w:rPr>
          <w:rFonts w:ascii="Arial" w:hAnsi="Arial" w:cs="Arial"/>
        </w:rPr>
        <w:t xml:space="preserve"> </w:t>
      </w:r>
      <w:r w:rsidR="000B1FE8" w:rsidRPr="00D20C4D">
        <w:rPr>
          <w:rFonts w:ascii="Arial" w:hAnsi="Arial" w:cs="Arial"/>
        </w:rPr>
        <w:t>2021</w:t>
      </w:r>
      <w:r w:rsidR="000B1FE8">
        <w:rPr>
          <w:rFonts w:ascii="Arial" w:hAnsi="Arial" w:cs="Arial"/>
        </w:rPr>
        <w:t> </w:t>
      </w:r>
      <w:r w:rsidRPr="00D20C4D">
        <w:rPr>
          <w:rFonts w:ascii="Arial" w:hAnsi="Arial" w:cs="Arial"/>
        </w:rPr>
        <w:t>r., dzięki inicjatywie MRiRW, Kasa Rolniczego Ubezpieczenia Społecznego (KRUS) dołączyła do cokwartalnej pocztowej korespondencji z rolnikami opracowane dla każdego województwa jednokartkowe ulotki zawierające „Listę odmian zalecanych do uprawy na obszarze województwa”. Łącznie do rolników wysłano blisko 900 tys. ulotek. W ramach „Inicjatywy białkowej COBORU” i promocji uprawy w naszym kraju roślin bobowatych grubonasiennych i soi, wydano też trzy ulotki w nakładzie po 1000 szt. Były to ulotki: „Inicjatywa Białkowa COBORU”, „Listy odmian zalecanych do uprawy na obszarze województw. Rośliny bobowate grubonasienne i soja. 2021”, „Wyniki doświadczeń odmianowych. Soja i rośliny bobowate grubonasienne 2018-2020”. Dodatkowo opracowano i wydano w takim samym nakładzie ulotkę „Zaufaj odmianom z LOZ” oraz dodrukowano ulotkę z roku poprzedniego: „Zacznij od nasion. To się opłaca”.</w:t>
      </w:r>
      <w:r w:rsidR="00E1574C">
        <w:rPr>
          <w:rFonts w:ascii="Arial" w:hAnsi="Arial" w:cs="Arial"/>
        </w:rPr>
        <w:t xml:space="preserve"> </w:t>
      </w:r>
      <w:r w:rsidR="003179CD">
        <w:rPr>
          <w:rFonts w:ascii="Arial" w:hAnsi="Arial" w:cs="Arial"/>
        </w:rPr>
        <w:t>P</w:t>
      </w:r>
      <w:r w:rsidR="003179CD" w:rsidRPr="003179CD">
        <w:rPr>
          <w:rFonts w:ascii="Arial" w:hAnsi="Arial" w:cs="Arial"/>
        </w:rPr>
        <w:t>odobnie jak w latach poprzednich, opracowano i</w:t>
      </w:r>
      <w:r w:rsidR="00625E40">
        <w:rPr>
          <w:rFonts w:ascii="Arial" w:hAnsi="Arial" w:cs="Arial"/>
        </w:rPr>
        <w:t> </w:t>
      </w:r>
      <w:r w:rsidR="003179CD" w:rsidRPr="003179CD">
        <w:rPr>
          <w:rFonts w:ascii="Arial" w:hAnsi="Arial" w:cs="Arial"/>
        </w:rPr>
        <w:t xml:space="preserve">opublikowano również w nakładzie 1500 szt. broszurę „Listy odmian zalecanych do uprawy na obszarze województw. 2021”, zawierającą kompilację wykazów odmian rekomendowanych na </w:t>
      </w:r>
      <w:r w:rsidR="00375D07" w:rsidRPr="003179CD">
        <w:rPr>
          <w:rFonts w:ascii="Arial" w:hAnsi="Arial" w:cs="Arial"/>
        </w:rPr>
        <w:t>2021</w:t>
      </w:r>
      <w:r w:rsidR="00375D07">
        <w:rPr>
          <w:rFonts w:ascii="Arial" w:hAnsi="Arial" w:cs="Arial"/>
        </w:rPr>
        <w:t> </w:t>
      </w:r>
      <w:r w:rsidR="003179CD" w:rsidRPr="003179CD">
        <w:rPr>
          <w:rFonts w:ascii="Arial" w:hAnsi="Arial" w:cs="Arial"/>
        </w:rPr>
        <w:t>r</w:t>
      </w:r>
      <w:r w:rsidR="00625E40">
        <w:rPr>
          <w:rFonts w:ascii="Arial" w:hAnsi="Arial" w:cs="Arial"/>
        </w:rPr>
        <w:t>.</w:t>
      </w:r>
      <w:r w:rsidR="003179CD" w:rsidRPr="003179CD">
        <w:rPr>
          <w:rFonts w:ascii="Arial" w:hAnsi="Arial" w:cs="Arial"/>
        </w:rPr>
        <w:t xml:space="preserve"> w poszczególnych województwach.</w:t>
      </w:r>
    </w:p>
    <w:p w14:paraId="17EE6800" w14:textId="3E1C5F57" w:rsidR="004E1DF3" w:rsidRDefault="004E1DF3" w:rsidP="004E1DF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2022</w:t>
      </w:r>
      <w:r w:rsidR="00D63B4D">
        <w:rPr>
          <w:rFonts w:ascii="Arial" w:hAnsi="Arial" w:cs="Arial"/>
        </w:rPr>
        <w:t> </w:t>
      </w:r>
      <w:r>
        <w:rPr>
          <w:rFonts w:ascii="Arial" w:hAnsi="Arial" w:cs="Arial"/>
        </w:rPr>
        <w:t>r., podobnie jak rok wcześniej, również opracowano dla każdego województwa jednokartkowe ulotki zawierające „Listę odmian zalecanych do uprawy na obszarze województwa”, przy czym ich nakład wynosił po 2</w:t>
      </w:r>
      <w:r w:rsidR="00D63B4D">
        <w:rPr>
          <w:rFonts w:ascii="Arial" w:hAnsi="Arial" w:cs="Arial"/>
        </w:rPr>
        <w:t> </w:t>
      </w:r>
      <w:r>
        <w:rPr>
          <w:rFonts w:ascii="Arial" w:hAnsi="Arial" w:cs="Arial"/>
        </w:rPr>
        <w:t>000 szt. dla każdego województwa, a ich dystrybucją wśród rolników zajęły się głównie stacje doświadczalne oceny odmian. W ramach „Inicjatywy białkowej COBORU” i promocji uprawy w naszym kraju roślin bobowatych grubonasiennych i soi, wydano też trzy ulotki w nakładzie po 1</w:t>
      </w:r>
      <w:r w:rsidR="00750244">
        <w:rPr>
          <w:rFonts w:ascii="Arial" w:hAnsi="Arial" w:cs="Arial"/>
        </w:rPr>
        <w:t> </w:t>
      </w:r>
      <w:r>
        <w:rPr>
          <w:rFonts w:ascii="Arial" w:hAnsi="Arial" w:cs="Arial"/>
        </w:rPr>
        <w:t>000 szt. Były to ulotki: „Inicjatywa Białkowa COBORU”, „Listy odmian zalecanych do uprawy na obszarze województw. Rośliny bobowate grubonasienne i soja. 2022”, „Wyniki doświadczeń odmianowych. Soja i rośliny bobowate grubonasienne 2019-2021”. Dodatkowo opracowano i wydano w takim samym nakładzie ulotkę „Ekologiczne Doświadczalnictwo Odmianowe” oraz dodrukowano ulotki z roku poprzedniego: „Zaufaj odmianom z LOZ” i „Zacznij od nasion. To się opłaca”. Podobnie jak w latach poprzednich, opracowano i opublikowano również w nakładzie 1</w:t>
      </w:r>
      <w:r w:rsidR="00992A6B">
        <w:rPr>
          <w:rFonts w:ascii="Arial" w:hAnsi="Arial" w:cs="Arial"/>
        </w:rPr>
        <w:t> </w:t>
      </w:r>
      <w:r>
        <w:rPr>
          <w:rFonts w:ascii="Arial" w:hAnsi="Arial" w:cs="Arial"/>
        </w:rPr>
        <w:t xml:space="preserve">500 szt. broszurę „Listy </w:t>
      </w:r>
      <w:r>
        <w:rPr>
          <w:rFonts w:ascii="Arial" w:hAnsi="Arial" w:cs="Arial"/>
        </w:rPr>
        <w:lastRenderedPageBreak/>
        <w:t>odmian zalecanych do uprawy na obszarze województw. 2022”, zawierającą kompilację wykazów odmian rekomendowanych na 2022 r. w poszczególnych województwach.</w:t>
      </w:r>
    </w:p>
    <w:p w14:paraId="1D129488" w14:textId="3F1A8E69"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0C6BBB">
        <w:rPr>
          <w:rFonts w:ascii="Arial" w:hAnsi="Arial" w:cs="Arial"/>
        </w:rPr>
        <w:t xml:space="preserve">W </w:t>
      </w:r>
      <w:r w:rsidRPr="00725FA4">
        <w:rPr>
          <w:rFonts w:ascii="Arial" w:hAnsi="Arial" w:cs="Arial"/>
        </w:rPr>
        <w:t xml:space="preserve">latach </w:t>
      </w:r>
      <w:r w:rsidRPr="000C6BBB">
        <w:rPr>
          <w:rFonts w:ascii="Arial" w:hAnsi="Arial" w:cs="Arial"/>
        </w:rPr>
        <w:t>2018</w:t>
      </w:r>
      <w:r w:rsidR="00481DDD" w:rsidRPr="00772A61">
        <w:rPr>
          <w:rFonts w:ascii="Arial" w:hAnsi="Arial" w:cs="Arial"/>
        </w:rPr>
        <w:t>–</w:t>
      </w:r>
      <w:r w:rsidRPr="00725FA4">
        <w:rPr>
          <w:rFonts w:ascii="Arial" w:hAnsi="Arial" w:cs="Arial"/>
        </w:rPr>
        <w:t>202</w:t>
      </w:r>
      <w:r w:rsidR="00C9737A">
        <w:rPr>
          <w:rFonts w:ascii="Arial" w:hAnsi="Arial" w:cs="Arial"/>
        </w:rPr>
        <w:t>2</w:t>
      </w:r>
      <w:r w:rsidRPr="00725FA4">
        <w:rPr>
          <w:rFonts w:ascii="Arial" w:hAnsi="Arial" w:cs="Arial"/>
        </w:rPr>
        <w:t xml:space="preserve">, corocznie, </w:t>
      </w:r>
      <w:r w:rsidRPr="000C6BBB">
        <w:rPr>
          <w:rFonts w:ascii="Arial" w:hAnsi="Arial" w:cs="Arial"/>
        </w:rPr>
        <w:t>ukaz</w:t>
      </w:r>
      <w:r w:rsidRPr="00725FA4">
        <w:rPr>
          <w:rFonts w:ascii="Arial" w:hAnsi="Arial" w:cs="Arial"/>
        </w:rPr>
        <w:t>ywało</w:t>
      </w:r>
      <w:r w:rsidRPr="000C6BBB">
        <w:rPr>
          <w:rFonts w:ascii="Arial" w:hAnsi="Arial" w:cs="Arial"/>
        </w:rPr>
        <w:t xml:space="preserve"> się ponad </w:t>
      </w:r>
      <w:r w:rsidR="00C9737A">
        <w:rPr>
          <w:rFonts w:ascii="Arial" w:hAnsi="Arial" w:cs="Arial"/>
        </w:rPr>
        <w:t>4</w:t>
      </w:r>
      <w:r w:rsidRPr="000C6BBB">
        <w:rPr>
          <w:rFonts w:ascii="Arial" w:hAnsi="Arial" w:cs="Arial"/>
        </w:rPr>
        <w:t xml:space="preserve">0 centralnych publikacji </w:t>
      </w:r>
      <w:r w:rsidRPr="00725FA4">
        <w:rPr>
          <w:rFonts w:ascii="Arial" w:hAnsi="Arial" w:cs="Arial"/>
        </w:rPr>
        <w:t xml:space="preserve">zawierających wyniki doświadczeń prowadzonych w ramach </w:t>
      </w:r>
      <w:r w:rsidRPr="000C6BBB">
        <w:rPr>
          <w:rFonts w:ascii="Arial" w:hAnsi="Arial" w:cs="Arial"/>
        </w:rPr>
        <w:t>PDO</w:t>
      </w:r>
      <w:r w:rsidRPr="00725FA4">
        <w:rPr>
          <w:rFonts w:ascii="Arial" w:hAnsi="Arial" w:cs="Arial"/>
        </w:rPr>
        <w:t>,</w:t>
      </w:r>
      <w:r w:rsidRPr="000C6BBB">
        <w:rPr>
          <w:rFonts w:ascii="Arial" w:hAnsi="Arial" w:cs="Arial"/>
        </w:rPr>
        <w:t xml:space="preserve"> wydawanych w nakładzie około </w:t>
      </w:r>
      <w:r w:rsidRPr="00725FA4">
        <w:rPr>
          <w:rFonts w:ascii="Arial" w:hAnsi="Arial" w:cs="Arial"/>
        </w:rPr>
        <w:t>300-</w:t>
      </w:r>
      <w:r w:rsidRPr="000C6BBB">
        <w:rPr>
          <w:rFonts w:ascii="Arial" w:hAnsi="Arial" w:cs="Arial"/>
        </w:rPr>
        <w:t xml:space="preserve">500 szt. Pracownicy COBORU upowszechniali wyniki doświadczeń także na łamach ogólnokrajowej prasy rolniczej (m.in. „Agrotechnika”, „Nowoczesna Uprawa”, „Top Agrar Polska”, „Raport Rolny”, „AgroProfil”, „AgroSerwis”, „Przedsiębiorca Rolny”, „Ziemniak Polski”, „Zagroda”, „Nasz rzepak”, „Poradnik plantatora buraka cukrowego”, „Burak cukrowy”, „Warzywa i owoce miękkie”, „Warzywa” itp.) oraz w wydawnictwach naukowych. </w:t>
      </w:r>
      <w:r w:rsidRPr="00725FA4">
        <w:rPr>
          <w:rFonts w:ascii="Arial" w:hAnsi="Arial" w:cs="Arial"/>
        </w:rPr>
        <w:t>C</w:t>
      </w:r>
      <w:r w:rsidRPr="000C6BBB">
        <w:rPr>
          <w:rFonts w:ascii="Arial" w:hAnsi="Arial" w:cs="Arial"/>
        </w:rPr>
        <w:t>o</w:t>
      </w:r>
      <w:r w:rsidRPr="00725FA4">
        <w:rPr>
          <w:rFonts w:ascii="Arial" w:hAnsi="Arial" w:cs="Arial"/>
        </w:rPr>
        <w:t>ro</w:t>
      </w:r>
      <w:r w:rsidRPr="000C6BBB">
        <w:rPr>
          <w:rFonts w:ascii="Arial" w:hAnsi="Arial" w:cs="Arial"/>
        </w:rPr>
        <w:t>cznie ukaz</w:t>
      </w:r>
      <w:r w:rsidRPr="00725FA4">
        <w:rPr>
          <w:rFonts w:ascii="Arial" w:hAnsi="Arial" w:cs="Arial"/>
        </w:rPr>
        <w:t>uje</w:t>
      </w:r>
      <w:r w:rsidRPr="000C6BBB">
        <w:rPr>
          <w:rFonts w:ascii="Arial" w:hAnsi="Arial" w:cs="Arial"/>
        </w:rPr>
        <w:t xml:space="preserve"> się </w:t>
      </w:r>
      <w:r w:rsidRPr="00725FA4">
        <w:rPr>
          <w:rFonts w:ascii="Arial" w:hAnsi="Arial" w:cs="Arial"/>
        </w:rPr>
        <w:t>ponad</w:t>
      </w:r>
      <w:r w:rsidRPr="000C6BBB">
        <w:rPr>
          <w:rFonts w:ascii="Arial" w:hAnsi="Arial" w:cs="Arial"/>
        </w:rPr>
        <w:t xml:space="preserve"> 1</w:t>
      </w:r>
      <w:r w:rsidRPr="00725FA4">
        <w:rPr>
          <w:rFonts w:ascii="Arial" w:hAnsi="Arial" w:cs="Arial"/>
        </w:rPr>
        <w:t>0</w:t>
      </w:r>
      <w:r w:rsidRPr="000C6BBB">
        <w:rPr>
          <w:rFonts w:ascii="Arial" w:hAnsi="Arial" w:cs="Arial"/>
        </w:rPr>
        <w:t xml:space="preserve">0 </w:t>
      </w:r>
      <w:r w:rsidRPr="00725FA4">
        <w:rPr>
          <w:rFonts w:ascii="Arial" w:hAnsi="Arial" w:cs="Arial"/>
        </w:rPr>
        <w:t xml:space="preserve">tego typu </w:t>
      </w:r>
      <w:r w:rsidRPr="000C6BBB">
        <w:rPr>
          <w:rFonts w:ascii="Arial" w:hAnsi="Arial" w:cs="Arial"/>
        </w:rPr>
        <w:t>artykułów i opracowań.</w:t>
      </w:r>
      <w:r w:rsidRPr="00925BCD">
        <w:rPr>
          <w:rFonts w:ascii="Arial" w:hAnsi="Arial" w:cs="Arial"/>
        </w:rPr>
        <w:t xml:space="preserve"> </w:t>
      </w:r>
    </w:p>
    <w:p w14:paraId="2B6182EC" w14:textId="1B3A58E6" w:rsidR="009837B4"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we wszystkich województwach, </w:t>
      </w:r>
      <w:r>
        <w:rPr>
          <w:rFonts w:ascii="Arial" w:hAnsi="Arial" w:cs="Arial"/>
        </w:rPr>
        <w:t xml:space="preserve">corocznie, </w:t>
      </w:r>
      <w:r w:rsidRPr="00925BCD">
        <w:rPr>
          <w:rFonts w:ascii="Arial" w:hAnsi="Arial" w:cs="Arial"/>
        </w:rPr>
        <w:t>w pierwszy</w:t>
      </w:r>
      <w:r>
        <w:rPr>
          <w:rFonts w:ascii="Arial" w:hAnsi="Arial" w:cs="Arial"/>
        </w:rPr>
        <w:t>m kwartale</w:t>
      </w:r>
      <w:r w:rsidRPr="00925BCD">
        <w:rPr>
          <w:rFonts w:ascii="Arial" w:hAnsi="Arial" w:cs="Arial"/>
        </w:rPr>
        <w:t xml:space="preserve"> opracow</w:t>
      </w:r>
      <w:r>
        <w:rPr>
          <w:rFonts w:ascii="Arial" w:hAnsi="Arial" w:cs="Arial"/>
        </w:rPr>
        <w:t>ywane</w:t>
      </w:r>
      <w:r w:rsidRPr="00925BCD">
        <w:rPr>
          <w:rFonts w:ascii="Arial" w:hAnsi="Arial" w:cs="Arial"/>
        </w:rPr>
        <w:t xml:space="preserve"> </w:t>
      </w:r>
      <w:r w:rsidR="00557F07" w:rsidRPr="00925BCD">
        <w:rPr>
          <w:rFonts w:ascii="Arial" w:hAnsi="Arial" w:cs="Arial"/>
        </w:rPr>
        <w:t>i</w:t>
      </w:r>
      <w:r w:rsidR="00557F07">
        <w:rPr>
          <w:rFonts w:ascii="Arial" w:hAnsi="Arial" w:cs="Arial"/>
        </w:rPr>
        <w:t> </w:t>
      </w:r>
      <w:r w:rsidRPr="00925BCD">
        <w:rPr>
          <w:rFonts w:ascii="Arial" w:hAnsi="Arial" w:cs="Arial"/>
        </w:rPr>
        <w:t>publikowan</w:t>
      </w:r>
      <w:r>
        <w:rPr>
          <w:rFonts w:ascii="Arial" w:hAnsi="Arial" w:cs="Arial"/>
        </w:rPr>
        <w:t>e</w:t>
      </w:r>
      <w:r w:rsidRPr="00925BCD">
        <w:rPr>
          <w:rFonts w:ascii="Arial" w:hAnsi="Arial" w:cs="Arial"/>
        </w:rPr>
        <w:t xml:space="preserve"> </w:t>
      </w:r>
      <w:r>
        <w:rPr>
          <w:rFonts w:ascii="Arial" w:hAnsi="Arial" w:cs="Arial"/>
        </w:rPr>
        <w:t xml:space="preserve">są </w:t>
      </w:r>
      <w:r w:rsidRPr="00925BCD">
        <w:rPr>
          <w:rFonts w:ascii="Arial" w:hAnsi="Arial" w:cs="Arial"/>
        </w:rPr>
        <w:t>biuletyny zawierające wyniki doświadczeń przeprowadzonych w poprzednim sezonie doświadczalnym oraz ulotki zawierające listy odmian zalecanych na obszarze województw</w:t>
      </w:r>
      <w:r>
        <w:rPr>
          <w:rFonts w:ascii="Arial" w:hAnsi="Arial" w:cs="Arial"/>
        </w:rPr>
        <w:t xml:space="preserve"> na dany rok</w:t>
      </w:r>
      <w:r w:rsidRPr="00925BCD">
        <w:rPr>
          <w:rFonts w:ascii="Arial" w:hAnsi="Arial" w:cs="Arial"/>
        </w:rPr>
        <w:t>, natomiast jesienią</w:t>
      </w:r>
      <w:r>
        <w:rPr>
          <w:rFonts w:ascii="Arial" w:hAnsi="Arial" w:cs="Arial"/>
        </w:rPr>
        <w:t>,</w:t>
      </w:r>
      <w:r w:rsidRPr="00925BCD">
        <w:rPr>
          <w:rFonts w:ascii="Arial" w:hAnsi="Arial" w:cs="Arial"/>
        </w:rPr>
        <w:t xml:space="preserve"> </w:t>
      </w:r>
      <w:r>
        <w:rPr>
          <w:rFonts w:ascii="Arial" w:hAnsi="Arial" w:cs="Arial"/>
        </w:rPr>
        <w:t xml:space="preserve">po zbiorze doświadczeń, </w:t>
      </w:r>
      <w:r w:rsidRPr="00925BCD">
        <w:rPr>
          <w:rFonts w:ascii="Arial" w:hAnsi="Arial" w:cs="Arial"/>
        </w:rPr>
        <w:t>w części województw wyda</w:t>
      </w:r>
      <w:r>
        <w:rPr>
          <w:rFonts w:ascii="Arial" w:hAnsi="Arial" w:cs="Arial"/>
        </w:rPr>
        <w:t>wane są</w:t>
      </w:r>
      <w:r w:rsidRPr="00925BCD">
        <w:rPr>
          <w:rFonts w:ascii="Arial" w:hAnsi="Arial" w:cs="Arial"/>
        </w:rPr>
        <w:t xml:space="preserve"> broszury lub ulotki zawierające </w:t>
      </w:r>
      <w:r>
        <w:rPr>
          <w:rFonts w:ascii="Arial" w:hAnsi="Arial" w:cs="Arial"/>
        </w:rPr>
        <w:t xml:space="preserve">aktualne </w:t>
      </w:r>
      <w:r w:rsidRPr="00925BCD">
        <w:rPr>
          <w:rFonts w:ascii="Arial" w:hAnsi="Arial" w:cs="Arial"/>
        </w:rPr>
        <w:t xml:space="preserve">wyniki doświadczeń. Powyższe publikacje wydane były najczęściej samodzielnie przez stacje doświadczalne oceny odmian, a w przypadku wyników doświadczeń PDO lub list odmian zalecanych do uprawy - we współpracy z innymi jednostkami, głównie partnerami ustawowymi </w:t>
      </w:r>
      <w:r w:rsidR="00557F07" w:rsidRPr="00925BCD">
        <w:rPr>
          <w:rFonts w:ascii="Arial" w:hAnsi="Arial" w:cs="Arial"/>
        </w:rPr>
        <w:t>w</w:t>
      </w:r>
      <w:r w:rsidR="00557F07">
        <w:rPr>
          <w:rFonts w:ascii="Arial" w:hAnsi="Arial" w:cs="Arial"/>
        </w:rPr>
        <w:t> </w:t>
      </w:r>
      <w:r w:rsidRPr="00925BCD">
        <w:rPr>
          <w:rFonts w:ascii="Arial" w:hAnsi="Arial" w:cs="Arial"/>
        </w:rPr>
        <w:t xml:space="preserve">zakresie PDO. Te ostatnie publikacje ukazały się </w:t>
      </w:r>
      <w:r>
        <w:rPr>
          <w:rFonts w:ascii="Arial" w:hAnsi="Arial" w:cs="Arial"/>
        </w:rPr>
        <w:t xml:space="preserve">corocznie </w:t>
      </w:r>
      <w:r w:rsidRPr="00925BCD">
        <w:rPr>
          <w:rFonts w:ascii="Arial" w:hAnsi="Arial" w:cs="Arial"/>
        </w:rPr>
        <w:t xml:space="preserve">najczęściej w nakładzie 500-1000 egzemplarzy. </w:t>
      </w:r>
    </w:p>
    <w:p w14:paraId="02C3B3F6" w14:textId="368B69B3" w:rsidR="00855194" w:rsidRDefault="00F12255" w:rsidP="009837B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Od sierpnia 2012</w:t>
      </w:r>
      <w:r w:rsidR="00512F27">
        <w:rPr>
          <w:rFonts w:ascii="Arial" w:hAnsi="Arial" w:cs="Arial"/>
        </w:rPr>
        <w:t> </w:t>
      </w:r>
      <w:r>
        <w:rPr>
          <w:rFonts w:ascii="Arial" w:hAnsi="Arial" w:cs="Arial"/>
        </w:rPr>
        <w:t xml:space="preserve">r. na stronie internetowej COBORU </w:t>
      </w:r>
      <w:hyperlink r:id="rId39" w:history="1">
        <w:r>
          <w:rPr>
            <w:rStyle w:val="Hipercze"/>
            <w:rFonts w:ascii="Arial" w:eastAsia="Microsoft YaHei" w:hAnsi="Arial" w:cs="Arial"/>
          </w:rPr>
          <w:t>www.coboru.gov.pl</w:t>
        </w:r>
      </w:hyperlink>
      <w:r>
        <w:rPr>
          <w:rFonts w:ascii="Arial" w:hAnsi="Arial" w:cs="Arial"/>
        </w:rPr>
        <w:t xml:space="preserve"> dostępna aplikacja „Porejestrowe Doświadczalnictwo Odmianowe i Rekomendacja odmian”</w:t>
      </w:r>
      <w:r w:rsidR="00E03B1C">
        <w:rPr>
          <w:rFonts w:ascii="Arial" w:hAnsi="Arial" w:cs="Arial"/>
        </w:rPr>
        <w:t>.</w:t>
      </w:r>
    </w:p>
    <w:p w14:paraId="13638391" w14:textId="4A560D1A" w:rsidR="00625B69" w:rsidRDefault="00625B69" w:rsidP="00E03B1C">
      <w:pPr>
        <w:pStyle w:val="NormalnyWeb"/>
        <w:tabs>
          <w:tab w:val="left" w:pos="284"/>
        </w:tabs>
        <w:spacing w:beforeAutospacing="0" w:after="120" w:afterAutospacing="0" w:line="360" w:lineRule="auto"/>
        <w:ind w:firstLine="284"/>
        <w:jc w:val="center"/>
        <w:rPr>
          <w:rFonts w:ascii="Arial" w:hAnsi="Arial" w:cs="Arial"/>
        </w:rPr>
      </w:pPr>
      <w:r>
        <w:rPr>
          <w:noProof/>
        </w:rPr>
        <w:drawing>
          <wp:inline distT="0" distB="0" distL="0" distR="0" wp14:anchorId="62416B18" wp14:editId="199EDE4D">
            <wp:extent cx="5098586" cy="1117986"/>
            <wp:effectExtent l="19050" t="19050" r="26035" b="25400"/>
            <wp:docPr id="1253873646" name="Obraz 125387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rotWithShape="1">
                    <a:blip r:embed="rId40"/>
                    <a:srcRect l="10472" t="35861" r="10604" b="33372"/>
                    <a:stretch/>
                  </pic:blipFill>
                  <pic:spPr bwMode="auto">
                    <a:xfrm>
                      <a:off x="0" y="0"/>
                      <a:ext cx="5121196" cy="11229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6FBBE6" w14:textId="7D29395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Aplikacja ta została zaprojektowana dla rolników, jako system wspomagania decyzji przy doborze odmian do uprawy</w:t>
      </w:r>
      <w:r w:rsidR="00C02719">
        <w:rPr>
          <w:rFonts w:ascii="Arial" w:hAnsi="Arial" w:cs="Arial"/>
        </w:rPr>
        <w:t>,</w:t>
      </w:r>
      <w:r w:rsidRPr="00925BCD">
        <w:rPr>
          <w:rFonts w:ascii="Arial" w:hAnsi="Arial" w:cs="Arial"/>
        </w:rPr>
        <w:t xml:space="preserve"> umożliwia dostęp do:</w:t>
      </w:r>
    </w:p>
    <w:p w14:paraId="188839A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informacji dotyczących funkcjonowania systemu porejestrowego doświadczalnictwa odmianowego w Polsce,</w:t>
      </w:r>
    </w:p>
    <w:p w14:paraId="3D188001"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„List odmian zalecanych do uprawy na obszarze województwa” w poszczególnych gatunkach i w każdym z województw,</w:t>
      </w:r>
    </w:p>
    <w:p w14:paraId="6FF37303"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wyników doświadczeń PDO (wszystkie publikacje centralne i regionalne),</w:t>
      </w:r>
    </w:p>
    <w:p w14:paraId="69903352"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aplikacji „Charakterystyka odmian” – która umożliwia wybranie charakterystyki wartości gospodarczej danej odmiany, sporządzonej w oparciu o ogólnokrajowe wyniki badań oraz wyszukanie danych dotyczących roku jej wpisania do Krajowego rejestru, nazwy hodowcy, pełnomocnika i zachowującego odmianę, a także w jakich województwach jest ona rekomendowana,</w:t>
      </w:r>
    </w:p>
    <w:p w14:paraId="5C0DCD18"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lastRenderedPageBreak/>
        <w:t>aplikacji „Porównanie odmian pod względem wybranych cech”, pomocnej przy dokonywaniu wyboru odmian do uprawy,</w:t>
      </w:r>
    </w:p>
    <w:p w14:paraId="1881F8AC"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wyników doświadczeń z odmianami roślin ogrodniczych prowadzonych przez COBORU w ramach systemem PDO. </w:t>
      </w:r>
    </w:p>
    <w:p w14:paraId="4D2DA7F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Dostęp do aplikacji możliwy jest również ze stron internetowych izb rolniczych i ośrodków doradztwa rolniczego oraz niektórych urzędów marszałkowskich, a od 2016 r. także z Platformy Sygnalizacji Agrofagów.</w:t>
      </w:r>
    </w:p>
    <w:p w14:paraId="0F19A2EA" w14:textId="37425AE9"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związana z realizacją systemu PDO, wyniki doświadczeń oraz integrowana ochrona roślin była szeroko prezentowana </w:t>
      </w:r>
      <w:r w:rsidRPr="005773A2">
        <w:rPr>
          <w:rFonts w:ascii="Arial" w:hAnsi="Arial" w:cs="Arial"/>
        </w:rPr>
        <w:t xml:space="preserve">na wielu imprezach organizowanych przez centralę COBORU i stacje doświadczalne oceny odmian. Przedstawiciele centrali COBORU jak i stacji doświadczalnych oceny </w:t>
      </w:r>
      <w:r w:rsidRPr="009D025A">
        <w:rPr>
          <w:rFonts w:ascii="Arial" w:hAnsi="Arial" w:cs="Arial"/>
        </w:rPr>
        <w:t xml:space="preserve">odmian na różnego rodzaju szkoleniach wygłosili </w:t>
      </w:r>
      <w:r w:rsidRPr="00725FA4">
        <w:rPr>
          <w:rFonts w:ascii="Arial" w:hAnsi="Arial" w:cs="Arial"/>
        </w:rPr>
        <w:t xml:space="preserve">w </w:t>
      </w:r>
      <w:r w:rsidR="0003479C">
        <w:rPr>
          <w:rFonts w:ascii="Arial" w:hAnsi="Arial" w:cs="Arial"/>
        </w:rPr>
        <w:t>czteroleciu</w:t>
      </w:r>
      <w:r w:rsidRPr="00725FA4">
        <w:rPr>
          <w:rFonts w:ascii="Arial" w:hAnsi="Arial" w:cs="Arial"/>
        </w:rPr>
        <w:t xml:space="preserve"> sprawozdawczym łącznie </w:t>
      </w:r>
      <w:r w:rsidR="007E431C">
        <w:rPr>
          <w:rFonts w:ascii="Arial" w:hAnsi="Arial" w:cs="Arial"/>
        </w:rPr>
        <w:t>626</w:t>
      </w:r>
      <w:r w:rsidRPr="00725FA4">
        <w:rPr>
          <w:rFonts w:ascii="Arial" w:hAnsi="Arial" w:cs="Arial"/>
        </w:rPr>
        <w:t xml:space="preserve"> prelekcj</w:t>
      </w:r>
      <w:r w:rsidR="00355CE6">
        <w:rPr>
          <w:rFonts w:ascii="Arial" w:hAnsi="Arial" w:cs="Arial"/>
        </w:rPr>
        <w:t>i</w:t>
      </w:r>
      <w:r w:rsidRPr="00725FA4">
        <w:rPr>
          <w:rFonts w:ascii="Arial" w:hAnsi="Arial" w:cs="Arial"/>
        </w:rPr>
        <w:t xml:space="preserve"> </w:t>
      </w:r>
      <w:r w:rsidR="00557F07" w:rsidRPr="00725FA4">
        <w:rPr>
          <w:rFonts w:ascii="Arial" w:hAnsi="Arial" w:cs="Arial"/>
        </w:rPr>
        <w:t>i</w:t>
      </w:r>
      <w:r w:rsidR="00557F07">
        <w:rPr>
          <w:rFonts w:ascii="Arial" w:hAnsi="Arial" w:cs="Arial"/>
        </w:rPr>
        <w:t> </w:t>
      </w:r>
      <w:r w:rsidRPr="00725FA4">
        <w:rPr>
          <w:rFonts w:ascii="Arial" w:hAnsi="Arial" w:cs="Arial"/>
        </w:rPr>
        <w:t>wykład</w:t>
      </w:r>
      <w:r w:rsidR="00CD602C">
        <w:rPr>
          <w:rFonts w:ascii="Arial" w:hAnsi="Arial" w:cs="Arial"/>
        </w:rPr>
        <w:t>ów</w:t>
      </w:r>
      <w:r w:rsidRPr="00725FA4">
        <w:rPr>
          <w:rFonts w:ascii="Arial" w:hAnsi="Arial" w:cs="Arial"/>
        </w:rPr>
        <w:t xml:space="preserve"> (</w:t>
      </w:r>
      <w:r w:rsidRPr="00725FA4">
        <w:rPr>
          <w:rFonts w:ascii="Arial" w:hAnsi="Arial" w:cs="Arial"/>
          <w:i/>
        </w:rPr>
        <w:t xml:space="preserve">w tym: w 2018 r. – 139; w 2019 r. – 214; w 2020 r. </w:t>
      </w:r>
      <w:bookmarkStart w:id="87" w:name="_Hlk119413775"/>
      <w:r w:rsidRPr="00725FA4">
        <w:rPr>
          <w:rFonts w:ascii="Arial" w:hAnsi="Arial" w:cs="Arial"/>
          <w:i/>
        </w:rPr>
        <w:t xml:space="preserve">– </w:t>
      </w:r>
      <w:bookmarkEnd w:id="87"/>
      <w:r w:rsidRPr="00725FA4">
        <w:rPr>
          <w:rFonts w:ascii="Arial" w:hAnsi="Arial" w:cs="Arial"/>
          <w:i/>
        </w:rPr>
        <w:t>70</w:t>
      </w:r>
      <w:r w:rsidR="001055D9">
        <w:rPr>
          <w:rFonts w:ascii="Arial" w:hAnsi="Arial" w:cs="Arial"/>
          <w:i/>
        </w:rPr>
        <w:t>, w 2021 r</w:t>
      </w:r>
      <w:bookmarkStart w:id="88" w:name="_Hlk147141562"/>
      <w:r w:rsidR="00492800">
        <w:rPr>
          <w:rFonts w:ascii="Arial" w:hAnsi="Arial" w:cs="Arial"/>
          <w:i/>
        </w:rPr>
        <w:t xml:space="preserve">. </w:t>
      </w:r>
      <w:r w:rsidR="00492800" w:rsidRPr="00725FA4">
        <w:rPr>
          <w:rFonts w:ascii="Arial" w:hAnsi="Arial" w:cs="Arial"/>
          <w:i/>
        </w:rPr>
        <w:t>–</w:t>
      </w:r>
      <w:r w:rsidR="00492800">
        <w:rPr>
          <w:rFonts w:ascii="Arial" w:hAnsi="Arial" w:cs="Arial"/>
          <w:i/>
        </w:rPr>
        <w:t xml:space="preserve"> </w:t>
      </w:r>
      <w:bookmarkEnd w:id="88"/>
      <w:r w:rsidR="00070C65">
        <w:rPr>
          <w:rFonts w:ascii="Arial" w:hAnsi="Arial" w:cs="Arial"/>
          <w:i/>
        </w:rPr>
        <w:t>120</w:t>
      </w:r>
      <w:r w:rsidR="00CD602C">
        <w:rPr>
          <w:rFonts w:ascii="Arial" w:hAnsi="Arial" w:cs="Arial"/>
          <w:i/>
        </w:rPr>
        <w:t xml:space="preserve">, </w:t>
      </w:r>
      <w:r w:rsidR="00C45428">
        <w:rPr>
          <w:rFonts w:ascii="Arial" w:hAnsi="Arial" w:cs="Arial"/>
          <w:i/>
        </w:rPr>
        <w:t xml:space="preserve">a </w:t>
      </w:r>
      <w:r w:rsidR="00CD602C">
        <w:rPr>
          <w:rFonts w:ascii="Arial" w:hAnsi="Arial" w:cs="Arial"/>
          <w:i/>
        </w:rPr>
        <w:t>w 2022 r.</w:t>
      </w:r>
      <w:r w:rsidR="00E333C2">
        <w:rPr>
          <w:rFonts w:ascii="Arial" w:hAnsi="Arial" w:cs="Arial"/>
          <w:i/>
        </w:rPr>
        <w:t xml:space="preserve"> </w:t>
      </w:r>
      <w:r w:rsidR="00E333C2" w:rsidRPr="00725FA4">
        <w:rPr>
          <w:rFonts w:ascii="Arial" w:hAnsi="Arial" w:cs="Arial"/>
          <w:i/>
        </w:rPr>
        <w:t>–</w:t>
      </w:r>
      <w:r w:rsidR="00E333C2">
        <w:rPr>
          <w:rFonts w:ascii="Arial" w:hAnsi="Arial" w:cs="Arial"/>
          <w:i/>
        </w:rPr>
        <w:t xml:space="preserve"> 83</w:t>
      </w:r>
      <w:r w:rsidRPr="00725FA4">
        <w:rPr>
          <w:rFonts w:ascii="Arial" w:hAnsi="Arial" w:cs="Arial"/>
        </w:rPr>
        <w:t xml:space="preserve">), </w:t>
      </w:r>
      <w:r w:rsidR="00A2752C">
        <w:rPr>
          <w:rFonts w:ascii="Arial" w:hAnsi="Arial" w:cs="Arial"/>
        </w:rPr>
        <w:t xml:space="preserve">przy czym </w:t>
      </w:r>
      <w:r w:rsidRPr="00725FA4">
        <w:rPr>
          <w:rFonts w:ascii="Arial" w:hAnsi="Arial" w:cs="Arial"/>
        </w:rPr>
        <w:t xml:space="preserve">w 2020 </w:t>
      </w:r>
      <w:r w:rsidR="005B399F">
        <w:rPr>
          <w:rFonts w:ascii="Arial" w:hAnsi="Arial" w:cs="Arial"/>
        </w:rPr>
        <w:t xml:space="preserve">r. </w:t>
      </w:r>
      <w:r w:rsidRPr="00725FA4">
        <w:rPr>
          <w:rFonts w:ascii="Arial" w:hAnsi="Arial" w:cs="Arial"/>
        </w:rPr>
        <w:t>w dużej części on-line</w:t>
      </w:r>
      <w:r w:rsidRPr="009D025A">
        <w:rPr>
          <w:rFonts w:ascii="Arial" w:hAnsi="Arial" w:cs="Arial"/>
        </w:rPr>
        <w:t>. Słuchaczami szkoleń byli hodowcy odmian, przedstawiciele służb doradczych w</w:t>
      </w:r>
      <w:r w:rsidR="00AB45DC">
        <w:rPr>
          <w:rFonts w:ascii="Arial" w:hAnsi="Arial" w:cs="Arial"/>
        </w:rPr>
        <w:t> </w:t>
      </w:r>
      <w:r w:rsidRPr="009D025A">
        <w:rPr>
          <w:rFonts w:ascii="Arial" w:hAnsi="Arial" w:cs="Arial"/>
        </w:rPr>
        <w:t xml:space="preserve">rolnictwie, pracownicy służb nasiennych i firm hodowlano-nasiennych, rolnicy, przetwórcy, uczniowie i studenci szkół rolniczych. </w:t>
      </w:r>
      <w:r w:rsidRPr="00725FA4">
        <w:rPr>
          <w:rFonts w:ascii="Arial" w:hAnsi="Arial" w:cs="Arial"/>
        </w:rPr>
        <w:t>N</w:t>
      </w:r>
      <w:r w:rsidRPr="009D025A">
        <w:rPr>
          <w:rFonts w:ascii="Arial" w:hAnsi="Arial" w:cs="Arial"/>
        </w:rPr>
        <w:t xml:space="preserve">a terenie stacji doświadczalnych oceny odmian zorganizowano również </w:t>
      </w:r>
      <w:r w:rsidR="005B399F">
        <w:rPr>
          <w:rFonts w:ascii="Arial" w:hAnsi="Arial" w:cs="Arial"/>
        </w:rPr>
        <w:t>678</w:t>
      </w:r>
      <w:r w:rsidRPr="00FE0C1F">
        <w:rPr>
          <w:rFonts w:ascii="Arial" w:hAnsi="Arial" w:cs="Arial"/>
        </w:rPr>
        <w:t xml:space="preserve"> różnego rodzaju szkole</w:t>
      </w:r>
      <w:r w:rsidR="00386294">
        <w:rPr>
          <w:rFonts w:ascii="Arial" w:hAnsi="Arial" w:cs="Arial"/>
        </w:rPr>
        <w:t>ń</w:t>
      </w:r>
      <w:r w:rsidR="007141D9" w:rsidRPr="00FE0C1F">
        <w:rPr>
          <w:rFonts w:ascii="Arial" w:hAnsi="Arial" w:cs="Arial"/>
        </w:rPr>
        <w:t xml:space="preserve"> </w:t>
      </w:r>
      <w:r w:rsidRPr="00FE0C1F">
        <w:rPr>
          <w:rFonts w:ascii="Arial" w:hAnsi="Arial" w:cs="Arial"/>
        </w:rPr>
        <w:t>i spotka</w:t>
      </w:r>
      <w:r w:rsidR="00386294">
        <w:rPr>
          <w:rFonts w:ascii="Arial" w:hAnsi="Arial" w:cs="Arial"/>
        </w:rPr>
        <w:t>ń</w:t>
      </w:r>
      <w:r w:rsidR="00C73D18" w:rsidRPr="00FE0C1F">
        <w:rPr>
          <w:rFonts w:ascii="Arial" w:hAnsi="Arial" w:cs="Arial"/>
        </w:rPr>
        <w:t xml:space="preserve"> </w:t>
      </w:r>
      <w:r w:rsidRPr="00FE0C1F">
        <w:rPr>
          <w:rFonts w:ascii="Arial" w:hAnsi="Arial" w:cs="Arial"/>
        </w:rPr>
        <w:t>z rolnikami i innymi użytkownikami odmian (</w:t>
      </w:r>
      <w:r w:rsidRPr="00FE0C1F">
        <w:rPr>
          <w:rFonts w:ascii="Arial" w:hAnsi="Arial" w:cs="Arial"/>
          <w:i/>
        </w:rPr>
        <w:t>w</w:t>
      </w:r>
      <w:r w:rsidR="00C33A4D" w:rsidRPr="00FE0C1F">
        <w:rPr>
          <w:rFonts w:ascii="Arial" w:hAnsi="Arial" w:cs="Arial"/>
          <w:i/>
        </w:rPr>
        <w:t> </w:t>
      </w:r>
      <w:r w:rsidRPr="00FE0C1F">
        <w:rPr>
          <w:rFonts w:ascii="Arial" w:hAnsi="Arial" w:cs="Arial"/>
          <w:i/>
        </w:rPr>
        <w:t>tym:</w:t>
      </w:r>
      <w:r w:rsidRPr="00725FA4">
        <w:rPr>
          <w:rFonts w:ascii="Arial" w:hAnsi="Arial" w:cs="Arial"/>
          <w:i/>
        </w:rPr>
        <w:t xml:space="preserve"> w 2018 r. – 184; w 2019 r. – 164; w 2020 r. – 86</w:t>
      </w:r>
      <w:r w:rsidR="001D78EA">
        <w:rPr>
          <w:rFonts w:ascii="Arial" w:hAnsi="Arial" w:cs="Arial"/>
          <w:i/>
        </w:rPr>
        <w:t xml:space="preserve">, w 2021 r. </w:t>
      </w:r>
      <w:r w:rsidR="006763DD" w:rsidRPr="00725FA4">
        <w:rPr>
          <w:rFonts w:ascii="Arial" w:hAnsi="Arial" w:cs="Arial"/>
          <w:i/>
        </w:rPr>
        <w:t>–</w:t>
      </w:r>
      <w:r w:rsidR="006763DD">
        <w:rPr>
          <w:rFonts w:ascii="Arial" w:hAnsi="Arial" w:cs="Arial"/>
          <w:i/>
        </w:rPr>
        <w:t xml:space="preserve"> </w:t>
      </w:r>
      <w:r w:rsidR="00B067EC">
        <w:rPr>
          <w:rFonts w:ascii="Arial" w:hAnsi="Arial" w:cs="Arial"/>
          <w:i/>
        </w:rPr>
        <w:t>110</w:t>
      </w:r>
      <w:r w:rsidR="000A0A6E">
        <w:rPr>
          <w:rFonts w:ascii="Arial" w:hAnsi="Arial" w:cs="Arial"/>
          <w:i/>
        </w:rPr>
        <w:t xml:space="preserve">, </w:t>
      </w:r>
      <w:r w:rsidR="00C45428">
        <w:rPr>
          <w:rFonts w:ascii="Arial" w:hAnsi="Arial" w:cs="Arial"/>
          <w:i/>
        </w:rPr>
        <w:t>a w 2022 r.</w:t>
      </w:r>
      <w:r w:rsidR="00C45428" w:rsidRPr="00C45428">
        <w:rPr>
          <w:rFonts w:ascii="Arial" w:hAnsi="Arial" w:cs="Arial"/>
          <w:i/>
        </w:rPr>
        <w:t xml:space="preserve"> </w:t>
      </w:r>
      <w:r w:rsidR="00C45428" w:rsidRPr="00725FA4">
        <w:rPr>
          <w:rFonts w:ascii="Arial" w:hAnsi="Arial" w:cs="Arial"/>
          <w:i/>
        </w:rPr>
        <w:t>–</w:t>
      </w:r>
      <w:r w:rsidR="00C45428">
        <w:rPr>
          <w:rFonts w:ascii="Arial" w:hAnsi="Arial" w:cs="Arial"/>
          <w:i/>
        </w:rPr>
        <w:t xml:space="preserve"> 134</w:t>
      </w:r>
      <w:r w:rsidRPr="009D025A">
        <w:rPr>
          <w:rFonts w:ascii="Arial" w:hAnsi="Arial" w:cs="Arial"/>
        </w:rPr>
        <w:t>), w</w:t>
      </w:r>
      <w:r w:rsidR="00E5544E">
        <w:rPr>
          <w:rFonts w:ascii="Arial" w:hAnsi="Arial" w:cs="Arial"/>
        </w:rPr>
        <w:t> </w:t>
      </w:r>
      <w:r w:rsidRPr="009D025A">
        <w:rPr>
          <w:rFonts w:ascii="Arial" w:hAnsi="Arial" w:cs="Arial"/>
        </w:rPr>
        <w:t xml:space="preserve">których wzięło udział ponad </w:t>
      </w:r>
      <w:r w:rsidR="00E5544E">
        <w:rPr>
          <w:rFonts w:ascii="Arial" w:hAnsi="Arial" w:cs="Arial"/>
        </w:rPr>
        <w:t>20</w:t>
      </w:r>
      <w:r w:rsidRPr="009D025A">
        <w:rPr>
          <w:rFonts w:ascii="Arial" w:hAnsi="Arial" w:cs="Arial"/>
        </w:rPr>
        <w:t xml:space="preserve"> tysięcy osób.</w:t>
      </w:r>
      <w:r>
        <w:rPr>
          <w:rFonts w:ascii="Arial" w:hAnsi="Arial" w:cs="Arial"/>
        </w:rPr>
        <w:t xml:space="preserve"> </w:t>
      </w:r>
    </w:p>
    <w:p w14:paraId="32CB4D4E" w14:textId="7AA04C3A" w:rsidR="009837B4" w:rsidRPr="00925BCD" w:rsidRDefault="009837B4"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stacji związana z rejestracją odmian, ochroną prawną odmian oraz programem </w:t>
      </w:r>
      <w:r w:rsidRPr="009D025A">
        <w:rPr>
          <w:rFonts w:ascii="Arial" w:hAnsi="Arial" w:cs="Arial"/>
        </w:rPr>
        <w:t>porejestrowego doświadczalnictwa odmianowego i rekomendacji odmian do praktyki rolniczej, w tym publikacje wyników oraz wystawy eksponatów pochodzących z doświadczeń były również prezentowane corocznie na 2</w:t>
      </w:r>
      <w:r w:rsidR="00A13755">
        <w:rPr>
          <w:rFonts w:ascii="Arial" w:hAnsi="Arial" w:cs="Arial"/>
        </w:rPr>
        <w:t>8</w:t>
      </w:r>
      <w:r w:rsidRPr="009D025A">
        <w:rPr>
          <w:rFonts w:ascii="Arial" w:hAnsi="Arial" w:cs="Arial"/>
        </w:rPr>
        <w:t>8 różnego rodzaju spotkaniach organizowanych poza terenem stacji (w</w:t>
      </w:r>
      <w:r w:rsidR="00DC7E4D">
        <w:rPr>
          <w:rFonts w:ascii="Arial" w:hAnsi="Arial" w:cs="Arial"/>
        </w:rPr>
        <w:t> </w:t>
      </w:r>
      <w:r w:rsidRPr="009D025A">
        <w:rPr>
          <w:rFonts w:ascii="Arial" w:hAnsi="Arial" w:cs="Arial"/>
        </w:rPr>
        <w:t>tym: w 2018 r. – 106; w 2019 r. – 113; w 2020 r. – 39</w:t>
      </w:r>
      <w:r w:rsidR="000F363A" w:rsidRPr="00C102A5">
        <w:rPr>
          <w:rFonts w:ascii="Arial" w:hAnsi="Arial" w:cs="Arial"/>
        </w:rPr>
        <w:t xml:space="preserve">, w 2021 r. </w:t>
      </w:r>
      <w:r w:rsidR="000F363A" w:rsidRPr="006763DD">
        <w:rPr>
          <w:rFonts w:ascii="Arial" w:hAnsi="Arial" w:cs="Arial"/>
        </w:rPr>
        <w:t>–</w:t>
      </w:r>
      <w:r w:rsidR="00424DCA" w:rsidRPr="006763DD">
        <w:rPr>
          <w:rFonts w:ascii="Arial" w:hAnsi="Arial" w:cs="Arial"/>
        </w:rPr>
        <w:t xml:space="preserve"> 30</w:t>
      </w:r>
      <w:r w:rsidR="00E5544E">
        <w:rPr>
          <w:rFonts w:ascii="Arial" w:hAnsi="Arial" w:cs="Arial"/>
        </w:rPr>
        <w:t xml:space="preserve">, a w 2022 r. </w:t>
      </w:r>
      <w:r w:rsidR="00E5544E" w:rsidRPr="00725FA4">
        <w:rPr>
          <w:rFonts w:ascii="Arial" w:hAnsi="Arial" w:cs="Arial"/>
          <w:i/>
        </w:rPr>
        <w:t>–</w:t>
      </w:r>
      <w:r w:rsidR="00E5544E">
        <w:rPr>
          <w:rFonts w:ascii="Arial" w:hAnsi="Arial" w:cs="Arial"/>
          <w:i/>
        </w:rPr>
        <w:t xml:space="preserve"> 72</w:t>
      </w:r>
      <w:r w:rsidRPr="00C102A5">
        <w:rPr>
          <w:rFonts w:ascii="Arial" w:hAnsi="Arial" w:cs="Arial"/>
        </w:rPr>
        <w:t>)</w:t>
      </w:r>
      <w:r w:rsidR="002A5DD1" w:rsidRPr="00C102A5">
        <w:rPr>
          <w:rFonts w:ascii="Arial" w:hAnsi="Arial" w:cs="Arial"/>
        </w:rPr>
        <w:t>.</w:t>
      </w:r>
      <w:r w:rsidRPr="00C102A5">
        <w:rPr>
          <w:rFonts w:ascii="Arial" w:hAnsi="Arial" w:cs="Arial"/>
        </w:rPr>
        <w:t xml:space="preserve"> Były</w:t>
      </w:r>
      <w:r w:rsidRPr="009D025A">
        <w:rPr>
          <w:rFonts w:ascii="Arial" w:hAnsi="Arial" w:cs="Arial"/>
        </w:rPr>
        <w:t xml:space="preserve"> to: targi, wystawy, dożynki, dni pola, dni otwarte itp. Do największych należy zaliczyć: </w:t>
      </w:r>
      <w:r w:rsidRPr="009D025A">
        <w:rPr>
          <w:rFonts w:ascii="Arial" w:hAnsi="Arial" w:cs="Arial"/>
          <w:szCs w:val="24"/>
        </w:rPr>
        <w:t>Międzynarodowa Wystawa Rolnicza AGRO-SHOW (Bednary), Targi Rolnicze AGRO-TARG (Kalsk), Mazowieckie Dni Rolnictwa (Poświętne),</w:t>
      </w:r>
      <w:r w:rsidRPr="009D025A">
        <w:rPr>
          <w:rFonts w:ascii="Arial" w:hAnsi="Arial" w:cs="Arial"/>
        </w:rPr>
        <w:t xml:space="preserve"> </w:t>
      </w:r>
      <w:r w:rsidRPr="009D025A">
        <w:rPr>
          <w:rFonts w:ascii="Arial" w:hAnsi="Arial" w:cs="Arial"/>
          <w:szCs w:val="24"/>
        </w:rPr>
        <w:t>Międzynarodowe Dni z Doradztwem Rolniczym (Siedlce), Barzkowickie Targi Rolne „AGRO POMERANIA”</w:t>
      </w:r>
      <w:r w:rsidRPr="009D025A">
        <w:rPr>
          <w:rFonts w:ascii="Arial" w:hAnsi="Arial" w:cs="Arial"/>
        </w:rPr>
        <w:t xml:space="preserve"> itd. oraz dożynki wojewódzkie w kilku województwach.</w:t>
      </w:r>
      <w:r w:rsidRPr="00925BCD">
        <w:rPr>
          <w:rFonts w:ascii="Arial" w:hAnsi="Arial" w:cs="Arial"/>
        </w:rPr>
        <w:t xml:space="preserve"> </w:t>
      </w:r>
    </w:p>
    <w:p w14:paraId="117F6119" w14:textId="77777777" w:rsidR="00056846" w:rsidRPr="00925BCD" w:rsidRDefault="00E54725">
      <w:pPr>
        <w:pStyle w:val="Nagwek2"/>
        <w:jc w:val="both"/>
        <w:rPr>
          <w:i w:val="0"/>
          <w:sz w:val="20"/>
          <w:szCs w:val="20"/>
        </w:rPr>
      </w:pPr>
      <w:bookmarkStart w:id="89" w:name="_Toc341876105"/>
      <w:bookmarkStart w:id="90" w:name="_Toc161744894"/>
      <w:r w:rsidRPr="00925BCD">
        <w:rPr>
          <w:i w:val="0"/>
          <w:sz w:val="20"/>
          <w:szCs w:val="20"/>
        </w:rPr>
        <w:t>Zadanie 8. Upowszechnianie systemu integrowanej produkcji roślin</w:t>
      </w:r>
      <w:bookmarkEnd w:id="89"/>
      <w:bookmarkEnd w:id="90"/>
    </w:p>
    <w:p w14:paraId="5EBCA8F6"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Integrowana produkcja roślin jest krajowym systemem jakości żywności, wykorzystującym w sposób zrównoważony postęp techniczny i biologiczny w uprawie, ochronie roślin i nawożeniu, której zasadniczym celem jest dbałość o zdrowie ludzi i o środowisko. Zgodnie z przepisami ustawy z dnia 8 marca 2013 r. o środkach ochrony roślin, nadzór nad gospodarstwami uczestniczącymi w systemie i wydawanie certyfikatów poświadczających jej stosowanie należą do podmiotów certyfikujących, upoważnianych przez wojewódzkich inspektorów ochrony roślin i nasiennictwa. Wykaz upoważnionych, przez wojewódzkich inspektorów ochrony roślin i nasiennictwa, podmiotów certyfikujących zamieszczony jest na stronie Państwowej Inspekcji Ochrony Roślin i Nasiennictwa pod adresem: </w:t>
      </w:r>
      <w:hyperlink r:id="rId41">
        <w:r w:rsidRPr="00925BCD">
          <w:rPr>
            <w:rStyle w:val="czeinternetowe"/>
            <w:rFonts w:ascii="Arial" w:hAnsi="Arial" w:cs="Arial"/>
          </w:rPr>
          <w:t>http://piorin.gov.pl/integrowana-produkcja</w:t>
        </w:r>
      </w:hyperlink>
      <w:r w:rsidRPr="00925BCD">
        <w:rPr>
          <w:rFonts w:ascii="Arial" w:hAnsi="Arial" w:cs="Arial"/>
        </w:rPr>
        <w:t xml:space="preserve"> </w:t>
      </w:r>
    </w:p>
    <w:p w14:paraId="06AADE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Uczestnictwo w systemie pozwala na uzyskanie wysokiej jakości płodów rolnych, które można </w:t>
      </w:r>
      <w:r w:rsidRPr="00925BCD">
        <w:rPr>
          <w:rFonts w:ascii="Arial" w:hAnsi="Arial" w:cs="Arial"/>
        </w:rPr>
        <w:lastRenderedPageBreak/>
        <w:t>wprowadzać do obrotu ze znakiem integrowanej produkcji roślin.</w:t>
      </w:r>
      <w:r w:rsidR="00A921E2" w:rsidRPr="00925BCD">
        <w:rPr>
          <w:rFonts w:ascii="Arial" w:hAnsi="Arial" w:cs="Arial"/>
        </w:rPr>
        <w:t xml:space="preserve">  </w:t>
      </w:r>
    </w:p>
    <w:p w14:paraId="641390C5" w14:textId="77777777" w:rsidR="00056846" w:rsidRPr="00925BCD" w:rsidRDefault="00E54725">
      <w:pPr>
        <w:tabs>
          <w:tab w:val="center" w:pos="4536"/>
          <w:tab w:val="right" w:pos="9072"/>
        </w:tabs>
        <w:spacing w:before="120" w:after="120" w:line="360" w:lineRule="auto"/>
        <w:ind w:firstLine="357"/>
        <w:jc w:val="center"/>
        <w:rPr>
          <w:rFonts w:ascii="Arial" w:hAnsi="Arial" w:cs="Arial"/>
        </w:rPr>
      </w:pPr>
      <w:r w:rsidRPr="00925BCD">
        <w:rPr>
          <w:noProof/>
          <w:lang w:eastAsia="pl-PL"/>
        </w:rPr>
        <w:drawing>
          <wp:inline distT="0" distB="0" distL="0" distR="0" wp14:anchorId="63492771" wp14:editId="5564E318">
            <wp:extent cx="3079750" cy="1185358"/>
            <wp:effectExtent l="0" t="0" r="6350" b="0"/>
            <wp:docPr id="13" name="Obraz3" descr="Now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3" descr="Nowy obraz"/>
                    <pic:cNvPicPr>
                      <a:picLocks noChangeAspect="1" noChangeArrowheads="1"/>
                    </pic:cNvPicPr>
                  </pic:nvPicPr>
                  <pic:blipFill>
                    <a:blip r:embed="rId42"/>
                    <a:stretch>
                      <a:fillRect/>
                    </a:stretch>
                  </pic:blipFill>
                  <pic:spPr bwMode="auto">
                    <a:xfrm>
                      <a:off x="0" y="0"/>
                      <a:ext cx="3169407" cy="1219866"/>
                    </a:xfrm>
                    <a:prstGeom prst="rect">
                      <a:avLst/>
                    </a:prstGeom>
                  </pic:spPr>
                </pic:pic>
              </a:graphicData>
            </a:graphic>
          </wp:inline>
        </w:drawing>
      </w:r>
    </w:p>
    <w:p w14:paraId="5DA5CF8C"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Elementem wdrożenia w gospodarstwie systemu integrowanej produkcji roślin jest ukończenie specjalistycznego szkolenia oraz prowadzenie produkcji według szczegółowych metodyk zatwierdzonych przez Głównego Inspektora Ochrony Roślin i Nasiennictwa. Każda metodyka zawiera praktyczne informacje na temat sadzenia, pielęgnacji, ochrony i zbioru danej uprawy. Aktualne wykazy środków ochrony roślin dopuszczonych do stosowania w integrowanej produkcji roślin dla roślin rolniczych, warzywnych i sadowniczych zamieszczane są na Platformie Sygnalizacji Agrofagów. </w:t>
      </w:r>
    </w:p>
    <w:p w14:paraId="6202809F" w14:textId="7D382D1C"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E02B0D">
        <w:rPr>
          <w:rFonts w:ascii="Arial" w:hAnsi="Arial" w:cs="Arial"/>
          <w:b/>
          <w:bCs/>
        </w:rPr>
        <w:t>W 2018 r.</w:t>
      </w:r>
      <w:r w:rsidRPr="00925BCD">
        <w:rPr>
          <w:rFonts w:ascii="Arial" w:hAnsi="Arial" w:cs="Arial"/>
        </w:rPr>
        <w:t xml:space="preserve"> 9 podmiotów upoważnionych do wykonywania działalności w zakresie certyfikacji integrowanej produkcji roślin wydało 3</w:t>
      </w:r>
      <w:r w:rsidR="00C623F5">
        <w:rPr>
          <w:rFonts w:ascii="Arial" w:hAnsi="Arial" w:cs="Arial"/>
        </w:rPr>
        <w:t> </w:t>
      </w:r>
      <w:r w:rsidRPr="00925BCD">
        <w:rPr>
          <w:rFonts w:ascii="Arial" w:hAnsi="Arial" w:cs="Arial"/>
        </w:rPr>
        <w:t>876 certyfikatów poświadczających stosowanie integrowanej produkcji roślin, przy czym najwięcej certyfikatów (2 387) wydano dla producentów jabłek. Certyfikowano łącznie produkcję 792 425 ton płodów rolnych z 22 119 ha upraw. Powierzchnie upraw sadowniczych i warzywniczych stanowiły odpowiednio 20 383 ha i 396 ha.</w:t>
      </w:r>
    </w:p>
    <w:p w14:paraId="150D4F9F" w14:textId="77777777" w:rsidR="00935947" w:rsidRPr="0081600F" w:rsidRDefault="00A921E2"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we wszystkich jednostkach certyfikujących oraz 125 kontroli u producentów IP, mających na celu sprawdzenie prawidłowości przeprowadzania certyfikacji przez upoważnione podmioty.</w:t>
      </w:r>
    </w:p>
    <w:p w14:paraId="3AB443E7" w14:textId="77777777"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wyniku kontroli jednostek stwierdzono w jednym przypadku przyjmowanie wniosków po ustawowym terminie oraz w jednym wydanie certyfikatu niezgodnie z art. 57 ust. 1-3 ustawy o środkach ochrony roślin.</w:t>
      </w:r>
    </w:p>
    <w:p w14:paraId="309DD726" w14:textId="77777777" w:rsidR="00935947" w:rsidRPr="0081600F" w:rsidRDefault="00935947" w:rsidP="002F734A">
      <w:pPr>
        <w:pStyle w:val="NormalnyWeb"/>
        <w:tabs>
          <w:tab w:val="left" w:pos="284"/>
        </w:tabs>
        <w:spacing w:beforeAutospacing="0" w:after="120" w:afterAutospacing="0" w:line="360" w:lineRule="auto"/>
        <w:ind w:firstLine="284"/>
        <w:jc w:val="both"/>
      </w:pPr>
      <w:r w:rsidRPr="0081600F">
        <w:rPr>
          <w:rFonts w:ascii="Arial" w:hAnsi="Arial" w:cs="Arial"/>
        </w:rPr>
        <w:t>Kontrola u producentów IP wykazała jeden przypadek zastosowania środków ochrony roślin niezgodnie z etykietą.</w:t>
      </w:r>
    </w:p>
    <w:p w14:paraId="3253ABAA" w14:textId="39978256"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podobnie jak rok wcześniej, 9 podmiotów upoważnionych do wykonywania działalności w</w:t>
      </w:r>
      <w:r w:rsidR="00A921E2" w:rsidRPr="00925BCD">
        <w:rPr>
          <w:rFonts w:ascii="Arial" w:hAnsi="Arial" w:cs="Arial"/>
        </w:rPr>
        <w:t> </w:t>
      </w:r>
      <w:r w:rsidRPr="00925BCD">
        <w:rPr>
          <w:rFonts w:ascii="Arial" w:hAnsi="Arial" w:cs="Arial"/>
        </w:rPr>
        <w:t>zakresie certyfikacji integrowanej produkcji roślin wydało 3</w:t>
      </w:r>
      <w:r w:rsidR="001E549A">
        <w:rPr>
          <w:rFonts w:ascii="Arial" w:hAnsi="Arial" w:cs="Arial"/>
        </w:rPr>
        <w:t> </w:t>
      </w:r>
      <w:r w:rsidRPr="00925BCD">
        <w:rPr>
          <w:rFonts w:ascii="Arial" w:hAnsi="Arial" w:cs="Arial"/>
        </w:rPr>
        <w:t>325 certyfikatów poświadczających stosowanie integrowanej produkcji roślin, przy czym najwięcej certyfikatów (2 020) wydano dla producentów jabłek. Certyfikowano łącznie produkcję 525 324 ton płodów rolnych z 18 710 ha upraw. Powierzchnie upraw sadowniczych i warzywniczych stanowiły odpowiednio 17</w:t>
      </w:r>
      <w:r w:rsidR="001E549A">
        <w:rPr>
          <w:rFonts w:ascii="Arial" w:hAnsi="Arial" w:cs="Arial"/>
        </w:rPr>
        <w:t> </w:t>
      </w:r>
      <w:r w:rsidRPr="00925BCD">
        <w:rPr>
          <w:rFonts w:ascii="Arial" w:hAnsi="Arial" w:cs="Arial"/>
        </w:rPr>
        <w:t xml:space="preserve">008 ha i 352 ha. Tym samym liczba wydanych certyfikatów spadła w porównaniu do 2018 r. o 551, produkcja o 267 101 ton </w:t>
      </w:r>
      <w:r w:rsidR="00A921E2" w:rsidRPr="00925BCD">
        <w:rPr>
          <w:rFonts w:ascii="Arial" w:hAnsi="Arial" w:cs="Arial"/>
        </w:rPr>
        <w:t>a </w:t>
      </w:r>
      <w:r w:rsidRPr="00925BCD">
        <w:rPr>
          <w:rFonts w:ascii="Arial" w:hAnsi="Arial" w:cs="Arial"/>
        </w:rPr>
        <w:t>powierzchnia o 3</w:t>
      </w:r>
      <w:r w:rsidR="001E549A">
        <w:rPr>
          <w:rFonts w:ascii="Arial" w:hAnsi="Arial" w:cs="Arial"/>
        </w:rPr>
        <w:t> </w:t>
      </w:r>
      <w:r w:rsidRPr="00925BCD">
        <w:rPr>
          <w:rFonts w:ascii="Arial" w:hAnsi="Arial" w:cs="Arial"/>
        </w:rPr>
        <w:t>409 ha.</w:t>
      </w:r>
    </w:p>
    <w:p w14:paraId="4EED70F3" w14:textId="77777777" w:rsidR="00935947" w:rsidRPr="00925BCD" w:rsidRDefault="00A921E2"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 8 jednostkach certyfikujących. W</w:t>
      </w:r>
      <w:r w:rsidRPr="00925BCD">
        <w:rPr>
          <w:rFonts w:ascii="Arial" w:hAnsi="Arial" w:cs="Arial"/>
        </w:rPr>
        <w:t> </w:t>
      </w:r>
      <w:r w:rsidR="00935947" w:rsidRPr="00925BCD">
        <w:rPr>
          <w:rFonts w:ascii="Arial" w:hAnsi="Arial" w:cs="Arial"/>
        </w:rPr>
        <w:t>trakcie kontroli jednostek certyfikujących nie stwierdzono nieprawidłowości.</w:t>
      </w:r>
    </w:p>
    <w:p w14:paraId="0612EC1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Państwowa Inspekcja Ochrony Roślin i Nasiennictwa przeprowadziła również 158 kontroli u</w:t>
      </w:r>
      <w:r w:rsidR="00A921E2" w:rsidRPr="00925BCD">
        <w:rPr>
          <w:rFonts w:ascii="Arial" w:hAnsi="Arial" w:cs="Arial"/>
        </w:rPr>
        <w:t> </w:t>
      </w:r>
      <w:r w:rsidRPr="00925BCD">
        <w:rPr>
          <w:rFonts w:ascii="Arial" w:hAnsi="Arial" w:cs="Arial"/>
        </w:rPr>
        <w:t>producentów IP. W trakcie dziesięciu kontroli u producentów IP, stwierdzono nieprawidłowości tj.:</w:t>
      </w:r>
    </w:p>
    <w:p w14:paraId="1EF86269" w14:textId="3233EEBB"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lastRenderedPageBreak/>
        <w:t>zastosowanie niedozwolonych środków ochrony roślin,</w:t>
      </w:r>
    </w:p>
    <w:p w14:paraId="39E41C21" w14:textId="56B9B9F5"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zastosowanie niedopuszczonego środka ochrony roślin dla danej uprawy,</w:t>
      </w:r>
    </w:p>
    <w:p w14:paraId="7F17EA7D" w14:textId="1FD34F60"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nieprawidłowo prowadzenie dokumentacji dotyczącej stosowania środków ochrony roślin</w:t>
      </w:r>
      <w:r w:rsidR="002C2375">
        <w:rPr>
          <w:rFonts w:ascii="Arial" w:hAnsi="Arial" w:cs="Arial"/>
        </w:rPr>
        <w:t>,</w:t>
      </w:r>
    </w:p>
    <w:p w14:paraId="538BA8B5" w14:textId="6D7359AF"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stosowanie środków ochrony roślin niezgodnie z informacjami zawartymi w etykiecie</w:t>
      </w:r>
      <w:r w:rsidR="002C2375">
        <w:rPr>
          <w:rFonts w:ascii="Arial" w:hAnsi="Arial" w:cs="Arial"/>
        </w:rPr>
        <w:t>,</w:t>
      </w:r>
    </w:p>
    <w:p w14:paraId="2FD405CA" w14:textId="77954B32" w:rsidR="00935947" w:rsidRPr="00925BCD" w:rsidRDefault="00935947" w:rsidP="00F27DD8">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stosowanie środków ochrony roślin nierekomendowanych do IP.</w:t>
      </w:r>
    </w:p>
    <w:p w14:paraId="4663FA43" w14:textId="2D15799C" w:rsidR="006C1155" w:rsidRDefault="006C1155" w:rsidP="006C1155">
      <w:pPr>
        <w:pStyle w:val="NormalnyWeb"/>
        <w:tabs>
          <w:tab w:val="left" w:pos="284"/>
        </w:tabs>
        <w:spacing w:beforeAutospacing="0" w:after="120" w:afterAutospacing="0" w:line="360" w:lineRule="auto"/>
        <w:ind w:firstLine="284"/>
        <w:jc w:val="both"/>
        <w:rPr>
          <w:rFonts w:ascii="Arial" w:hAnsi="Arial" w:cs="Arial"/>
        </w:rPr>
      </w:pPr>
      <w:bookmarkStart w:id="91" w:name="_Hlk124948689"/>
      <w:r w:rsidRPr="0081600F">
        <w:rPr>
          <w:rFonts w:ascii="Arial" w:hAnsi="Arial" w:cs="Arial"/>
          <w:b/>
        </w:rPr>
        <w:t xml:space="preserve">W </w:t>
      </w:r>
      <w:r w:rsidR="00F87514" w:rsidRPr="0081600F">
        <w:rPr>
          <w:rFonts w:ascii="Arial" w:hAnsi="Arial" w:cs="Arial"/>
          <w:b/>
        </w:rPr>
        <w:t>2020</w:t>
      </w:r>
      <w:r w:rsidR="00F87514">
        <w:rPr>
          <w:rFonts w:ascii="Arial" w:hAnsi="Arial" w:cs="Arial"/>
          <w:b/>
        </w:rPr>
        <w:t> </w:t>
      </w:r>
      <w:r w:rsidRPr="0081600F">
        <w:rPr>
          <w:rFonts w:ascii="Arial" w:hAnsi="Arial" w:cs="Arial"/>
          <w:b/>
        </w:rPr>
        <w:t>r.</w:t>
      </w:r>
      <w:r w:rsidRPr="0081600F">
        <w:rPr>
          <w:rFonts w:ascii="Arial" w:hAnsi="Arial" w:cs="Arial"/>
        </w:rPr>
        <w:t xml:space="preserve"> 8 podmiotów upoważnionych do wykonywania działalności w zakresie certyfikacji integrowanej produkcji roślin wydało 3</w:t>
      </w:r>
      <w:r w:rsidR="007570AE">
        <w:rPr>
          <w:rFonts w:ascii="Arial" w:hAnsi="Arial" w:cs="Arial"/>
        </w:rPr>
        <w:t> </w:t>
      </w:r>
      <w:r w:rsidRPr="0081600F">
        <w:rPr>
          <w:rFonts w:ascii="Arial" w:hAnsi="Arial" w:cs="Arial"/>
        </w:rPr>
        <w:t>027 certyfikatów poświadczających stosowanie integrowanej produkcji roślin, przy czym najwięcej certyfikatów (</w:t>
      </w:r>
      <w:r w:rsidR="00F4225A" w:rsidRPr="0081600F">
        <w:rPr>
          <w:rFonts w:ascii="Arial" w:hAnsi="Arial" w:cs="Arial"/>
        </w:rPr>
        <w:t>1</w:t>
      </w:r>
      <w:r w:rsidR="00F4225A">
        <w:rPr>
          <w:rFonts w:ascii="Arial" w:hAnsi="Arial" w:cs="Arial"/>
        </w:rPr>
        <w:t> </w:t>
      </w:r>
      <w:r w:rsidRPr="0081600F">
        <w:rPr>
          <w:rFonts w:ascii="Arial" w:hAnsi="Arial" w:cs="Arial"/>
        </w:rPr>
        <w:t>817) wydano dla producentów jabłek. Certyfikowano łącznie produkcję 595</w:t>
      </w:r>
      <w:r w:rsidR="007570AE">
        <w:rPr>
          <w:rFonts w:ascii="Arial" w:hAnsi="Arial" w:cs="Arial"/>
        </w:rPr>
        <w:t> </w:t>
      </w:r>
      <w:r w:rsidRPr="0081600F">
        <w:rPr>
          <w:rFonts w:ascii="Arial" w:hAnsi="Arial" w:cs="Arial"/>
        </w:rPr>
        <w:t>269 ton płodów rolnych z 17 320,3 ha upraw. Powierzchnie upraw sadowniczych i warzywniczych stanowiły odpowiednio 15 766,1 ha i 318,9 ha. Tym samym liczba wydanych certyfikatów spadła w porównaniu do 2019 r. o 298, jednak produkcja wzrosła o 69 945 ton a powierzchnia zmalała o 1 390 ha.</w:t>
      </w:r>
    </w:p>
    <w:bookmarkEnd w:id="91"/>
    <w:p w14:paraId="2A284905" w14:textId="3878D37F"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Wojewódzcy inspektorzy przeprowadzili kontrole w 8 jednostkach certyfikujących. W trakcie kontroli w jednej jednostce stwierdzono nieprawidłowości w zakresie wydawania certyfikatów oraz prowadzenia ich rejestru.</w:t>
      </w:r>
    </w:p>
    <w:p w14:paraId="422F35EB" w14:textId="6C853FB7"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Państwowa Inspekcja Ochrony Roślin i Nasiennictwa przeprowadziła również 184 kontrole u</w:t>
      </w:r>
      <w:r>
        <w:rPr>
          <w:rFonts w:ascii="Arial" w:hAnsi="Arial" w:cs="Arial"/>
          <w:bCs/>
        </w:rPr>
        <w:t> </w:t>
      </w:r>
      <w:r w:rsidRPr="00C72E7B">
        <w:rPr>
          <w:rFonts w:ascii="Arial" w:hAnsi="Arial" w:cs="Arial"/>
          <w:bCs/>
        </w:rPr>
        <w:t>producentów IP, mających na celu sprawdzenie prawidłowości przeprowadzania certyfikacji przez upoważnione podmioty. W trakcie 14 kontroli producentów IP stwierdzono nieprawidłowości, tj.:</w:t>
      </w:r>
    </w:p>
    <w:p w14:paraId="28345B5A" w14:textId="44293BB2"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zastosowanie niedopuszczonego środka ochrony roślin dla danej uprawy</w:t>
      </w:r>
      <w:r>
        <w:rPr>
          <w:rFonts w:ascii="Arial" w:hAnsi="Arial" w:cs="Arial"/>
          <w:bCs/>
        </w:rPr>
        <w:t>,</w:t>
      </w:r>
    </w:p>
    <w:p w14:paraId="79736DEE" w14:textId="54AED8B0"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nieprawidłowe prowadzenie dokumentacji dotyczącej stosowania środków</w:t>
      </w:r>
      <w:r>
        <w:rPr>
          <w:rFonts w:ascii="Arial" w:hAnsi="Arial" w:cs="Arial"/>
          <w:bCs/>
        </w:rPr>
        <w:t xml:space="preserve"> </w:t>
      </w:r>
      <w:r w:rsidRPr="00C72E7B">
        <w:rPr>
          <w:rFonts w:ascii="Arial" w:hAnsi="Arial" w:cs="Arial"/>
          <w:bCs/>
        </w:rPr>
        <w:t>ochrony roślin</w:t>
      </w:r>
      <w:r>
        <w:rPr>
          <w:rFonts w:ascii="Arial" w:hAnsi="Arial" w:cs="Arial"/>
          <w:bCs/>
        </w:rPr>
        <w:t>,</w:t>
      </w:r>
    </w:p>
    <w:p w14:paraId="14212583" w14:textId="10541C9C" w:rsidR="00C72E7B" w:rsidRPr="00C72E7B" w:rsidRDefault="00C72E7B"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bCs/>
        </w:rPr>
      </w:pPr>
      <w:r w:rsidRPr="00C72E7B">
        <w:rPr>
          <w:rFonts w:ascii="Arial" w:hAnsi="Arial" w:cs="Arial"/>
          <w:bCs/>
        </w:rPr>
        <w:t>stosowanie środków ochrony roślin niezgodnie z informacjami zawartymi</w:t>
      </w:r>
      <w:r>
        <w:rPr>
          <w:rFonts w:ascii="Arial" w:hAnsi="Arial" w:cs="Arial"/>
          <w:bCs/>
        </w:rPr>
        <w:t xml:space="preserve"> </w:t>
      </w:r>
      <w:r w:rsidRPr="00C72E7B">
        <w:rPr>
          <w:rFonts w:ascii="Arial" w:hAnsi="Arial" w:cs="Arial"/>
          <w:bCs/>
        </w:rPr>
        <w:t>w etykiecie.</w:t>
      </w:r>
    </w:p>
    <w:p w14:paraId="1158CE57" w14:textId="06F1F2F1" w:rsidR="00B465E6" w:rsidRDefault="006763DD" w:rsidP="00B465E6">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bCs/>
        </w:rPr>
        <w:t>Podobnie jak w 2020</w:t>
      </w:r>
      <w:r w:rsidR="000A0EA1">
        <w:rPr>
          <w:rFonts w:ascii="Arial" w:hAnsi="Arial" w:cs="Arial"/>
          <w:bCs/>
        </w:rPr>
        <w:t xml:space="preserve"> r.</w:t>
      </w:r>
      <w:r w:rsidR="00532351">
        <w:rPr>
          <w:rFonts w:ascii="Arial" w:hAnsi="Arial" w:cs="Arial"/>
          <w:bCs/>
        </w:rPr>
        <w:t xml:space="preserve"> - </w:t>
      </w:r>
      <w:r w:rsidR="000A0EA1">
        <w:rPr>
          <w:rFonts w:ascii="Arial" w:hAnsi="Arial" w:cs="Arial"/>
          <w:bCs/>
        </w:rPr>
        <w:t xml:space="preserve">w </w:t>
      </w:r>
      <w:r w:rsidR="00B465E6" w:rsidRPr="0081600F">
        <w:rPr>
          <w:rFonts w:ascii="Arial" w:hAnsi="Arial" w:cs="Arial"/>
          <w:b/>
        </w:rPr>
        <w:t>202</w:t>
      </w:r>
      <w:r w:rsidR="000A0EA1">
        <w:rPr>
          <w:rFonts w:ascii="Arial" w:hAnsi="Arial" w:cs="Arial"/>
          <w:b/>
        </w:rPr>
        <w:t>1</w:t>
      </w:r>
      <w:r w:rsidR="00B465E6">
        <w:rPr>
          <w:rFonts w:ascii="Arial" w:hAnsi="Arial" w:cs="Arial"/>
          <w:b/>
        </w:rPr>
        <w:t> </w:t>
      </w:r>
      <w:r w:rsidR="00B465E6" w:rsidRPr="0081600F">
        <w:rPr>
          <w:rFonts w:ascii="Arial" w:hAnsi="Arial" w:cs="Arial"/>
          <w:b/>
        </w:rPr>
        <w:t>r.</w:t>
      </w:r>
      <w:r w:rsidR="00B465E6" w:rsidRPr="0081600F">
        <w:rPr>
          <w:rFonts w:ascii="Arial" w:hAnsi="Arial" w:cs="Arial"/>
        </w:rPr>
        <w:t xml:space="preserve"> 8 podmiotów upoważnionych do wykonywania działalności w zakresie certyfikacji integrowanej produkcji roślin wydało </w:t>
      </w:r>
      <w:r w:rsidR="00586144">
        <w:rPr>
          <w:rFonts w:ascii="Arial" w:hAnsi="Arial" w:cs="Arial"/>
        </w:rPr>
        <w:t xml:space="preserve">1 418 </w:t>
      </w:r>
      <w:r w:rsidR="00B465E6" w:rsidRPr="0081600F">
        <w:rPr>
          <w:rFonts w:ascii="Arial" w:hAnsi="Arial" w:cs="Arial"/>
        </w:rPr>
        <w:t>certyfikatów poświadczających stosowanie integrowanej produkcji roślin, przy czym najwięcej certyfikatów (</w:t>
      </w:r>
      <w:r w:rsidR="00586144">
        <w:rPr>
          <w:rFonts w:ascii="Arial" w:hAnsi="Arial" w:cs="Arial"/>
        </w:rPr>
        <w:t>439</w:t>
      </w:r>
      <w:r w:rsidR="00B465E6" w:rsidRPr="0081600F">
        <w:rPr>
          <w:rFonts w:ascii="Arial" w:hAnsi="Arial" w:cs="Arial"/>
        </w:rPr>
        <w:t xml:space="preserve">) wydano dla producentów jabłek. Certyfikowano łącznie produkcję </w:t>
      </w:r>
      <w:r w:rsidR="00A5703B">
        <w:rPr>
          <w:rFonts w:ascii="Arial" w:hAnsi="Arial" w:cs="Arial"/>
        </w:rPr>
        <w:t>150 306</w:t>
      </w:r>
      <w:r w:rsidR="00B465E6" w:rsidRPr="0081600F">
        <w:rPr>
          <w:rFonts w:ascii="Arial" w:hAnsi="Arial" w:cs="Arial"/>
        </w:rPr>
        <w:t xml:space="preserve"> ton płodów rolnych z </w:t>
      </w:r>
      <w:r w:rsidR="008A1F3A">
        <w:rPr>
          <w:rFonts w:ascii="Arial" w:hAnsi="Arial" w:cs="Arial"/>
        </w:rPr>
        <w:t>5</w:t>
      </w:r>
      <w:r w:rsidR="00B465E6" w:rsidRPr="0081600F">
        <w:rPr>
          <w:rFonts w:ascii="Arial" w:hAnsi="Arial" w:cs="Arial"/>
        </w:rPr>
        <w:t> </w:t>
      </w:r>
      <w:r w:rsidR="008A1F3A">
        <w:rPr>
          <w:rFonts w:ascii="Arial" w:hAnsi="Arial" w:cs="Arial"/>
        </w:rPr>
        <w:t>228</w:t>
      </w:r>
      <w:r w:rsidR="00B465E6" w:rsidRPr="0081600F">
        <w:rPr>
          <w:rFonts w:ascii="Arial" w:hAnsi="Arial" w:cs="Arial"/>
        </w:rPr>
        <w:t>,</w:t>
      </w:r>
      <w:r w:rsidR="008A1F3A">
        <w:rPr>
          <w:rFonts w:ascii="Arial" w:hAnsi="Arial" w:cs="Arial"/>
        </w:rPr>
        <w:t>2</w:t>
      </w:r>
      <w:r w:rsidR="00B465E6" w:rsidRPr="0081600F">
        <w:rPr>
          <w:rFonts w:ascii="Arial" w:hAnsi="Arial" w:cs="Arial"/>
        </w:rPr>
        <w:t xml:space="preserve"> ha upraw. Tym samym liczba wydanych certyfikatów spadła w porównaniu do 20</w:t>
      </w:r>
      <w:r w:rsidR="00EC379A">
        <w:rPr>
          <w:rFonts w:ascii="Arial" w:hAnsi="Arial" w:cs="Arial"/>
        </w:rPr>
        <w:t>20</w:t>
      </w:r>
      <w:r w:rsidR="00B465E6" w:rsidRPr="0081600F">
        <w:rPr>
          <w:rFonts w:ascii="Arial" w:hAnsi="Arial" w:cs="Arial"/>
        </w:rPr>
        <w:t xml:space="preserve"> r. o </w:t>
      </w:r>
      <w:r w:rsidR="001E75A3">
        <w:rPr>
          <w:rFonts w:ascii="Arial" w:hAnsi="Arial" w:cs="Arial"/>
        </w:rPr>
        <w:t>1</w:t>
      </w:r>
      <w:r w:rsidR="00C9513B">
        <w:rPr>
          <w:rFonts w:ascii="Arial" w:hAnsi="Arial" w:cs="Arial"/>
        </w:rPr>
        <w:t> </w:t>
      </w:r>
      <w:r w:rsidR="001E75A3">
        <w:rPr>
          <w:rFonts w:ascii="Arial" w:hAnsi="Arial" w:cs="Arial"/>
        </w:rPr>
        <w:t>609</w:t>
      </w:r>
      <w:r w:rsidR="00B465E6" w:rsidRPr="0081600F">
        <w:rPr>
          <w:rFonts w:ascii="Arial" w:hAnsi="Arial" w:cs="Arial"/>
        </w:rPr>
        <w:t xml:space="preserve">, produkcja </w:t>
      </w:r>
      <w:r w:rsidR="00587AAE">
        <w:rPr>
          <w:rFonts w:ascii="Arial" w:hAnsi="Arial" w:cs="Arial"/>
        </w:rPr>
        <w:t xml:space="preserve">spadła </w:t>
      </w:r>
      <w:r w:rsidR="00B465E6" w:rsidRPr="0081600F">
        <w:rPr>
          <w:rFonts w:ascii="Arial" w:hAnsi="Arial" w:cs="Arial"/>
        </w:rPr>
        <w:t>o</w:t>
      </w:r>
      <w:r w:rsidR="00CB5E2E">
        <w:rPr>
          <w:rFonts w:ascii="Arial" w:hAnsi="Arial" w:cs="Arial"/>
        </w:rPr>
        <w:t> </w:t>
      </w:r>
      <w:r w:rsidR="004E4817">
        <w:rPr>
          <w:rFonts w:ascii="Arial" w:hAnsi="Arial" w:cs="Arial"/>
        </w:rPr>
        <w:t>444</w:t>
      </w:r>
      <w:r w:rsidR="00B7751B">
        <w:rPr>
          <w:rFonts w:ascii="Arial" w:hAnsi="Arial" w:cs="Arial"/>
        </w:rPr>
        <w:t> </w:t>
      </w:r>
      <w:r w:rsidR="004E4817">
        <w:rPr>
          <w:rFonts w:ascii="Arial" w:hAnsi="Arial" w:cs="Arial"/>
        </w:rPr>
        <w:t>963</w:t>
      </w:r>
      <w:r w:rsidR="00B465E6" w:rsidRPr="0081600F">
        <w:rPr>
          <w:rFonts w:ascii="Arial" w:hAnsi="Arial" w:cs="Arial"/>
        </w:rPr>
        <w:t xml:space="preserve"> ton</w:t>
      </w:r>
      <w:r w:rsidR="00B7751B">
        <w:rPr>
          <w:rFonts w:ascii="Arial" w:hAnsi="Arial" w:cs="Arial"/>
        </w:rPr>
        <w:t>y</w:t>
      </w:r>
      <w:r w:rsidR="00B465E6" w:rsidRPr="0081600F">
        <w:rPr>
          <w:rFonts w:ascii="Arial" w:hAnsi="Arial" w:cs="Arial"/>
        </w:rPr>
        <w:t xml:space="preserve"> a powierzchnia zmalała o 1</w:t>
      </w:r>
      <w:r w:rsidR="00030896">
        <w:rPr>
          <w:rFonts w:ascii="Arial" w:hAnsi="Arial" w:cs="Arial"/>
        </w:rPr>
        <w:t>2</w:t>
      </w:r>
      <w:r w:rsidR="008E4B31">
        <w:rPr>
          <w:rFonts w:ascii="Arial" w:hAnsi="Arial" w:cs="Arial"/>
        </w:rPr>
        <w:t> 092,1</w:t>
      </w:r>
      <w:r w:rsidR="00B465E6" w:rsidRPr="0081600F">
        <w:rPr>
          <w:rFonts w:ascii="Arial" w:hAnsi="Arial" w:cs="Arial"/>
        </w:rPr>
        <w:t xml:space="preserve"> ha.</w:t>
      </w:r>
    </w:p>
    <w:p w14:paraId="45A02D87" w14:textId="03B34098" w:rsidR="006E154F" w:rsidRPr="00925BCD" w:rsidRDefault="006E154F" w:rsidP="006E15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Wojewódzcy inspektorzy przeprowadzili</w:t>
      </w:r>
      <w:r w:rsidR="00956159">
        <w:rPr>
          <w:rFonts w:ascii="Arial" w:hAnsi="Arial" w:cs="Arial"/>
        </w:rPr>
        <w:t xml:space="preserve"> w 2021</w:t>
      </w:r>
      <w:r w:rsidR="008B16B7">
        <w:rPr>
          <w:rFonts w:ascii="Arial" w:hAnsi="Arial" w:cs="Arial"/>
        </w:rPr>
        <w:t> </w:t>
      </w:r>
      <w:r w:rsidR="00956159">
        <w:rPr>
          <w:rFonts w:ascii="Arial" w:hAnsi="Arial" w:cs="Arial"/>
        </w:rPr>
        <w:t xml:space="preserve">r. </w:t>
      </w:r>
      <w:r w:rsidRPr="00925BCD">
        <w:rPr>
          <w:rFonts w:ascii="Arial" w:hAnsi="Arial" w:cs="Arial"/>
        </w:rPr>
        <w:t>kontrole w 8 jednostkach certyfikujących. W trakcie kontroli jednostek certyfikujących nie stwierdzono nieprawidłowości.</w:t>
      </w:r>
    </w:p>
    <w:p w14:paraId="00DE29F6" w14:textId="11971031" w:rsidR="00017858" w:rsidRDefault="00447845" w:rsidP="00017858">
      <w:pPr>
        <w:pStyle w:val="NormalnyWeb"/>
        <w:tabs>
          <w:tab w:val="left" w:pos="284"/>
        </w:tabs>
        <w:spacing w:beforeAutospacing="0" w:after="120" w:afterAutospacing="0" w:line="360" w:lineRule="auto"/>
        <w:ind w:firstLine="284"/>
        <w:jc w:val="both"/>
        <w:rPr>
          <w:rFonts w:ascii="Arial" w:hAnsi="Arial" w:cs="Arial"/>
        </w:rPr>
      </w:pPr>
      <w:r w:rsidRPr="009502E8">
        <w:rPr>
          <w:rFonts w:ascii="Arial" w:hAnsi="Arial" w:cs="Arial"/>
          <w:b/>
          <w:bCs/>
        </w:rPr>
        <w:t>W 2022</w:t>
      </w:r>
      <w:r w:rsidR="00D916BD" w:rsidRPr="009502E8">
        <w:rPr>
          <w:rFonts w:ascii="Arial" w:hAnsi="Arial" w:cs="Arial"/>
          <w:b/>
          <w:bCs/>
        </w:rPr>
        <w:t> </w:t>
      </w:r>
      <w:r w:rsidRPr="009502E8">
        <w:rPr>
          <w:rFonts w:ascii="Arial" w:hAnsi="Arial" w:cs="Arial"/>
          <w:b/>
          <w:bCs/>
        </w:rPr>
        <w:t>r.</w:t>
      </w:r>
      <w:r w:rsidR="00202C77">
        <w:rPr>
          <w:rFonts w:ascii="Arial" w:hAnsi="Arial" w:cs="Arial"/>
        </w:rPr>
        <w:t xml:space="preserve"> 8 p</w:t>
      </w:r>
      <w:r w:rsidR="00017858" w:rsidRPr="0081600F">
        <w:rPr>
          <w:rFonts w:ascii="Arial" w:hAnsi="Arial" w:cs="Arial"/>
        </w:rPr>
        <w:t xml:space="preserve">odmiotów upoważnionych do wykonywania działalności w zakresie certyfikacji integrowanej produkcji roślin wydało </w:t>
      </w:r>
      <w:r w:rsidR="009502E8">
        <w:rPr>
          <w:rFonts w:ascii="Arial" w:hAnsi="Arial" w:cs="Arial"/>
        </w:rPr>
        <w:t>2 436</w:t>
      </w:r>
      <w:r w:rsidR="00017858">
        <w:rPr>
          <w:rFonts w:ascii="Arial" w:hAnsi="Arial" w:cs="Arial"/>
        </w:rPr>
        <w:t xml:space="preserve"> </w:t>
      </w:r>
      <w:r w:rsidR="00017858" w:rsidRPr="0081600F">
        <w:rPr>
          <w:rFonts w:ascii="Arial" w:hAnsi="Arial" w:cs="Arial"/>
        </w:rPr>
        <w:t>certyfikatów poświadczających stosowanie integrowanej produkcji roślin, przy czym najwięcej certyfikatów (</w:t>
      </w:r>
      <w:r w:rsidR="00D051F3">
        <w:rPr>
          <w:rFonts w:ascii="Arial" w:hAnsi="Arial" w:cs="Arial"/>
        </w:rPr>
        <w:t>1 434</w:t>
      </w:r>
      <w:r w:rsidR="00017858" w:rsidRPr="0081600F">
        <w:rPr>
          <w:rFonts w:ascii="Arial" w:hAnsi="Arial" w:cs="Arial"/>
        </w:rPr>
        <w:t xml:space="preserve">) wydano dla producentów jabłek. Certyfikowano łącznie produkcję </w:t>
      </w:r>
      <w:r w:rsidR="00005F79">
        <w:rPr>
          <w:rFonts w:ascii="Arial" w:hAnsi="Arial" w:cs="Arial"/>
        </w:rPr>
        <w:t>579</w:t>
      </w:r>
      <w:r w:rsidR="004148DB">
        <w:rPr>
          <w:rFonts w:ascii="Arial" w:hAnsi="Arial" w:cs="Arial"/>
        </w:rPr>
        <w:t> 533,5</w:t>
      </w:r>
      <w:r w:rsidR="00017858" w:rsidRPr="0081600F">
        <w:rPr>
          <w:rFonts w:ascii="Arial" w:hAnsi="Arial" w:cs="Arial"/>
        </w:rPr>
        <w:t xml:space="preserve"> ton płodów rolnych z </w:t>
      </w:r>
      <w:r w:rsidR="003E72B5">
        <w:rPr>
          <w:rFonts w:ascii="Arial" w:hAnsi="Arial" w:cs="Arial"/>
        </w:rPr>
        <w:t>14 924,4</w:t>
      </w:r>
      <w:r w:rsidR="00017858" w:rsidRPr="0081600F">
        <w:rPr>
          <w:rFonts w:ascii="Arial" w:hAnsi="Arial" w:cs="Arial"/>
        </w:rPr>
        <w:t xml:space="preserve"> ha upraw. Tym samym liczba wydanych certyfikatów</w:t>
      </w:r>
      <w:r w:rsidR="00F710C4">
        <w:rPr>
          <w:rFonts w:ascii="Arial" w:hAnsi="Arial" w:cs="Arial"/>
        </w:rPr>
        <w:t>,</w:t>
      </w:r>
      <w:r w:rsidR="00017858" w:rsidRPr="0081600F">
        <w:rPr>
          <w:rFonts w:ascii="Arial" w:hAnsi="Arial" w:cs="Arial"/>
        </w:rPr>
        <w:t xml:space="preserve"> </w:t>
      </w:r>
      <w:r w:rsidR="00F710C4" w:rsidRPr="0081600F">
        <w:rPr>
          <w:rFonts w:ascii="Arial" w:hAnsi="Arial" w:cs="Arial"/>
        </w:rPr>
        <w:t>produkcja</w:t>
      </w:r>
      <w:r w:rsidR="00F710C4">
        <w:rPr>
          <w:rFonts w:ascii="Arial" w:hAnsi="Arial" w:cs="Arial"/>
        </w:rPr>
        <w:t xml:space="preserve"> oraz </w:t>
      </w:r>
      <w:r w:rsidR="00696DBF">
        <w:rPr>
          <w:rFonts w:ascii="Arial" w:hAnsi="Arial" w:cs="Arial"/>
        </w:rPr>
        <w:t xml:space="preserve">powierzchnia </w:t>
      </w:r>
      <w:r w:rsidR="00D74348">
        <w:rPr>
          <w:rFonts w:ascii="Arial" w:hAnsi="Arial" w:cs="Arial"/>
        </w:rPr>
        <w:t xml:space="preserve">znacząco </w:t>
      </w:r>
      <w:r w:rsidR="00972AB5">
        <w:rPr>
          <w:rFonts w:ascii="Arial" w:hAnsi="Arial" w:cs="Arial"/>
        </w:rPr>
        <w:t>wzrosł</w:t>
      </w:r>
      <w:r w:rsidR="00696DBF">
        <w:rPr>
          <w:rFonts w:ascii="Arial" w:hAnsi="Arial" w:cs="Arial"/>
        </w:rPr>
        <w:t>y</w:t>
      </w:r>
      <w:r w:rsidR="00017858" w:rsidRPr="0081600F">
        <w:rPr>
          <w:rFonts w:ascii="Arial" w:hAnsi="Arial" w:cs="Arial"/>
        </w:rPr>
        <w:t xml:space="preserve"> w porównaniu do 20</w:t>
      </w:r>
      <w:r w:rsidR="00017858">
        <w:rPr>
          <w:rFonts w:ascii="Arial" w:hAnsi="Arial" w:cs="Arial"/>
        </w:rPr>
        <w:t>2</w:t>
      </w:r>
      <w:r w:rsidR="00972AB5">
        <w:rPr>
          <w:rFonts w:ascii="Arial" w:hAnsi="Arial" w:cs="Arial"/>
        </w:rPr>
        <w:t>1</w:t>
      </w:r>
      <w:r w:rsidR="00017858" w:rsidRPr="0081600F">
        <w:rPr>
          <w:rFonts w:ascii="Arial" w:hAnsi="Arial" w:cs="Arial"/>
        </w:rPr>
        <w:t xml:space="preserve"> r.</w:t>
      </w:r>
    </w:p>
    <w:p w14:paraId="6CC4E905" w14:textId="33B9E9A5" w:rsidR="00CA2E3F" w:rsidRDefault="008B16B7" w:rsidP="00CE7CF0">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CE7CF0" w:rsidRPr="00CE7CF0">
        <w:rPr>
          <w:rFonts w:ascii="Arial" w:hAnsi="Arial" w:cs="Arial"/>
        </w:rPr>
        <w:t>ojewódzcy inspektorzy przeprowadzili kontrole w 8 jednostkach certyfikujących. W</w:t>
      </w:r>
      <w:r>
        <w:rPr>
          <w:rFonts w:ascii="Arial" w:hAnsi="Arial" w:cs="Arial"/>
        </w:rPr>
        <w:t> </w:t>
      </w:r>
      <w:r w:rsidR="00CE7CF0" w:rsidRPr="00CE7CF0">
        <w:rPr>
          <w:rFonts w:ascii="Arial" w:hAnsi="Arial" w:cs="Arial"/>
        </w:rPr>
        <w:t xml:space="preserve">trakcie kontroli </w:t>
      </w:r>
      <w:r w:rsidR="00CE7CF0" w:rsidRPr="00CE7CF0">
        <w:rPr>
          <w:rFonts w:ascii="Arial" w:hAnsi="Arial" w:cs="Arial"/>
        </w:rPr>
        <w:lastRenderedPageBreak/>
        <w:t>nie stwierdzono nieprawidłowości. Państwowa Inspekcja Ochrony Roślin i Nasiennictwa przeprowadziła również 153 kontrole u producentów IP, mających na celu sprawdzenie prawidłowości przeprowadzania certyfikacji przez upoważnione podmioty. W trakcie 6 kontroli producentów IP stwierdzono nieprawidłowości</w:t>
      </w:r>
      <w:r w:rsidR="00940EDD">
        <w:rPr>
          <w:rFonts w:ascii="Arial" w:hAnsi="Arial" w:cs="Arial"/>
        </w:rPr>
        <w:t xml:space="preserve"> (</w:t>
      </w:r>
      <w:r w:rsidR="00B431F0">
        <w:rPr>
          <w:rFonts w:ascii="Arial" w:hAnsi="Arial" w:cs="Arial"/>
        </w:rPr>
        <w:t>zastosowanie środków niedopuszczonych do stosowania</w:t>
      </w:r>
      <w:r w:rsidR="00F921B6">
        <w:rPr>
          <w:rFonts w:ascii="Arial" w:hAnsi="Arial" w:cs="Arial"/>
        </w:rPr>
        <w:t xml:space="preserve">, w sposób stwarzający zagrożenia oraz </w:t>
      </w:r>
      <w:r w:rsidR="00AC2D65">
        <w:rPr>
          <w:rFonts w:ascii="Arial" w:hAnsi="Arial" w:cs="Arial"/>
        </w:rPr>
        <w:t>brak szkolenia w zakresie integrowanej produkcji roślin)</w:t>
      </w:r>
      <w:r w:rsidR="00CE7CF0" w:rsidRPr="00CE7CF0">
        <w:rPr>
          <w:rFonts w:ascii="Arial" w:hAnsi="Arial" w:cs="Arial"/>
        </w:rPr>
        <w:t>.</w:t>
      </w:r>
    </w:p>
    <w:tbl>
      <w:tblPr>
        <w:tblW w:w="9067" w:type="dxa"/>
        <w:tblCellMar>
          <w:left w:w="70" w:type="dxa"/>
          <w:right w:w="70" w:type="dxa"/>
        </w:tblCellMar>
        <w:tblLook w:val="04A0" w:firstRow="1" w:lastRow="0" w:firstColumn="1" w:lastColumn="0" w:noHBand="0" w:noVBand="1"/>
      </w:tblPr>
      <w:tblGrid>
        <w:gridCol w:w="3220"/>
        <w:gridCol w:w="1169"/>
        <w:gridCol w:w="1169"/>
        <w:gridCol w:w="1170"/>
        <w:gridCol w:w="1169"/>
        <w:gridCol w:w="1170"/>
      </w:tblGrid>
      <w:tr w:rsidR="001B011D" w:rsidRPr="005E6207" w14:paraId="5E8D4E5E" w14:textId="77777777" w:rsidTr="001B011D">
        <w:trPr>
          <w:trHeight w:val="300"/>
        </w:trPr>
        <w:tc>
          <w:tcPr>
            <w:tcW w:w="3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D9BB6" w14:textId="7AB0412B" w:rsidR="005E6207" w:rsidRPr="005E6207"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 </w:t>
            </w:r>
            <w:r w:rsidR="001B011D">
              <w:rPr>
                <w:rFonts w:ascii="Calibri" w:eastAsia="Times New Roman" w:hAnsi="Calibri" w:cs="Calibri"/>
                <w:b/>
                <w:bCs/>
                <w:color w:val="000000"/>
                <w:lang w:eastAsia="pl-PL"/>
              </w:rPr>
              <w:t>Rok</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11DB69B7" w14:textId="77777777" w:rsidR="005E6207" w:rsidRPr="005E6207" w:rsidRDefault="005E6207" w:rsidP="005E6207">
            <w:pPr>
              <w:spacing w:after="0" w:line="240" w:lineRule="auto"/>
              <w:jc w:val="right"/>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2018</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297347BB" w14:textId="77777777" w:rsidR="005E6207" w:rsidRPr="005E6207" w:rsidRDefault="005E6207" w:rsidP="005E6207">
            <w:pPr>
              <w:spacing w:after="0" w:line="240" w:lineRule="auto"/>
              <w:jc w:val="right"/>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2019</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69397E4" w14:textId="77777777" w:rsidR="005E6207" w:rsidRPr="005E6207" w:rsidRDefault="005E6207" w:rsidP="005E6207">
            <w:pPr>
              <w:spacing w:after="0" w:line="240" w:lineRule="auto"/>
              <w:jc w:val="right"/>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2020</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2736E032" w14:textId="77777777" w:rsidR="005E6207" w:rsidRPr="005E6207" w:rsidRDefault="005E6207" w:rsidP="005E6207">
            <w:pPr>
              <w:spacing w:after="0" w:line="240" w:lineRule="auto"/>
              <w:jc w:val="right"/>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2021</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7F4393E2" w14:textId="77777777" w:rsidR="005E6207" w:rsidRPr="005E6207" w:rsidRDefault="005E6207" w:rsidP="005E6207">
            <w:pPr>
              <w:spacing w:after="0" w:line="240" w:lineRule="auto"/>
              <w:jc w:val="right"/>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2022</w:t>
            </w:r>
          </w:p>
        </w:tc>
      </w:tr>
      <w:tr w:rsidR="001B011D" w:rsidRPr="005E6207" w14:paraId="6097391B" w14:textId="77777777" w:rsidTr="001B011D">
        <w:trPr>
          <w:trHeight w:val="300"/>
        </w:trPr>
        <w:tc>
          <w:tcPr>
            <w:tcW w:w="3220" w:type="dxa"/>
            <w:tcBorders>
              <w:top w:val="nil"/>
              <w:left w:val="single" w:sz="4" w:space="0" w:color="auto"/>
              <w:bottom w:val="single" w:sz="4" w:space="0" w:color="auto"/>
              <w:right w:val="single" w:sz="4" w:space="0" w:color="auto"/>
            </w:tcBorders>
            <w:shd w:val="clear" w:color="000000" w:fill="FFFFFF"/>
            <w:vAlign w:val="center"/>
            <w:hideMark/>
          </w:tcPr>
          <w:p w14:paraId="6E04635B" w14:textId="6EAA5823" w:rsidR="005E6207" w:rsidRPr="005E6207"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Liczba wydanych certyfikatów</w:t>
            </w:r>
            <w:r w:rsidR="00A1445E">
              <w:rPr>
                <w:rFonts w:ascii="Calibri" w:eastAsia="Times New Roman" w:hAnsi="Calibri" w:cs="Calibri"/>
                <w:b/>
                <w:bCs/>
                <w:color w:val="000000"/>
                <w:lang w:eastAsia="pl-PL"/>
              </w:rPr>
              <w:t xml:space="preserve"> IP</w:t>
            </w:r>
          </w:p>
        </w:tc>
        <w:tc>
          <w:tcPr>
            <w:tcW w:w="1169" w:type="dxa"/>
            <w:tcBorders>
              <w:top w:val="nil"/>
              <w:left w:val="nil"/>
              <w:bottom w:val="single" w:sz="4" w:space="0" w:color="auto"/>
              <w:right w:val="single" w:sz="4" w:space="0" w:color="auto"/>
            </w:tcBorders>
            <w:shd w:val="clear" w:color="000000" w:fill="FFFFFF"/>
            <w:vAlign w:val="center"/>
            <w:hideMark/>
          </w:tcPr>
          <w:p w14:paraId="396499E3"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3 876</w:t>
            </w:r>
          </w:p>
        </w:tc>
        <w:tc>
          <w:tcPr>
            <w:tcW w:w="1169" w:type="dxa"/>
            <w:tcBorders>
              <w:top w:val="nil"/>
              <w:left w:val="nil"/>
              <w:bottom w:val="single" w:sz="4" w:space="0" w:color="auto"/>
              <w:right w:val="single" w:sz="4" w:space="0" w:color="auto"/>
            </w:tcBorders>
            <w:shd w:val="clear" w:color="000000" w:fill="FFFFFF"/>
            <w:vAlign w:val="center"/>
            <w:hideMark/>
          </w:tcPr>
          <w:p w14:paraId="63706ECE"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3 325</w:t>
            </w:r>
          </w:p>
        </w:tc>
        <w:tc>
          <w:tcPr>
            <w:tcW w:w="1170" w:type="dxa"/>
            <w:tcBorders>
              <w:top w:val="nil"/>
              <w:left w:val="nil"/>
              <w:bottom w:val="single" w:sz="4" w:space="0" w:color="auto"/>
              <w:right w:val="single" w:sz="4" w:space="0" w:color="auto"/>
            </w:tcBorders>
            <w:shd w:val="clear" w:color="000000" w:fill="FFFFFF"/>
            <w:vAlign w:val="center"/>
            <w:hideMark/>
          </w:tcPr>
          <w:p w14:paraId="6B57D0C4"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3027</w:t>
            </w:r>
          </w:p>
        </w:tc>
        <w:tc>
          <w:tcPr>
            <w:tcW w:w="1169" w:type="dxa"/>
            <w:tcBorders>
              <w:top w:val="nil"/>
              <w:left w:val="nil"/>
              <w:bottom w:val="single" w:sz="4" w:space="0" w:color="auto"/>
              <w:right w:val="single" w:sz="4" w:space="0" w:color="auto"/>
            </w:tcBorders>
            <w:shd w:val="clear" w:color="000000" w:fill="FFFFFF"/>
            <w:vAlign w:val="center"/>
            <w:hideMark/>
          </w:tcPr>
          <w:p w14:paraId="22F0D9AE"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1 418</w:t>
            </w:r>
          </w:p>
        </w:tc>
        <w:tc>
          <w:tcPr>
            <w:tcW w:w="1170" w:type="dxa"/>
            <w:tcBorders>
              <w:top w:val="nil"/>
              <w:left w:val="nil"/>
              <w:bottom w:val="single" w:sz="4" w:space="0" w:color="auto"/>
              <w:right w:val="single" w:sz="4" w:space="0" w:color="auto"/>
            </w:tcBorders>
            <w:shd w:val="clear" w:color="000000" w:fill="FFFFFF"/>
            <w:vAlign w:val="center"/>
            <w:hideMark/>
          </w:tcPr>
          <w:p w14:paraId="0CDBA009"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2 436</w:t>
            </w:r>
          </w:p>
        </w:tc>
      </w:tr>
      <w:tr w:rsidR="001B011D" w:rsidRPr="005E6207" w14:paraId="480C8E97" w14:textId="77777777" w:rsidTr="001B011D">
        <w:trPr>
          <w:trHeight w:val="600"/>
        </w:trPr>
        <w:tc>
          <w:tcPr>
            <w:tcW w:w="3220" w:type="dxa"/>
            <w:tcBorders>
              <w:top w:val="nil"/>
              <w:left w:val="single" w:sz="4" w:space="0" w:color="auto"/>
              <w:bottom w:val="single" w:sz="4" w:space="0" w:color="auto"/>
              <w:right w:val="single" w:sz="4" w:space="0" w:color="auto"/>
            </w:tcBorders>
            <w:shd w:val="clear" w:color="000000" w:fill="FFFFFF"/>
            <w:vAlign w:val="center"/>
            <w:hideMark/>
          </w:tcPr>
          <w:p w14:paraId="493CD0FC" w14:textId="77777777" w:rsidR="001B011D"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 xml:space="preserve">Certyfikowana powierzchnia </w:t>
            </w:r>
          </w:p>
          <w:p w14:paraId="2476B7B9" w14:textId="56C11B2F" w:rsidR="005E6207" w:rsidRPr="005E6207"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(tys. ha)</w:t>
            </w:r>
          </w:p>
        </w:tc>
        <w:tc>
          <w:tcPr>
            <w:tcW w:w="1169" w:type="dxa"/>
            <w:tcBorders>
              <w:top w:val="nil"/>
              <w:left w:val="nil"/>
              <w:bottom w:val="single" w:sz="4" w:space="0" w:color="auto"/>
              <w:right w:val="single" w:sz="4" w:space="0" w:color="auto"/>
            </w:tcBorders>
            <w:shd w:val="clear" w:color="000000" w:fill="FFFFFF"/>
            <w:vAlign w:val="center"/>
            <w:hideMark/>
          </w:tcPr>
          <w:p w14:paraId="7972F1CB"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22,12</w:t>
            </w:r>
          </w:p>
        </w:tc>
        <w:tc>
          <w:tcPr>
            <w:tcW w:w="1169" w:type="dxa"/>
            <w:tcBorders>
              <w:top w:val="nil"/>
              <w:left w:val="nil"/>
              <w:bottom w:val="single" w:sz="4" w:space="0" w:color="auto"/>
              <w:right w:val="single" w:sz="4" w:space="0" w:color="auto"/>
            </w:tcBorders>
            <w:shd w:val="clear" w:color="000000" w:fill="FFFFFF"/>
            <w:vAlign w:val="center"/>
            <w:hideMark/>
          </w:tcPr>
          <w:p w14:paraId="49B304C9"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18,71</w:t>
            </w:r>
          </w:p>
        </w:tc>
        <w:tc>
          <w:tcPr>
            <w:tcW w:w="1170" w:type="dxa"/>
            <w:tcBorders>
              <w:top w:val="nil"/>
              <w:left w:val="nil"/>
              <w:bottom w:val="single" w:sz="4" w:space="0" w:color="auto"/>
              <w:right w:val="single" w:sz="4" w:space="0" w:color="auto"/>
            </w:tcBorders>
            <w:shd w:val="clear" w:color="000000" w:fill="FFFFFF"/>
            <w:vAlign w:val="center"/>
            <w:hideMark/>
          </w:tcPr>
          <w:p w14:paraId="73CB7F96"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17,32</w:t>
            </w:r>
          </w:p>
        </w:tc>
        <w:tc>
          <w:tcPr>
            <w:tcW w:w="1169" w:type="dxa"/>
            <w:tcBorders>
              <w:top w:val="nil"/>
              <w:left w:val="nil"/>
              <w:bottom w:val="single" w:sz="4" w:space="0" w:color="auto"/>
              <w:right w:val="single" w:sz="4" w:space="0" w:color="auto"/>
            </w:tcBorders>
            <w:shd w:val="clear" w:color="000000" w:fill="FFFFFF"/>
            <w:vAlign w:val="center"/>
            <w:hideMark/>
          </w:tcPr>
          <w:p w14:paraId="60EAA543"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5,23</w:t>
            </w:r>
          </w:p>
        </w:tc>
        <w:tc>
          <w:tcPr>
            <w:tcW w:w="1170" w:type="dxa"/>
            <w:tcBorders>
              <w:top w:val="nil"/>
              <w:left w:val="nil"/>
              <w:bottom w:val="single" w:sz="4" w:space="0" w:color="auto"/>
              <w:right w:val="single" w:sz="4" w:space="0" w:color="auto"/>
            </w:tcBorders>
            <w:shd w:val="clear" w:color="000000" w:fill="FFFFFF"/>
            <w:vAlign w:val="center"/>
            <w:hideMark/>
          </w:tcPr>
          <w:p w14:paraId="24D2DA47"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14,92</w:t>
            </w:r>
          </w:p>
        </w:tc>
      </w:tr>
      <w:tr w:rsidR="001B011D" w:rsidRPr="005E6207" w14:paraId="609DAD0A" w14:textId="77777777" w:rsidTr="001B011D">
        <w:trPr>
          <w:trHeight w:val="300"/>
        </w:trPr>
        <w:tc>
          <w:tcPr>
            <w:tcW w:w="3220" w:type="dxa"/>
            <w:tcBorders>
              <w:top w:val="nil"/>
              <w:left w:val="single" w:sz="4" w:space="0" w:color="auto"/>
              <w:bottom w:val="single" w:sz="4" w:space="0" w:color="auto"/>
              <w:right w:val="single" w:sz="4" w:space="0" w:color="auto"/>
            </w:tcBorders>
            <w:shd w:val="clear" w:color="000000" w:fill="FFFFFF"/>
            <w:vAlign w:val="center"/>
            <w:hideMark/>
          </w:tcPr>
          <w:p w14:paraId="17A00F2E" w14:textId="77777777" w:rsidR="001B011D"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Certyfikowana produkcja</w:t>
            </w:r>
          </w:p>
          <w:p w14:paraId="24C7048F" w14:textId="2CB7C46A" w:rsidR="005E6207" w:rsidRPr="005E6207" w:rsidRDefault="005E6207" w:rsidP="00A1445E">
            <w:pPr>
              <w:spacing w:after="0" w:line="240" w:lineRule="auto"/>
              <w:rPr>
                <w:rFonts w:ascii="Calibri" w:eastAsia="Times New Roman" w:hAnsi="Calibri" w:cs="Calibri"/>
                <w:b/>
                <w:bCs/>
                <w:color w:val="000000"/>
                <w:lang w:eastAsia="pl-PL"/>
              </w:rPr>
            </w:pPr>
            <w:r w:rsidRPr="005E6207">
              <w:rPr>
                <w:rFonts w:ascii="Calibri" w:eastAsia="Times New Roman" w:hAnsi="Calibri" w:cs="Calibri"/>
                <w:b/>
                <w:bCs/>
                <w:color w:val="000000"/>
                <w:lang w:eastAsia="pl-PL"/>
              </w:rPr>
              <w:t>(tys. t</w:t>
            </w:r>
            <w:r w:rsidR="001B011D">
              <w:rPr>
                <w:rFonts w:ascii="Calibri" w:eastAsia="Times New Roman" w:hAnsi="Calibri" w:cs="Calibri"/>
                <w:b/>
                <w:bCs/>
                <w:color w:val="000000"/>
                <w:lang w:eastAsia="pl-PL"/>
              </w:rPr>
              <w:t>on</w:t>
            </w:r>
            <w:r w:rsidRPr="005E6207">
              <w:rPr>
                <w:rFonts w:ascii="Calibri" w:eastAsia="Times New Roman" w:hAnsi="Calibri" w:cs="Calibri"/>
                <w:b/>
                <w:bCs/>
                <w:color w:val="000000"/>
                <w:lang w:eastAsia="pl-PL"/>
              </w:rPr>
              <w:t>)</w:t>
            </w:r>
          </w:p>
        </w:tc>
        <w:tc>
          <w:tcPr>
            <w:tcW w:w="1169" w:type="dxa"/>
            <w:tcBorders>
              <w:top w:val="nil"/>
              <w:left w:val="nil"/>
              <w:bottom w:val="single" w:sz="4" w:space="0" w:color="auto"/>
              <w:right w:val="single" w:sz="4" w:space="0" w:color="auto"/>
            </w:tcBorders>
            <w:shd w:val="clear" w:color="000000" w:fill="FFFFFF"/>
            <w:vAlign w:val="center"/>
            <w:hideMark/>
          </w:tcPr>
          <w:p w14:paraId="0206A34A"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792,43</w:t>
            </w:r>
          </w:p>
        </w:tc>
        <w:tc>
          <w:tcPr>
            <w:tcW w:w="1169" w:type="dxa"/>
            <w:tcBorders>
              <w:top w:val="nil"/>
              <w:left w:val="nil"/>
              <w:bottom w:val="single" w:sz="4" w:space="0" w:color="auto"/>
              <w:right w:val="single" w:sz="4" w:space="0" w:color="auto"/>
            </w:tcBorders>
            <w:shd w:val="clear" w:color="000000" w:fill="FFFFFF"/>
            <w:vAlign w:val="center"/>
            <w:hideMark/>
          </w:tcPr>
          <w:p w14:paraId="53B31058"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525,32</w:t>
            </w:r>
          </w:p>
        </w:tc>
        <w:tc>
          <w:tcPr>
            <w:tcW w:w="1170" w:type="dxa"/>
            <w:tcBorders>
              <w:top w:val="nil"/>
              <w:left w:val="nil"/>
              <w:bottom w:val="single" w:sz="4" w:space="0" w:color="auto"/>
              <w:right w:val="single" w:sz="4" w:space="0" w:color="auto"/>
            </w:tcBorders>
            <w:shd w:val="clear" w:color="000000" w:fill="FFFFFF"/>
            <w:vAlign w:val="center"/>
            <w:hideMark/>
          </w:tcPr>
          <w:p w14:paraId="1786DE3C"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595,27</w:t>
            </w:r>
          </w:p>
        </w:tc>
        <w:tc>
          <w:tcPr>
            <w:tcW w:w="1169" w:type="dxa"/>
            <w:tcBorders>
              <w:top w:val="nil"/>
              <w:left w:val="nil"/>
              <w:bottom w:val="single" w:sz="4" w:space="0" w:color="auto"/>
              <w:right w:val="single" w:sz="4" w:space="0" w:color="auto"/>
            </w:tcBorders>
            <w:shd w:val="clear" w:color="000000" w:fill="FFFFFF"/>
            <w:vAlign w:val="center"/>
            <w:hideMark/>
          </w:tcPr>
          <w:p w14:paraId="2C085B3F"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150,31</w:t>
            </w:r>
          </w:p>
        </w:tc>
        <w:tc>
          <w:tcPr>
            <w:tcW w:w="1170" w:type="dxa"/>
            <w:tcBorders>
              <w:top w:val="nil"/>
              <w:left w:val="nil"/>
              <w:bottom w:val="single" w:sz="4" w:space="0" w:color="auto"/>
              <w:right w:val="single" w:sz="4" w:space="0" w:color="auto"/>
            </w:tcBorders>
            <w:shd w:val="clear" w:color="000000" w:fill="FFFFFF"/>
            <w:vAlign w:val="center"/>
            <w:hideMark/>
          </w:tcPr>
          <w:p w14:paraId="57A1433F" w14:textId="77777777" w:rsidR="005E6207" w:rsidRPr="003371D9" w:rsidRDefault="005E6207" w:rsidP="005E6207">
            <w:pPr>
              <w:spacing w:after="0" w:line="240" w:lineRule="auto"/>
              <w:jc w:val="right"/>
              <w:rPr>
                <w:rFonts w:ascii="Calibri" w:eastAsia="Times New Roman" w:hAnsi="Calibri" w:cs="Calibri"/>
                <w:color w:val="000000"/>
                <w:lang w:eastAsia="pl-PL"/>
              </w:rPr>
            </w:pPr>
            <w:r w:rsidRPr="003371D9">
              <w:rPr>
                <w:rFonts w:ascii="Calibri" w:eastAsia="Times New Roman" w:hAnsi="Calibri" w:cs="Calibri"/>
                <w:color w:val="000000"/>
                <w:lang w:eastAsia="pl-PL"/>
              </w:rPr>
              <w:t>579,53</w:t>
            </w:r>
          </w:p>
        </w:tc>
      </w:tr>
    </w:tbl>
    <w:p w14:paraId="2AA748F8" w14:textId="50542896" w:rsidR="00CD1242" w:rsidRDefault="00935947" w:rsidP="003371D9">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Na stronie Państwowej Inspekcji Ochrony Roślin i Nasiennictwa zamieszczon</w:t>
      </w:r>
      <w:r w:rsidR="00C72E7B">
        <w:rPr>
          <w:rFonts w:ascii="Arial" w:hAnsi="Arial" w:cs="Arial"/>
        </w:rPr>
        <w:t>o</w:t>
      </w:r>
      <w:r w:rsidRPr="00925BCD">
        <w:rPr>
          <w:rFonts w:ascii="Arial" w:hAnsi="Arial" w:cs="Arial"/>
        </w:rPr>
        <w:t xml:space="preserve"> (grudzień 20</w:t>
      </w:r>
      <w:r w:rsidR="006C1155">
        <w:rPr>
          <w:rFonts w:ascii="Arial" w:hAnsi="Arial" w:cs="Arial"/>
        </w:rPr>
        <w:t>2</w:t>
      </w:r>
      <w:r w:rsidR="00C31D0E">
        <w:rPr>
          <w:rFonts w:ascii="Arial" w:hAnsi="Arial" w:cs="Arial"/>
        </w:rPr>
        <w:t>2</w:t>
      </w:r>
      <w:r w:rsidRPr="00925BCD">
        <w:rPr>
          <w:rFonts w:ascii="Arial" w:hAnsi="Arial" w:cs="Arial"/>
        </w:rPr>
        <w:t xml:space="preserve"> r.) </w:t>
      </w:r>
      <w:r w:rsidR="00A3701D">
        <w:rPr>
          <w:rFonts w:ascii="Arial" w:hAnsi="Arial" w:cs="Arial"/>
        </w:rPr>
        <w:t>42</w:t>
      </w:r>
      <w:r w:rsidR="00C72E7B">
        <w:rPr>
          <w:rFonts w:ascii="Arial" w:hAnsi="Arial" w:cs="Arial"/>
        </w:rPr>
        <w:t> </w:t>
      </w:r>
      <w:r w:rsidRPr="00C72E7B">
        <w:rPr>
          <w:rFonts w:ascii="Arial" w:hAnsi="Arial" w:cs="Arial"/>
        </w:rPr>
        <w:t>metodyk</w:t>
      </w:r>
      <w:r w:rsidR="00A3701D">
        <w:rPr>
          <w:rFonts w:ascii="Arial" w:hAnsi="Arial" w:cs="Arial"/>
        </w:rPr>
        <w:t>i</w:t>
      </w:r>
      <w:r w:rsidRPr="00C72E7B">
        <w:rPr>
          <w:rFonts w:ascii="Arial" w:hAnsi="Arial" w:cs="Arial"/>
        </w:rPr>
        <w:t xml:space="preserve"> integrowanej produkcji roślin.</w:t>
      </w:r>
    </w:p>
    <w:p w14:paraId="30462F19" w14:textId="77777777" w:rsidR="00056846" w:rsidRPr="005E4627" w:rsidRDefault="00E54725">
      <w:pPr>
        <w:pStyle w:val="Nagwek2"/>
        <w:jc w:val="both"/>
        <w:rPr>
          <w:i w:val="0"/>
          <w:sz w:val="20"/>
          <w:szCs w:val="20"/>
        </w:rPr>
      </w:pPr>
      <w:bookmarkStart w:id="92" w:name="_Toc341876078"/>
      <w:bookmarkStart w:id="93" w:name="_Toc161744895"/>
      <w:r w:rsidRPr="005E4627">
        <w:rPr>
          <w:i w:val="0"/>
          <w:sz w:val="20"/>
          <w:szCs w:val="20"/>
        </w:rPr>
        <w:t>Zadanie 9. Prowadzenie doradztwa w ochronie roślin</w:t>
      </w:r>
      <w:bookmarkEnd w:id="92"/>
      <w:bookmarkEnd w:id="93"/>
    </w:p>
    <w:p w14:paraId="0F898F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5E4627">
        <w:rPr>
          <w:rFonts w:ascii="Arial" w:hAnsi="Arial" w:cs="Arial"/>
        </w:rPr>
        <w:t xml:space="preserve">Zadaniem Centrum Doradztwa Rolniczego w Brwinowie i </w:t>
      </w:r>
      <w:bookmarkStart w:id="94" w:name="_Hlk94542928"/>
      <w:r w:rsidRPr="005E4627">
        <w:rPr>
          <w:rFonts w:ascii="Arial" w:hAnsi="Arial" w:cs="Arial"/>
        </w:rPr>
        <w:t xml:space="preserve">wojewódzkich ośrodków doradztwa rolniczego </w:t>
      </w:r>
      <w:bookmarkEnd w:id="94"/>
      <w:r w:rsidRPr="005E4627">
        <w:rPr>
          <w:rFonts w:ascii="Arial" w:hAnsi="Arial" w:cs="Arial"/>
        </w:rPr>
        <w:t>jest prowadzenie doradztwa w zakresie rolnictwa. Wojewódzkie ośrodki doradztwa rolniczego w ramach zadań z zakresu doradztwa rolniczego prowadzą szkolenia dla rolników i innych mieszkańców</w:t>
      </w:r>
      <w:r w:rsidRPr="005F7930">
        <w:rPr>
          <w:rFonts w:ascii="Arial" w:hAnsi="Arial" w:cs="Arial"/>
        </w:rPr>
        <w:t xml:space="preserve"> obszarów wiejskich, w szczególności w zakresie stosowania nowoczesnych metod agrotechnicznych i rolnictwa ekologicznego</w:t>
      </w:r>
      <w:r w:rsidRPr="00925BCD">
        <w:rPr>
          <w:rFonts w:ascii="Arial" w:hAnsi="Arial" w:cs="Arial"/>
        </w:rPr>
        <w:t xml:space="preserve">. Ponadto wojewódzkie ośrodki doradztwa rolniczego prowadzą działalność informacyjną wspierającą rozwój produkcji rolniczej, działalność w zakresie podnoszenia kwalifikacji zawodowych rolników i innych mieszkańców obszarów wiejskich oraz upowszechniają metody produkcji rolniczej. Zadania te obejmują także upowszechnianie wiedzy i przekazywanie użytkownikom środków ochrony roślin najnowszych informacji związanych z ochroną roślin. Właściwy sposób postępowania producentów rolnych stosujących środki ochrony roślin w największym stopniu ogranicza ryzyko związane z ich użyciem. Dlatego jest konieczne wykorzystanie profesjonalnego i niezależnego doradztwa w tym zakresie. </w:t>
      </w:r>
    </w:p>
    <w:p w14:paraId="2B3FC054"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oraz wojewódzkie ośrodki doradztwa rolniczego współpracują z instytucjami administracji rządowej i samorządowej działającymi m.in. na rzecz ochrony roślin, w szczególności z instytutami badawczymi, uczelniami rolniczymi, Państwową Inspekcją Ochrony Roślin i</w:t>
      </w:r>
      <w:r w:rsidR="00A921E2" w:rsidRPr="00925BCD">
        <w:rPr>
          <w:rFonts w:ascii="Arial" w:hAnsi="Arial" w:cs="Arial"/>
        </w:rPr>
        <w:t xml:space="preserve"> </w:t>
      </w:r>
      <w:r w:rsidRPr="00925BCD">
        <w:rPr>
          <w:rFonts w:ascii="Arial" w:hAnsi="Arial" w:cs="Arial"/>
        </w:rPr>
        <w:t>Nasiennictwa oraz izbami rolniczymi, branżowymi organizacjami rolników i innymi podmiotami gospodarczymi dostarczającymi środki do produkcji rolnej.</w:t>
      </w:r>
    </w:p>
    <w:p w14:paraId="47C21B60"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wraz z wojewódzkimi ośrodkami doradztwa rolniczego są podstawowymi jednostkami, które zajmują się kształceniem ustawicznym rolników i mieszkańców obszarów wiejskich. Doskonalenie kadry doradczej z ośrodków wojewódzkich jest realizowane przez system specjalistycznych szkoleń oraz organizowanie seminariów, konferencji i pokazów najlepszych praktyk rolniczych, stanowiąc ważny element gwarancji świadczenia wysokiej jakości usług doradczych.</w:t>
      </w:r>
    </w:p>
    <w:p w14:paraId="4073E670" w14:textId="3F2F3B57" w:rsidR="003A0BD7" w:rsidRDefault="003A0BD7" w:rsidP="00A921E2">
      <w:pPr>
        <w:pStyle w:val="NormalnyWeb"/>
        <w:tabs>
          <w:tab w:val="left" w:pos="284"/>
        </w:tabs>
        <w:spacing w:beforeAutospacing="0" w:after="120" w:afterAutospacing="0" w:line="360" w:lineRule="auto"/>
        <w:ind w:firstLine="284"/>
        <w:jc w:val="both"/>
        <w:rPr>
          <w:rFonts w:ascii="Arial" w:hAnsi="Arial" w:cs="Arial"/>
          <w:b/>
        </w:rPr>
      </w:pPr>
      <w:r>
        <w:rPr>
          <w:rFonts w:ascii="Arial" w:hAnsi="Arial" w:cs="Arial"/>
          <w:lang w:bidi="pl-PL"/>
        </w:rPr>
        <w:t>W latach 2018</w:t>
      </w:r>
      <w:bookmarkStart w:id="95" w:name="_Hlk94542588"/>
      <w:r>
        <w:rPr>
          <w:rFonts w:ascii="Arial" w:hAnsi="Arial" w:cs="Arial"/>
          <w:lang w:bidi="pl-PL"/>
        </w:rPr>
        <w:t>–</w:t>
      </w:r>
      <w:bookmarkEnd w:id="95"/>
      <w:r>
        <w:rPr>
          <w:rFonts w:ascii="Arial" w:hAnsi="Arial" w:cs="Arial"/>
          <w:lang w:bidi="pl-PL"/>
        </w:rPr>
        <w:t>202</w:t>
      </w:r>
      <w:r w:rsidR="00B925AA">
        <w:rPr>
          <w:rFonts w:ascii="Arial" w:hAnsi="Arial" w:cs="Arial"/>
          <w:lang w:bidi="pl-PL"/>
        </w:rPr>
        <w:t>2</w:t>
      </w:r>
      <w:r>
        <w:rPr>
          <w:rFonts w:ascii="Arial" w:hAnsi="Arial" w:cs="Arial"/>
          <w:lang w:bidi="pl-PL"/>
        </w:rPr>
        <w:t xml:space="preserve"> </w:t>
      </w:r>
      <w:r w:rsidRPr="00925BCD">
        <w:rPr>
          <w:rFonts w:ascii="Arial" w:hAnsi="Arial" w:cs="Arial"/>
          <w:lang w:bidi="pl-PL"/>
        </w:rPr>
        <w:t>Centrum Doradztwa Rolniczego organizowało szkolenia</w:t>
      </w:r>
      <w:r w:rsidR="0038098C">
        <w:rPr>
          <w:rFonts w:ascii="Arial" w:hAnsi="Arial" w:cs="Arial"/>
          <w:lang w:bidi="pl-PL"/>
        </w:rPr>
        <w:t xml:space="preserve"> i konferencje</w:t>
      </w:r>
      <w:r>
        <w:rPr>
          <w:rFonts w:ascii="Arial" w:hAnsi="Arial" w:cs="Arial"/>
          <w:lang w:bidi="pl-PL"/>
        </w:rPr>
        <w:t>:</w:t>
      </w:r>
    </w:p>
    <w:p w14:paraId="7CA108F0" w14:textId="651CA79B"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w:t>
      </w:r>
      <w:r w:rsidR="000C7588">
        <w:rPr>
          <w:rFonts w:ascii="Arial" w:hAnsi="Arial" w:cs="Arial"/>
          <w:b/>
        </w:rPr>
        <w:t> </w:t>
      </w:r>
      <w:r w:rsidRPr="00925BCD">
        <w:rPr>
          <w:rFonts w:ascii="Arial" w:hAnsi="Arial" w:cs="Arial"/>
          <w:b/>
        </w:rPr>
        <w:t>r.</w:t>
      </w:r>
      <w:r w:rsidRPr="00925BCD">
        <w:rPr>
          <w:rFonts w:ascii="Arial" w:hAnsi="Arial" w:cs="Arial"/>
        </w:rPr>
        <w:t xml:space="preserve"> </w:t>
      </w:r>
      <w:bookmarkStart w:id="96" w:name="_Hlk94542639"/>
      <w:r w:rsidR="003A0BD7">
        <w:rPr>
          <w:rFonts w:ascii="Arial" w:hAnsi="Arial" w:cs="Arial"/>
          <w:lang w:bidi="pl-PL"/>
        </w:rPr>
        <w:t>–</w:t>
      </w:r>
      <w:r w:rsidRPr="00925BCD">
        <w:rPr>
          <w:rFonts w:ascii="Arial" w:hAnsi="Arial" w:cs="Arial"/>
          <w:lang w:bidi="pl-PL"/>
        </w:rPr>
        <w:t xml:space="preserve"> </w:t>
      </w:r>
      <w:bookmarkEnd w:id="96"/>
      <w:r w:rsidRPr="00925BCD">
        <w:rPr>
          <w:rFonts w:ascii="Arial" w:hAnsi="Arial" w:cs="Arial"/>
          <w:lang w:bidi="pl-PL"/>
        </w:rPr>
        <w:t xml:space="preserve">„Racjonalne stosowanie środków ochrony roślin w uprawach ogrodniczych”, </w:t>
      </w:r>
      <w:r w:rsidRPr="00925BCD">
        <w:rPr>
          <w:rFonts w:ascii="Arial" w:hAnsi="Arial" w:cs="Arial"/>
          <w:lang w:bidi="pl-PL"/>
        </w:rPr>
        <w:lastRenderedPageBreak/>
        <w:t>„Rozpoznawanie chorób i szkodników w uprawach sadowniczych” oraz „Doradztwo w zakresie środków ochrony roślin”. W szkoleniach uczestniczyło 255 osób, mieszkańców obszarów wiejskich.</w:t>
      </w:r>
    </w:p>
    <w:p w14:paraId="48E0E1F0" w14:textId="49BC8183" w:rsidR="00056846" w:rsidRPr="00925BCD" w:rsidRDefault="008152FF" w:rsidP="00A921E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Zo</w:t>
      </w:r>
      <w:r w:rsidR="00E54725" w:rsidRPr="00925BCD">
        <w:rPr>
          <w:rFonts w:ascii="Arial" w:hAnsi="Arial" w:cs="Arial"/>
        </w:rPr>
        <w:t>rganizowa</w:t>
      </w:r>
      <w:r>
        <w:rPr>
          <w:rFonts w:ascii="Arial" w:hAnsi="Arial" w:cs="Arial"/>
        </w:rPr>
        <w:t>no</w:t>
      </w:r>
      <w:r w:rsidR="00E54725" w:rsidRPr="00925BCD">
        <w:rPr>
          <w:rFonts w:ascii="Arial" w:hAnsi="Arial" w:cs="Arial"/>
        </w:rPr>
        <w:t xml:space="preserve"> również trzy konferencje dla pracowników jednostek doradztwa rolniczego, przedstawicieli instytucji pracujących na rzecz rolnictwa oraz rolników:</w:t>
      </w:r>
    </w:p>
    <w:p w14:paraId="76488CAD" w14:textId="77777777" w:rsidR="00056846" w:rsidRPr="00925BCD" w:rsidRDefault="00E54725" w:rsidP="002C2375">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III Forum Wiedzy i Innowacji,</w:t>
      </w:r>
    </w:p>
    <w:p w14:paraId="5849B68B"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Nauka doradztwu rolniczemu,</w:t>
      </w:r>
    </w:p>
    <w:p w14:paraId="1EECC957"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Praktyczne wykorzystanie i wdrażanie wyników badań naukowych oraz nowe osiągnięcia w hodowli odmianowej do zastosowania w produkcji roślinnej.</w:t>
      </w:r>
    </w:p>
    <w:p w14:paraId="7CF4D615" w14:textId="77777777" w:rsidR="00056846" w:rsidRPr="00925BCD" w:rsidRDefault="00E54725"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konferencjach uczestniczyło 265 osób.</w:t>
      </w:r>
    </w:p>
    <w:p w14:paraId="57C5EEC5" w14:textId="7A1D43AA" w:rsidR="00164E4D" w:rsidRPr="00925BCD" w:rsidRDefault="00164E4D"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003A0BD7">
        <w:rPr>
          <w:rFonts w:ascii="Arial" w:hAnsi="Arial" w:cs="Arial"/>
          <w:lang w:bidi="pl-PL"/>
        </w:rPr>
        <w:t>–</w:t>
      </w:r>
      <w:r w:rsidR="003A0BD7" w:rsidRPr="00925BCD">
        <w:rPr>
          <w:rFonts w:ascii="Arial" w:hAnsi="Arial" w:cs="Arial"/>
          <w:lang w:bidi="pl-PL"/>
        </w:rPr>
        <w:t xml:space="preserve"> </w:t>
      </w:r>
      <w:r w:rsidRPr="00925BCD">
        <w:rPr>
          <w:rFonts w:ascii="Arial" w:hAnsi="Arial" w:cs="Arial"/>
        </w:rPr>
        <w:t>„Racjonalne stosowanie środków ochrony roślin w uprawach ogrodniczych”</w:t>
      </w:r>
      <w:r w:rsidR="00233466" w:rsidRPr="00925BCD">
        <w:rPr>
          <w:rFonts w:ascii="Arial" w:hAnsi="Arial" w:cs="Arial"/>
        </w:rPr>
        <w:t xml:space="preserve"> oraz</w:t>
      </w:r>
      <w:r w:rsidRPr="00925BCD">
        <w:rPr>
          <w:rFonts w:ascii="Arial" w:hAnsi="Arial" w:cs="Arial"/>
        </w:rPr>
        <w:t xml:space="preserve"> „Przepisy ochrony środowiska w gospodarstwie rolnym” W szkoleniach uczestniczyły 44 osoby.</w:t>
      </w:r>
    </w:p>
    <w:p w14:paraId="627EF405" w14:textId="4815FF02" w:rsidR="00233466" w:rsidRPr="00925BCD" w:rsidRDefault="008152FF" w:rsidP="00233466">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w:t>
      </w:r>
      <w:r w:rsidR="005B257C" w:rsidRPr="00925BCD">
        <w:rPr>
          <w:rFonts w:ascii="Arial" w:hAnsi="Arial" w:cs="Arial"/>
        </w:rPr>
        <w:t>organizowano również konferencj</w:t>
      </w:r>
      <w:r w:rsidR="00233466" w:rsidRPr="00925BCD">
        <w:rPr>
          <w:rFonts w:ascii="Arial" w:hAnsi="Arial" w:cs="Arial"/>
        </w:rPr>
        <w:t>e:</w:t>
      </w:r>
    </w:p>
    <w:p w14:paraId="3B643E41" w14:textId="77777777" w:rsidR="00233466" w:rsidRPr="00925BCD" w:rsidRDefault="005B257C"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 Dni Przedsiębiorcy Rolnego nt. “Organizacji gospodarstwa rolnego przyjaznego dla środowiska’',</w:t>
      </w:r>
    </w:p>
    <w:p w14:paraId="0FB526AC" w14:textId="77777777" w:rsidR="00233466" w:rsidRPr="00925BCD" w:rsidRDefault="00233466"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„Praktyczne wykorzystanie osiągnięć naukowych w produkcji rolniczej” </w:t>
      </w:r>
    </w:p>
    <w:p w14:paraId="33994CE8" w14:textId="5F2D5DA7" w:rsidR="005B257C" w:rsidRDefault="00233466"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konferencjach</w:t>
      </w:r>
      <w:r w:rsidR="005B257C" w:rsidRPr="00925BCD">
        <w:rPr>
          <w:rFonts w:ascii="Arial" w:hAnsi="Arial" w:cs="Arial"/>
        </w:rPr>
        <w:t xml:space="preserve"> uczestniczył</w:t>
      </w:r>
      <w:r w:rsidRPr="00925BCD">
        <w:rPr>
          <w:rFonts w:ascii="Arial" w:hAnsi="Arial" w:cs="Arial"/>
        </w:rPr>
        <w:t>y</w:t>
      </w:r>
      <w:r w:rsidR="005B257C" w:rsidRPr="00925BCD">
        <w:rPr>
          <w:rFonts w:ascii="Arial" w:hAnsi="Arial" w:cs="Arial"/>
        </w:rPr>
        <w:t xml:space="preserve"> 2</w:t>
      </w:r>
      <w:r w:rsidRPr="00925BCD">
        <w:rPr>
          <w:rFonts w:ascii="Arial" w:hAnsi="Arial" w:cs="Arial"/>
        </w:rPr>
        <w:t>43 osoby</w:t>
      </w:r>
      <w:r w:rsidR="005B257C" w:rsidRPr="00925BCD">
        <w:rPr>
          <w:rFonts w:ascii="Arial" w:hAnsi="Arial" w:cs="Arial"/>
        </w:rPr>
        <w:t xml:space="preserve">. </w:t>
      </w:r>
    </w:p>
    <w:p w14:paraId="2863EA2A" w14:textId="22604134" w:rsidR="003A0BD7" w:rsidRDefault="003A0BD7" w:rsidP="003A0BD7">
      <w:pPr>
        <w:pStyle w:val="NormalnyWeb"/>
        <w:tabs>
          <w:tab w:val="left" w:pos="284"/>
        </w:tabs>
        <w:spacing w:beforeAutospacing="0" w:after="120" w:afterAutospacing="0" w:line="360" w:lineRule="auto"/>
        <w:ind w:firstLine="284"/>
        <w:jc w:val="both"/>
        <w:rPr>
          <w:rFonts w:ascii="Arial" w:hAnsi="Arial" w:cs="Arial"/>
        </w:rPr>
      </w:pPr>
      <w:r w:rsidRPr="008152FF">
        <w:rPr>
          <w:rFonts w:ascii="Arial" w:hAnsi="Arial" w:cs="Arial"/>
          <w:b/>
          <w:bCs/>
        </w:rPr>
        <w:t>W 2020 r.</w:t>
      </w:r>
      <w:r>
        <w:rPr>
          <w:rFonts w:ascii="Arial" w:hAnsi="Arial" w:cs="Arial"/>
        </w:rPr>
        <w:t xml:space="preserve"> – </w:t>
      </w:r>
      <w:r w:rsidRPr="003A0BD7">
        <w:rPr>
          <w:rFonts w:ascii="Arial" w:hAnsi="Arial" w:cs="Arial"/>
        </w:rPr>
        <w:t>„Ochrona roślin w gospodarstwie ekologicznym</w:t>
      </w:r>
      <w:r>
        <w:rPr>
          <w:rFonts w:ascii="Arial" w:hAnsi="Arial" w:cs="Arial"/>
        </w:rPr>
        <w:t>”</w:t>
      </w:r>
      <w:r w:rsidRPr="003A0BD7">
        <w:rPr>
          <w:rFonts w:ascii="Arial" w:hAnsi="Arial" w:cs="Arial"/>
        </w:rPr>
        <w:t xml:space="preserve"> dla 85 osób </w:t>
      </w:r>
      <w:r>
        <w:rPr>
          <w:rFonts w:ascii="Arial" w:hAnsi="Arial" w:cs="Arial"/>
        </w:rPr>
        <w:t>oraz „</w:t>
      </w:r>
      <w:r w:rsidRPr="003A0BD7">
        <w:rPr>
          <w:rFonts w:ascii="Arial" w:hAnsi="Arial" w:cs="Arial"/>
        </w:rPr>
        <w:t>Integrowana Ochrona Roślin</w:t>
      </w:r>
      <w:r>
        <w:rPr>
          <w:rFonts w:ascii="Arial" w:hAnsi="Arial" w:cs="Arial"/>
        </w:rPr>
        <w:t>”</w:t>
      </w:r>
      <w:r w:rsidRPr="003A0BD7">
        <w:rPr>
          <w:rFonts w:ascii="Arial" w:hAnsi="Arial" w:cs="Arial"/>
        </w:rPr>
        <w:t xml:space="preserve"> (9 szkoleń dla 193 osób)</w:t>
      </w:r>
      <w:r>
        <w:rPr>
          <w:rFonts w:ascii="Arial" w:hAnsi="Arial" w:cs="Arial"/>
        </w:rPr>
        <w:t>.</w:t>
      </w:r>
    </w:p>
    <w:p w14:paraId="61B2294D" w14:textId="4DC90620" w:rsidR="004D343C" w:rsidRDefault="009D3353" w:rsidP="00741CD7">
      <w:pPr>
        <w:pStyle w:val="NormalnyWeb"/>
        <w:tabs>
          <w:tab w:val="left" w:pos="284"/>
        </w:tabs>
        <w:spacing w:beforeAutospacing="0" w:after="120" w:afterAutospacing="0" w:line="360" w:lineRule="auto"/>
        <w:ind w:firstLine="284"/>
        <w:jc w:val="both"/>
        <w:rPr>
          <w:rFonts w:ascii="Arial" w:hAnsi="Arial" w:cs="Arial"/>
        </w:rPr>
      </w:pPr>
      <w:r w:rsidRPr="009D3353">
        <w:rPr>
          <w:rFonts w:ascii="Arial" w:hAnsi="Arial" w:cs="Arial"/>
          <w:b/>
          <w:bCs/>
        </w:rPr>
        <w:t>W 2021 r.</w:t>
      </w:r>
      <w:r w:rsidRPr="009D3353">
        <w:rPr>
          <w:rFonts w:ascii="Arial" w:hAnsi="Arial" w:cs="Arial"/>
        </w:rPr>
        <w:t xml:space="preserve"> </w:t>
      </w:r>
      <w:r w:rsidR="00741CD7">
        <w:rPr>
          <w:rFonts w:ascii="Arial" w:hAnsi="Arial" w:cs="Arial"/>
          <w:lang w:bidi="pl-PL"/>
        </w:rPr>
        <w:t xml:space="preserve">– </w:t>
      </w:r>
      <w:r w:rsidR="002F61E4" w:rsidRPr="002F61E4">
        <w:rPr>
          <w:rFonts w:ascii="Arial" w:hAnsi="Arial" w:cs="Arial"/>
          <w:lang w:bidi="pl-PL"/>
        </w:rPr>
        <w:t>„ Możliwości ograniczenia stosowania pestycydów w produkcji roślinnej” dla 32 osób oraz „ Integrowana Ochrona Roślin” (13 szkoleń dla 290 osób).</w:t>
      </w:r>
    </w:p>
    <w:p w14:paraId="137BDCC4" w14:textId="3F0E37CA" w:rsidR="00CA4696" w:rsidRPr="00CA4696" w:rsidRDefault="00CA4696" w:rsidP="00CA4696">
      <w:pPr>
        <w:pStyle w:val="NormalnyWeb"/>
        <w:tabs>
          <w:tab w:val="left" w:pos="284"/>
        </w:tabs>
        <w:spacing w:beforeAutospacing="0" w:after="120" w:afterAutospacing="0" w:line="360" w:lineRule="auto"/>
        <w:ind w:firstLine="284"/>
        <w:jc w:val="both"/>
        <w:rPr>
          <w:rFonts w:ascii="Arial" w:hAnsi="Arial" w:cs="Arial"/>
        </w:rPr>
      </w:pPr>
      <w:r w:rsidRPr="00C26540">
        <w:rPr>
          <w:rFonts w:ascii="Arial" w:hAnsi="Arial" w:cs="Arial"/>
          <w:b/>
          <w:bCs/>
        </w:rPr>
        <w:t>W 2022 r.</w:t>
      </w:r>
      <w:r w:rsidRPr="00CA4696">
        <w:rPr>
          <w:rFonts w:ascii="Arial" w:hAnsi="Arial" w:cs="Arial"/>
        </w:rPr>
        <w:t xml:space="preserve"> –</w:t>
      </w:r>
      <w:r>
        <w:rPr>
          <w:rFonts w:ascii="Arial" w:hAnsi="Arial" w:cs="Arial"/>
        </w:rPr>
        <w:t xml:space="preserve"> </w:t>
      </w:r>
      <w:r w:rsidR="002F61E4">
        <w:rPr>
          <w:rFonts w:ascii="Arial" w:hAnsi="Arial" w:cs="Arial"/>
        </w:rPr>
        <w:t>„</w:t>
      </w:r>
      <w:r w:rsidRPr="00CA4696">
        <w:rPr>
          <w:rFonts w:ascii="Arial" w:hAnsi="Arial" w:cs="Arial"/>
        </w:rPr>
        <w:t>Innowacyjne rozwiązania oraz dobre praktyki w zakresie ograniczenia stosowania środków ochrony roślin</w:t>
      </w:r>
      <w:r w:rsidR="002F61E4">
        <w:rPr>
          <w:rFonts w:ascii="Arial" w:hAnsi="Arial" w:cs="Arial"/>
        </w:rPr>
        <w:t>”</w:t>
      </w:r>
      <w:r>
        <w:rPr>
          <w:rFonts w:ascii="Arial" w:hAnsi="Arial" w:cs="Arial"/>
        </w:rPr>
        <w:t xml:space="preserve"> </w:t>
      </w:r>
      <w:r w:rsidRPr="00CA4696">
        <w:rPr>
          <w:rFonts w:ascii="Arial" w:hAnsi="Arial" w:cs="Arial"/>
        </w:rPr>
        <w:t>dla 115 osób, „Technologie, nowe odmiany i ochrona upraw ziemniaka” dla 87 osób, „Dobre praktyki uprawy zbóż metodami ekologicznymi – dobór odmian, ochrona roślin, nawożenie, przydatność do przetwórstwa” dla 55 osób. Łącznie w szkoleniach uczestniczyło 257 osób.</w:t>
      </w:r>
    </w:p>
    <w:p w14:paraId="11D104AD" w14:textId="70F1884F" w:rsidR="00CA4696" w:rsidRPr="00CA4696" w:rsidRDefault="00CA4696" w:rsidP="00CA4696">
      <w:pPr>
        <w:pStyle w:val="NormalnyWeb"/>
        <w:tabs>
          <w:tab w:val="left" w:pos="284"/>
        </w:tabs>
        <w:spacing w:beforeAutospacing="0" w:after="120" w:afterAutospacing="0" w:line="360" w:lineRule="auto"/>
        <w:ind w:firstLine="284"/>
        <w:jc w:val="both"/>
        <w:rPr>
          <w:rFonts w:ascii="Arial" w:hAnsi="Arial" w:cs="Arial"/>
        </w:rPr>
      </w:pPr>
      <w:r w:rsidRPr="00CA4696">
        <w:rPr>
          <w:rFonts w:ascii="Arial" w:hAnsi="Arial" w:cs="Arial"/>
        </w:rPr>
        <w:t xml:space="preserve">Centrum Doradztwa Rolniczego w Brwinowie zorganizowano </w:t>
      </w:r>
      <w:r w:rsidR="007B7DAB">
        <w:rPr>
          <w:rFonts w:ascii="Arial" w:hAnsi="Arial" w:cs="Arial"/>
        </w:rPr>
        <w:t xml:space="preserve">też </w:t>
      </w:r>
      <w:r w:rsidRPr="00CA4696">
        <w:rPr>
          <w:rFonts w:ascii="Arial" w:hAnsi="Arial" w:cs="Arial"/>
        </w:rPr>
        <w:t>pięć konferencji:</w:t>
      </w:r>
    </w:p>
    <w:p w14:paraId="1AAD208A" w14:textId="27BAD4EA" w:rsidR="00CA4696" w:rsidRPr="00CA4696" w:rsidRDefault="00CA4696" w:rsidP="002B178E">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CA4696">
        <w:rPr>
          <w:rFonts w:ascii="Arial" w:hAnsi="Arial" w:cs="Arial"/>
        </w:rPr>
        <w:t>Praktyczne aspekty wdrażania osiągnięć naukowych w produkcji roślinnej</w:t>
      </w:r>
      <w:r w:rsidR="008C766B">
        <w:rPr>
          <w:rFonts w:ascii="Arial" w:hAnsi="Arial" w:cs="Arial"/>
        </w:rPr>
        <w:t>,</w:t>
      </w:r>
    </w:p>
    <w:p w14:paraId="7EC610BE" w14:textId="4586DEAA" w:rsidR="00CA4696" w:rsidRPr="00CA4696" w:rsidRDefault="00CA4696" w:rsidP="002B178E">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CA4696">
        <w:rPr>
          <w:rFonts w:ascii="Arial" w:hAnsi="Arial" w:cs="Arial"/>
        </w:rPr>
        <w:t>Praktyczne aspekty wdrażania osiągnięć naukowych w produkcji zwierzęcej</w:t>
      </w:r>
      <w:r w:rsidR="008C766B">
        <w:rPr>
          <w:rFonts w:ascii="Arial" w:hAnsi="Arial" w:cs="Arial"/>
        </w:rPr>
        <w:t>,</w:t>
      </w:r>
    </w:p>
    <w:p w14:paraId="0F7D3539" w14:textId="7C371471" w:rsidR="00CA4696" w:rsidRPr="00CA4696" w:rsidRDefault="00CA4696" w:rsidP="002B178E">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CA4696">
        <w:rPr>
          <w:rFonts w:ascii="Arial" w:hAnsi="Arial" w:cs="Arial"/>
        </w:rPr>
        <w:t>Rolnictwo ekologiczne – szansa dla rolników i konsumentów,</w:t>
      </w:r>
    </w:p>
    <w:p w14:paraId="516F8A45" w14:textId="0084D831" w:rsidR="00CA4696" w:rsidRPr="00CA4696" w:rsidRDefault="00CA4696" w:rsidP="002B178E">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CA4696">
        <w:rPr>
          <w:rFonts w:ascii="Arial" w:hAnsi="Arial" w:cs="Arial"/>
        </w:rPr>
        <w:t>Praktyczne wykorzystanie wyników badań prowadzonych na rzecz rolnictwa ekologicznego,</w:t>
      </w:r>
    </w:p>
    <w:p w14:paraId="3F186C9B" w14:textId="03669231" w:rsidR="00CA4696" w:rsidRPr="00CA4696" w:rsidRDefault="00CA4696" w:rsidP="002B178E">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CA4696">
        <w:rPr>
          <w:rFonts w:ascii="Arial" w:hAnsi="Arial" w:cs="Arial"/>
        </w:rPr>
        <w:t xml:space="preserve"> VII Forum Wiedzy i Innowacji.</w:t>
      </w:r>
    </w:p>
    <w:p w14:paraId="270B5399" w14:textId="77777777" w:rsidR="00CA4696" w:rsidRPr="00CA4696" w:rsidRDefault="00CA4696" w:rsidP="00CA4696">
      <w:pPr>
        <w:pStyle w:val="NormalnyWeb"/>
        <w:tabs>
          <w:tab w:val="left" w:pos="284"/>
        </w:tabs>
        <w:spacing w:beforeAutospacing="0" w:after="120" w:afterAutospacing="0" w:line="360" w:lineRule="auto"/>
        <w:ind w:firstLine="284"/>
        <w:jc w:val="both"/>
        <w:rPr>
          <w:rFonts w:ascii="Arial" w:hAnsi="Arial" w:cs="Arial"/>
        </w:rPr>
      </w:pPr>
      <w:r w:rsidRPr="00CA4696">
        <w:rPr>
          <w:rFonts w:ascii="Arial" w:hAnsi="Arial" w:cs="Arial"/>
        </w:rPr>
        <w:t>W konferencjach uczestniczyło łącznie 477 osób.</w:t>
      </w:r>
    </w:p>
    <w:p w14:paraId="2444184E" w14:textId="630C23E2" w:rsidR="009452E0" w:rsidRDefault="00CA4696" w:rsidP="00CA4696">
      <w:pPr>
        <w:pStyle w:val="NormalnyWeb"/>
        <w:tabs>
          <w:tab w:val="left" w:pos="284"/>
        </w:tabs>
        <w:spacing w:beforeAutospacing="0" w:after="120" w:afterAutospacing="0" w:line="360" w:lineRule="auto"/>
        <w:ind w:firstLine="284"/>
        <w:jc w:val="both"/>
        <w:rPr>
          <w:rFonts w:ascii="Arial" w:hAnsi="Arial" w:cs="Arial"/>
        </w:rPr>
      </w:pPr>
      <w:r w:rsidRPr="00CA4696">
        <w:rPr>
          <w:rFonts w:ascii="Arial" w:hAnsi="Arial" w:cs="Arial"/>
        </w:rPr>
        <w:t>W ramach upowszechniania opracowano serie artykułów i informacji, które zamieszczane były w</w:t>
      </w:r>
      <w:r w:rsidR="008C766B">
        <w:rPr>
          <w:rFonts w:ascii="Arial" w:hAnsi="Arial" w:cs="Arial"/>
        </w:rPr>
        <w:t> </w:t>
      </w:r>
      <w:r w:rsidRPr="00CA4696">
        <w:rPr>
          <w:rFonts w:ascii="Arial" w:hAnsi="Arial" w:cs="Arial"/>
        </w:rPr>
        <w:t xml:space="preserve">biuletynie Horyzont CDR i na stronach internetowych oraz </w:t>
      </w:r>
      <w:r w:rsidR="007B7DAB">
        <w:rPr>
          <w:rFonts w:ascii="Arial" w:hAnsi="Arial" w:cs="Arial"/>
        </w:rPr>
        <w:t>o</w:t>
      </w:r>
      <w:r w:rsidRPr="00CA4696">
        <w:rPr>
          <w:rFonts w:ascii="Arial" w:hAnsi="Arial" w:cs="Arial"/>
        </w:rPr>
        <w:t>publik</w:t>
      </w:r>
      <w:r w:rsidR="007B7DAB">
        <w:rPr>
          <w:rFonts w:ascii="Arial" w:hAnsi="Arial" w:cs="Arial"/>
        </w:rPr>
        <w:t>owano</w:t>
      </w:r>
      <w:r w:rsidRPr="00CA4696">
        <w:rPr>
          <w:rFonts w:ascii="Arial" w:hAnsi="Arial" w:cs="Arial"/>
        </w:rPr>
        <w:t xml:space="preserve"> broszur</w:t>
      </w:r>
      <w:r w:rsidR="007B7DAB">
        <w:rPr>
          <w:rFonts w:ascii="Arial" w:hAnsi="Arial" w:cs="Arial"/>
        </w:rPr>
        <w:t>ę</w:t>
      </w:r>
      <w:r w:rsidRPr="00CA4696">
        <w:rPr>
          <w:rFonts w:ascii="Arial" w:hAnsi="Arial" w:cs="Arial"/>
        </w:rPr>
        <w:t xml:space="preserve"> „Przewodnik </w:t>
      </w:r>
      <w:r w:rsidRPr="00CA4696">
        <w:rPr>
          <w:rFonts w:ascii="Arial" w:hAnsi="Arial" w:cs="Arial"/>
        </w:rPr>
        <w:lastRenderedPageBreak/>
        <w:t>ochrony roślin w rolnictwie ekologicznym”.</w:t>
      </w:r>
    </w:p>
    <w:p w14:paraId="2DF5AA62" w14:textId="73835DC1" w:rsidR="003A0BD7" w:rsidRDefault="003A0BD7" w:rsidP="0072348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latach 2018–202</w:t>
      </w:r>
      <w:r w:rsidR="00D265A8">
        <w:rPr>
          <w:rFonts w:ascii="Arial" w:hAnsi="Arial" w:cs="Arial"/>
        </w:rPr>
        <w:t>2</w:t>
      </w:r>
      <w:r>
        <w:rPr>
          <w:rFonts w:ascii="Arial" w:hAnsi="Arial" w:cs="Arial"/>
        </w:rPr>
        <w:t xml:space="preserve"> swoją działalność szkoleniową</w:t>
      </w:r>
      <w:r w:rsidR="0072348B">
        <w:rPr>
          <w:rFonts w:ascii="Arial" w:hAnsi="Arial" w:cs="Arial"/>
        </w:rPr>
        <w:t>,</w:t>
      </w:r>
      <w:r>
        <w:rPr>
          <w:rFonts w:ascii="Arial" w:hAnsi="Arial" w:cs="Arial"/>
        </w:rPr>
        <w:t xml:space="preserve"> </w:t>
      </w:r>
      <w:r w:rsidRPr="0072348B">
        <w:rPr>
          <w:rFonts w:ascii="Arial" w:hAnsi="Arial" w:cs="Arial"/>
        </w:rPr>
        <w:t xml:space="preserve">doradczą, informacyjną oraz upowszechnieniową </w:t>
      </w:r>
      <w:r>
        <w:rPr>
          <w:rFonts w:ascii="Arial" w:hAnsi="Arial" w:cs="Arial"/>
        </w:rPr>
        <w:t xml:space="preserve">prowadziły również </w:t>
      </w:r>
      <w:r w:rsidRPr="005E4627">
        <w:rPr>
          <w:rFonts w:ascii="Arial" w:hAnsi="Arial" w:cs="Arial"/>
        </w:rPr>
        <w:t>wojewódzki</w:t>
      </w:r>
      <w:r>
        <w:rPr>
          <w:rFonts w:ascii="Arial" w:hAnsi="Arial" w:cs="Arial"/>
        </w:rPr>
        <w:t>e</w:t>
      </w:r>
      <w:r w:rsidRPr="005E4627">
        <w:rPr>
          <w:rFonts w:ascii="Arial" w:hAnsi="Arial" w:cs="Arial"/>
        </w:rPr>
        <w:t xml:space="preserve"> ośrodk</w:t>
      </w:r>
      <w:r>
        <w:rPr>
          <w:rFonts w:ascii="Arial" w:hAnsi="Arial" w:cs="Arial"/>
        </w:rPr>
        <w:t>i</w:t>
      </w:r>
      <w:r w:rsidRPr="005E4627">
        <w:rPr>
          <w:rFonts w:ascii="Arial" w:hAnsi="Arial" w:cs="Arial"/>
        </w:rPr>
        <w:t xml:space="preserve"> doradztwa rolniczego</w:t>
      </w:r>
      <w:r>
        <w:rPr>
          <w:rFonts w:ascii="Arial" w:hAnsi="Arial" w:cs="Arial"/>
        </w:rPr>
        <w:t xml:space="preserve">. </w:t>
      </w:r>
      <w:r w:rsidRPr="0072348B">
        <w:rPr>
          <w:rFonts w:ascii="Arial" w:hAnsi="Arial" w:cs="Arial"/>
        </w:rPr>
        <w:t xml:space="preserve">W tym czasie zrealizowano: </w:t>
      </w:r>
    </w:p>
    <w:tbl>
      <w:tblPr>
        <w:tblStyle w:val="Tabela-Siatka"/>
        <w:tblW w:w="9451" w:type="dxa"/>
        <w:tblLayout w:type="fixed"/>
        <w:tblLook w:val="04A0" w:firstRow="1" w:lastRow="0" w:firstColumn="1" w:lastColumn="0" w:noHBand="0" w:noVBand="1"/>
      </w:tblPr>
      <w:tblGrid>
        <w:gridCol w:w="846"/>
        <w:gridCol w:w="992"/>
        <w:gridCol w:w="1470"/>
        <w:gridCol w:w="1976"/>
        <w:gridCol w:w="1649"/>
        <w:gridCol w:w="8"/>
        <w:gridCol w:w="1038"/>
        <w:gridCol w:w="1472"/>
      </w:tblGrid>
      <w:tr w:rsidR="003A0BD7" w:rsidRPr="00A64A84" w14:paraId="6ABCFA2A" w14:textId="77777777" w:rsidTr="00C2109B">
        <w:tc>
          <w:tcPr>
            <w:tcW w:w="846" w:type="dxa"/>
            <w:vMerge w:val="restart"/>
            <w:vAlign w:val="center"/>
          </w:tcPr>
          <w:p w14:paraId="5371AFE3" w14:textId="77777777" w:rsidR="003A0BD7" w:rsidRPr="008C6249" w:rsidRDefault="003A0BD7" w:rsidP="00315404">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Rok</w:t>
            </w:r>
          </w:p>
        </w:tc>
        <w:tc>
          <w:tcPr>
            <w:tcW w:w="2462" w:type="dxa"/>
            <w:gridSpan w:val="2"/>
            <w:vAlign w:val="center"/>
          </w:tcPr>
          <w:p w14:paraId="4B758143"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szkoleniowa</w:t>
            </w:r>
          </w:p>
        </w:tc>
        <w:tc>
          <w:tcPr>
            <w:tcW w:w="1976" w:type="dxa"/>
            <w:vMerge w:val="restart"/>
            <w:vAlign w:val="center"/>
          </w:tcPr>
          <w:p w14:paraId="75ECD37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Porady/doradztwo grupowe</w:t>
            </w:r>
          </w:p>
          <w:p w14:paraId="197933D4"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1657" w:type="dxa"/>
            <w:gridSpan w:val="2"/>
            <w:vMerge w:val="restart"/>
            <w:vAlign w:val="center"/>
          </w:tcPr>
          <w:p w14:paraId="59C61D76"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Informacje</w:t>
            </w:r>
          </w:p>
          <w:p w14:paraId="206522B8"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2510" w:type="dxa"/>
            <w:gridSpan w:val="2"/>
            <w:vAlign w:val="center"/>
          </w:tcPr>
          <w:p w14:paraId="62F1A111"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upowszechnieniowa</w:t>
            </w:r>
          </w:p>
        </w:tc>
      </w:tr>
      <w:tr w:rsidR="003A0BD7" w:rsidRPr="00A64A84" w14:paraId="4FB2CF48" w14:textId="77777777" w:rsidTr="00C2109B">
        <w:trPr>
          <w:trHeight w:val="899"/>
        </w:trPr>
        <w:tc>
          <w:tcPr>
            <w:tcW w:w="846" w:type="dxa"/>
            <w:vMerge/>
            <w:vAlign w:val="center"/>
          </w:tcPr>
          <w:p w14:paraId="6ED61A29"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p>
        </w:tc>
        <w:tc>
          <w:tcPr>
            <w:tcW w:w="992" w:type="dxa"/>
            <w:vAlign w:val="center"/>
          </w:tcPr>
          <w:p w14:paraId="26B68F3B"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0" w:type="dxa"/>
            <w:vAlign w:val="center"/>
          </w:tcPr>
          <w:p w14:paraId="44A1997C"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c>
          <w:tcPr>
            <w:tcW w:w="1976" w:type="dxa"/>
            <w:vMerge/>
            <w:vAlign w:val="center"/>
          </w:tcPr>
          <w:p w14:paraId="0689F5BA"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657" w:type="dxa"/>
            <w:gridSpan w:val="2"/>
            <w:vMerge/>
            <w:vAlign w:val="center"/>
          </w:tcPr>
          <w:p w14:paraId="75A4A594"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038" w:type="dxa"/>
            <w:vAlign w:val="center"/>
          </w:tcPr>
          <w:p w14:paraId="487103C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2" w:type="dxa"/>
            <w:vAlign w:val="center"/>
          </w:tcPr>
          <w:p w14:paraId="32AA70B6"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r>
      <w:tr w:rsidR="003A0BD7" w:rsidRPr="00A64A84" w14:paraId="0F82E892" w14:textId="77777777" w:rsidTr="00830789">
        <w:tc>
          <w:tcPr>
            <w:tcW w:w="846" w:type="dxa"/>
            <w:vAlign w:val="center"/>
          </w:tcPr>
          <w:p w14:paraId="19C6DCD8" w14:textId="77777777" w:rsidR="003A0BD7" w:rsidRPr="008C6249" w:rsidRDefault="003A0BD7" w:rsidP="00830789">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2018</w:t>
            </w:r>
          </w:p>
        </w:tc>
        <w:tc>
          <w:tcPr>
            <w:tcW w:w="992" w:type="dxa"/>
            <w:vAlign w:val="center"/>
          </w:tcPr>
          <w:p w14:paraId="7D12FC38" w14:textId="77777777" w:rsidR="003A0BD7" w:rsidRPr="008C6249" w:rsidRDefault="003A0BD7" w:rsidP="00830789">
            <w:pPr>
              <w:pStyle w:val="NormalnyWeb"/>
              <w:tabs>
                <w:tab w:val="left" w:pos="284"/>
              </w:tabs>
              <w:spacing w:beforeAutospacing="0" w:afterAutospacing="0" w:line="276" w:lineRule="auto"/>
              <w:jc w:val="center"/>
              <w:rPr>
                <w:rFonts w:ascii="Arial" w:hAnsi="Arial" w:cs="Arial"/>
              </w:rPr>
            </w:pPr>
            <w:r w:rsidRPr="008C6249">
              <w:rPr>
                <w:rFonts w:ascii="Arial" w:hAnsi="Arial" w:cs="Arial"/>
              </w:rPr>
              <w:t>472</w:t>
            </w:r>
          </w:p>
        </w:tc>
        <w:tc>
          <w:tcPr>
            <w:tcW w:w="1470" w:type="dxa"/>
            <w:vAlign w:val="center"/>
          </w:tcPr>
          <w:p w14:paraId="5C62E18F" w14:textId="77777777" w:rsidR="003A0BD7" w:rsidRPr="008C6249" w:rsidRDefault="003A0BD7" w:rsidP="00830789">
            <w:pPr>
              <w:pStyle w:val="NormalnyWeb"/>
              <w:tabs>
                <w:tab w:val="left" w:pos="284"/>
              </w:tabs>
              <w:spacing w:beforeAutospacing="0" w:afterAutospacing="0" w:line="276" w:lineRule="auto"/>
              <w:jc w:val="center"/>
              <w:rPr>
                <w:rFonts w:ascii="Arial" w:hAnsi="Arial" w:cs="Arial"/>
              </w:rPr>
            </w:pPr>
            <w:r w:rsidRPr="008C6249">
              <w:rPr>
                <w:rFonts w:ascii="Arial" w:hAnsi="Arial" w:cs="Arial"/>
              </w:rPr>
              <w:t>9 363</w:t>
            </w:r>
          </w:p>
        </w:tc>
        <w:tc>
          <w:tcPr>
            <w:tcW w:w="1976" w:type="dxa"/>
            <w:vAlign w:val="center"/>
          </w:tcPr>
          <w:p w14:paraId="58741678"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19 071</w:t>
            </w:r>
          </w:p>
        </w:tc>
        <w:tc>
          <w:tcPr>
            <w:tcW w:w="1649" w:type="dxa"/>
            <w:vAlign w:val="center"/>
          </w:tcPr>
          <w:p w14:paraId="788EEC88"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17 081</w:t>
            </w:r>
          </w:p>
        </w:tc>
        <w:tc>
          <w:tcPr>
            <w:tcW w:w="1046" w:type="dxa"/>
            <w:gridSpan w:val="2"/>
            <w:vAlign w:val="center"/>
          </w:tcPr>
          <w:p w14:paraId="1E150FAD"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261</w:t>
            </w:r>
          </w:p>
        </w:tc>
        <w:tc>
          <w:tcPr>
            <w:tcW w:w="1472" w:type="dxa"/>
            <w:vAlign w:val="center"/>
          </w:tcPr>
          <w:p w14:paraId="2907137A"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2139</w:t>
            </w:r>
          </w:p>
        </w:tc>
      </w:tr>
      <w:tr w:rsidR="003A0BD7" w:rsidRPr="00A64A84" w14:paraId="7418D367" w14:textId="77777777" w:rsidTr="00830789">
        <w:tc>
          <w:tcPr>
            <w:tcW w:w="846" w:type="dxa"/>
            <w:vAlign w:val="center"/>
          </w:tcPr>
          <w:p w14:paraId="2C20D3D3" w14:textId="77777777" w:rsidR="003A0BD7" w:rsidRPr="008C6249" w:rsidRDefault="003A0BD7" w:rsidP="00830789">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2019</w:t>
            </w:r>
          </w:p>
        </w:tc>
        <w:tc>
          <w:tcPr>
            <w:tcW w:w="992" w:type="dxa"/>
            <w:vAlign w:val="center"/>
          </w:tcPr>
          <w:p w14:paraId="026B14A1"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480</w:t>
            </w:r>
          </w:p>
        </w:tc>
        <w:tc>
          <w:tcPr>
            <w:tcW w:w="1470" w:type="dxa"/>
            <w:vAlign w:val="center"/>
          </w:tcPr>
          <w:p w14:paraId="61032932"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9295</w:t>
            </w:r>
          </w:p>
        </w:tc>
        <w:tc>
          <w:tcPr>
            <w:tcW w:w="1976" w:type="dxa"/>
            <w:vAlign w:val="center"/>
          </w:tcPr>
          <w:p w14:paraId="515052A9"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18 032</w:t>
            </w:r>
          </w:p>
        </w:tc>
        <w:tc>
          <w:tcPr>
            <w:tcW w:w="1649" w:type="dxa"/>
            <w:vAlign w:val="center"/>
          </w:tcPr>
          <w:p w14:paraId="117FF2AB"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16 640</w:t>
            </w:r>
          </w:p>
        </w:tc>
        <w:tc>
          <w:tcPr>
            <w:tcW w:w="1046" w:type="dxa"/>
            <w:gridSpan w:val="2"/>
            <w:vAlign w:val="center"/>
          </w:tcPr>
          <w:p w14:paraId="748D325B"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121</w:t>
            </w:r>
          </w:p>
        </w:tc>
        <w:tc>
          <w:tcPr>
            <w:tcW w:w="1472" w:type="dxa"/>
            <w:vAlign w:val="center"/>
          </w:tcPr>
          <w:p w14:paraId="67D1BBA7"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720</w:t>
            </w:r>
          </w:p>
        </w:tc>
      </w:tr>
      <w:tr w:rsidR="003A0BD7" w:rsidRPr="00A64A84" w14:paraId="62A1CFC6" w14:textId="77777777" w:rsidTr="00830789">
        <w:tc>
          <w:tcPr>
            <w:tcW w:w="846" w:type="dxa"/>
            <w:vAlign w:val="center"/>
          </w:tcPr>
          <w:p w14:paraId="7772F92C" w14:textId="77777777" w:rsidR="003A0BD7" w:rsidRPr="008C6249" w:rsidRDefault="003A0BD7" w:rsidP="00830789">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2020</w:t>
            </w:r>
          </w:p>
        </w:tc>
        <w:tc>
          <w:tcPr>
            <w:tcW w:w="992" w:type="dxa"/>
            <w:vAlign w:val="center"/>
          </w:tcPr>
          <w:p w14:paraId="10CDF669"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391</w:t>
            </w:r>
          </w:p>
        </w:tc>
        <w:tc>
          <w:tcPr>
            <w:tcW w:w="1470" w:type="dxa"/>
            <w:vAlign w:val="center"/>
          </w:tcPr>
          <w:p w14:paraId="4872E380"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7058</w:t>
            </w:r>
          </w:p>
        </w:tc>
        <w:tc>
          <w:tcPr>
            <w:tcW w:w="1976" w:type="dxa"/>
            <w:vAlign w:val="center"/>
          </w:tcPr>
          <w:p w14:paraId="7A8E78AB"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17 715</w:t>
            </w:r>
          </w:p>
        </w:tc>
        <w:tc>
          <w:tcPr>
            <w:tcW w:w="1649" w:type="dxa"/>
            <w:vAlign w:val="center"/>
          </w:tcPr>
          <w:p w14:paraId="46B829CA"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16 685</w:t>
            </w:r>
          </w:p>
        </w:tc>
        <w:tc>
          <w:tcPr>
            <w:tcW w:w="1046" w:type="dxa"/>
            <w:gridSpan w:val="2"/>
            <w:vAlign w:val="center"/>
          </w:tcPr>
          <w:p w14:paraId="2227F2FE"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101</w:t>
            </w:r>
          </w:p>
        </w:tc>
        <w:tc>
          <w:tcPr>
            <w:tcW w:w="1472" w:type="dxa"/>
            <w:vAlign w:val="center"/>
          </w:tcPr>
          <w:p w14:paraId="71A1AE1F" w14:textId="77777777" w:rsidR="003A0BD7" w:rsidRPr="008C6249" w:rsidRDefault="003A0BD7" w:rsidP="00830789">
            <w:pPr>
              <w:jc w:val="center"/>
              <w:rPr>
                <w:rFonts w:ascii="Arial" w:hAnsi="Arial" w:cs="Arial"/>
                <w:color w:val="000000"/>
                <w:sz w:val="20"/>
                <w:szCs w:val="20"/>
              </w:rPr>
            </w:pPr>
            <w:r w:rsidRPr="008C6249">
              <w:rPr>
                <w:rFonts w:ascii="Arial" w:hAnsi="Arial" w:cs="Arial"/>
                <w:color w:val="000000"/>
                <w:sz w:val="20"/>
                <w:szCs w:val="20"/>
              </w:rPr>
              <w:t>323</w:t>
            </w:r>
          </w:p>
        </w:tc>
      </w:tr>
      <w:tr w:rsidR="003E6F9B" w:rsidRPr="00A64A84" w14:paraId="3DA369C7" w14:textId="77777777" w:rsidTr="00830789">
        <w:tc>
          <w:tcPr>
            <w:tcW w:w="846" w:type="dxa"/>
            <w:vAlign w:val="center"/>
          </w:tcPr>
          <w:p w14:paraId="7CCB8083" w14:textId="0691D6C7" w:rsidR="003E6F9B" w:rsidRPr="008C6249" w:rsidRDefault="003E6F9B" w:rsidP="00830789">
            <w:pPr>
              <w:pStyle w:val="NormalnyWeb"/>
              <w:tabs>
                <w:tab w:val="left" w:pos="284"/>
              </w:tabs>
              <w:spacing w:beforeAutospacing="0" w:afterAutospacing="0" w:line="276" w:lineRule="auto"/>
              <w:jc w:val="center"/>
              <w:rPr>
                <w:rFonts w:ascii="Arial" w:hAnsi="Arial" w:cs="Arial"/>
              </w:rPr>
            </w:pPr>
            <w:r w:rsidRPr="00C04AF3">
              <w:rPr>
                <w:rFonts w:ascii="Arial" w:hAnsi="Arial" w:cs="Arial"/>
              </w:rPr>
              <w:t>2021</w:t>
            </w:r>
          </w:p>
        </w:tc>
        <w:tc>
          <w:tcPr>
            <w:tcW w:w="992" w:type="dxa"/>
            <w:vAlign w:val="center"/>
          </w:tcPr>
          <w:p w14:paraId="260E131C" w14:textId="089D3DB7" w:rsidR="003E6F9B" w:rsidRPr="00C04AF3" w:rsidRDefault="00DA4C6A" w:rsidP="002F61E4">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7</w:t>
            </w:r>
            <w:r w:rsidR="002F61E4">
              <w:rPr>
                <w:rFonts w:ascii="Arial" w:eastAsia="Times New Roman" w:hAnsi="Arial" w:cs="Arial"/>
                <w:sz w:val="20"/>
                <w:szCs w:val="20"/>
                <w:lang w:eastAsia="pl-PL"/>
              </w:rPr>
              <w:t>20</w:t>
            </w:r>
          </w:p>
        </w:tc>
        <w:tc>
          <w:tcPr>
            <w:tcW w:w="1470" w:type="dxa"/>
            <w:vAlign w:val="center"/>
          </w:tcPr>
          <w:p w14:paraId="04FFD3D8" w14:textId="4A00D0AE" w:rsidR="003E6F9B" w:rsidRPr="00C04AF3" w:rsidRDefault="00DA4C6A" w:rsidP="002F61E4">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15 </w:t>
            </w:r>
            <w:r w:rsidR="002F61E4">
              <w:rPr>
                <w:rFonts w:ascii="Arial" w:eastAsia="Times New Roman" w:hAnsi="Arial" w:cs="Arial"/>
                <w:sz w:val="20"/>
                <w:szCs w:val="20"/>
                <w:lang w:eastAsia="pl-PL"/>
              </w:rPr>
              <w:t>663</w:t>
            </w:r>
          </w:p>
        </w:tc>
        <w:tc>
          <w:tcPr>
            <w:tcW w:w="1976" w:type="dxa"/>
            <w:vAlign w:val="center"/>
          </w:tcPr>
          <w:p w14:paraId="656EC18F" w14:textId="313EE88A" w:rsidR="003E6F9B" w:rsidRPr="00C04AF3" w:rsidRDefault="00DA4C6A" w:rsidP="00830789">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19 220</w:t>
            </w:r>
          </w:p>
        </w:tc>
        <w:tc>
          <w:tcPr>
            <w:tcW w:w="1649" w:type="dxa"/>
            <w:vAlign w:val="center"/>
          </w:tcPr>
          <w:p w14:paraId="65047EB6" w14:textId="0D1006C1" w:rsidR="003E6F9B" w:rsidRPr="00C04AF3" w:rsidRDefault="00DA4C6A" w:rsidP="00830789">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19 005</w:t>
            </w:r>
          </w:p>
        </w:tc>
        <w:tc>
          <w:tcPr>
            <w:tcW w:w="1046" w:type="dxa"/>
            <w:gridSpan w:val="2"/>
            <w:vAlign w:val="center"/>
          </w:tcPr>
          <w:p w14:paraId="787DFE4E" w14:textId="5EB6CF99" w:rsidR="003E6F9B" w:rsidRPr="00C04AF3" w:rsidRDefault="00DA4C6A" w:rsidP="00830789">
            <w:pPr>
              <w:jc w:val="center"/>
              <w:rPr>
                <w:rFonts w:ascii="Arial" w:eastAsia="Times New Roman" w:hAnsi="Arial" w:cs="Arial"/>
                <w:sz w:val="20"/>
                <w:szCs w:val="20"/>
                <w:lang w:eastAsia="pl-PL"/>
              </w:rPr>
            </w:pPr>
            <w:r w:rsidRPr="00C04AF3">
              <w:rPr>
                <w:rFonts w:ascii="Arial" w:eastAsia="Times New Roman" w:hAnsi="Arial" w:cs="Arial"/>
                <w:sz w:val="20"/>
                <w:szCs w:val="20"/>
                <w:lang w:eastAsia="pl-PL"/>
              </w:rPr>
              <w:t>123</w:t>
            </w:r>
          </w:p>
        </w:tc>
        <w:tc>
          <w:tcPr>
            <w:tcW w:w="1472" w:type="dxa"/>
            <w:vAlign w:val="center"/>
          </w:tcPr>
          <w:p w14:paraId="1491EFA6" w14:textId="5CB2248C" w:rsidR="003E6F9B" w:rsidRPr="00C04AF3" w:rsidRDefault="00DA4C6A" w:rsidP="00830789">
            <w:pPr>
              <w:pStyle w:val="NormalnyWeb"/>
              <w:tabs>
                <w:tab w:val="left" w:pos="284"/>
              </w:tabs>
              <w:spacing w:beforeAutospacing="0" w:afterAutospacing="0" w:line="276" w:lineRule="auto"/>
              <w:jc w:val="center"/>
              <w:rPr>
                <w:rFonts w:ascii="Arial" w:hAnsi="Arial" w:cs="Arial"/>
              </w:rPr>
            </w:pPr>
            <w:r w:rsidRPr="00C04AF3">
              <w:rPr>
                <w:rFonts w:ascii="Arial" w:hAnsi="Arial" w:cs="Arial"/>
              </w:rPr>
              <w:t>18 642</w:t>
            </w:r>
          </w:p>
        </w:tc>
      </w:tr>
      <w:tr w:rsidR="003467FD" w:rsidRPr="00A64A84" w14:paraId="29B69153" w14:textId="77777777" w:rsidTr="00830789">
        <w:tc>
          <w:tcPr>
            <w:tcW w:w="846" w:type="dxa"/>
            <w:vAlign w:val="center"/>
          </w:tcPr>
          <w:p w14:paraId="455F0645" w14:textId="53C3A97E" w:rsidR="003467FD" w:rsidRPr="00C04AF3" w:rsidRDefault="003467FD" w:rsidP="00830789">
            <w:pPr>
              <w:pStyle w:val="NormalnyWeb"/>
              <w:tabs>
                <w:tab w:val="left" w:pos="284"/>
              </w:tabs>
              <w:spacing w:beforeAutospacing="0" w:afterAutospacing="0" w:line="276" w:lineRule="auto"/>
              <w:jc w:val="center"/>
              <w:rPr>
                <w:rFonts w:ascii="Arial" w:hAnsi="Arial" w:cs="Arial"/>
              </w:rPr>
            </w:pPr>
            <w:r>
              <w:rPr>
                <w:rFonts w:ascii="Arial" w:hAnsi="Arial" w:cs="Arial"/>
              </w:rPr>
              <w:t>2022</w:t>
            </w:r>
          </w:p>
        </w:tc>
        <w:tc>
          <w:tcPr>
            <w:tcW w:w="992" w:type="dxa"/>
            <w:vAlign w:val="center"/>
          </w:tcPr>
          <w:p w14:paraId="69805BFB" w14:textId="103128D3" w:rsidR="003467FD" w:rsidRPr="00C04AF3" w:rsidRDefault="00A83279" w:rsidP="00830789">
            <w:pPr>
              <w:jc w:val="center"/>
              <w:rPr>
                <w:rFonts w:ascii="Arial" w:eastAsia="Times New Roman" w:hAnsi="Arial" w:cs="Arial"/>
                <w:sz w:val="20"/>
                <w:szCs w:val="20"/>
                <w:lang w:eastAsia="pl-PL"/>
              </w:rPr>
            </w:pPr>
            <w:r>
              <w:rPr>
                <w:rFonts w:ascii="Arial" w:eastAsia="Times New Roman" w:hAnsi="Arial" w:cs="Arial"/>
                <w:sz w:val="20"/>
                <w:szCs w:val="20"/>
                <w:lang w:eastAsia="pl-PL"/>
              </w:rPr>
              <w:t>922</w:t>
            </w:r>
          </w:p>
        </w:tc>
        <w:tc>
          <w:tcPr>
            <w:tcW w:w="1470" w:type="dxa"/>
            <w:vAlign w:val="center"/>
          </w:tcPr>
          <w:p w14:paraId="7C55A0FE" w14:textId="05DE41FD" w:rsidR="003467FD" w:rsidRPr="00C04AF3" w:rsidRDefault="00A83279" w:rsidP="00830789">
            <w:pPr>
              <w:jc w:val="center"/>
              <w:rPr>
                <w:rFonts w:ascii="Arial" w:eastAsia="Times New Roman" w:hAnsi="Arial" w:cs="Arial"/>
                <w:sz w:val="20"/>
                <w:szCs w:val="20"/>
                <w:lang w:eastAsia="pl-PL"/>
              </w:rPr>
            </w:pPr>
            <w:r>
              <w:rPr>
                <w:rFonts w:ascii="Arial" w:eastAsia="Times New Roman" w:hAnsi="Arial" w:cs="Arial"/>
                <w:sz w:val="20"/>
                <w:szCs w:val="20"/>
                <w:lang w:eastAsia="pl-PL"/>
              </w:rPr>
              <w:t>21</w:t>
            </w:r>
            <w:r w:rsidR="00495001">
              <w:rPr>
                <w:rFonts w:ascii="Arial" w:eastAsia="Times New Roman" w:hAnsi="Arial" w:cs="Arial"/>
                <w:sz w:val="20"/>
                <w:szCs w:val="20"/>
                <w:lang w:eastAsia="pl-PL"/>
              </w:rPr>
              <w:t xml:space="preserve"> </w:t>
            </w:r>
            <w:r>
              <w:rPr>
                <w:rFonts w:ascii="Arial" w:eastAsia="Times New Roman" w:hAnsi="Arial" w:cs="Arial"/>
                <w:sz w:val="20"/>
                <w:szCs w:val="20"/>
                <w:lang w:eastAsia="pl-PL"/>
              </w:rPr>
              <w:t>730</w:t>
            </w:r>
          </w:p>
        </w:tc>
        <w:tc>
          <w:tcPr>
            <w:tcW w:w="1976" w:type="dxa"/>
            <w:vAlign w:val="center"/>
          </w:tcPr>
          <w:p w14:paraId="7C0E374A" w14:textId="3A963478" w:rsidR="003467FD" w:rsidRPr="00C04AF3" w:rsidRDefault="00A83279" w:rsidP="00830789">
            <w:pPr>
              <w:jc w:val="center"/>
              <w:rPr>
                <w:rFonts w:ascii="Arial" w:eastAsia="Times New Roman" w:hAnsi="Arial" w:cs="Arial"/>
                <w:sz w:val="20"/>
                <w:szCs w:val="20"/>
                <w:lang w:eastAsia="pl-PL"/>
              </w:rPr>
            </w:pPr>
            <w:r>
              <w:rPr>
                <w:rFonts w:ascii="Arial" w:eastAsia="Times New Roman" w:hAnsi="Arial" w:cs="Arial"/>
                <w:sz w:val="20"/>
                <w:szCs w:val="20"/>
                <w:lang w:eastAsia="pl-PL"/>
              </w:rPr>
              <w:t>19</w:t>
            </w:r>
            <w:r w:rsidR="00495001">
              <w:rPr>
                <w:rFonts w:ascii="Arial" w:eastAsia="Times New Roman" w:hAnsi="Arial" w:cs="Arial"/>
                <w:sz w:val="20"/>
                <w:szCs w:val="20"/>
                <w:lang w:eastAsia="pl-PL"/>
              </w:rPr>
              <w:t xml:space="preserve"> </w:t>
            </w:r>
            <w:r>
              <w:rPr>
                <w:rFonts w:ascii="Arial" w:eastAsia="Times New Roman" w:hAnsi="Arial" w:cs="Arial"/>
                <w:sz w:val="20"/>
                <w:szCs w:val="20"/>
                <w:lang w:eastAsia="pl-PL"/>
              </w:rPr>
              <w:t>000</w:t>
            </w:r>
          </w:p>
        </w:tc>
        <w:tc>
          <w:tcPr>
            <w:tcW w:w="1649" w:type="dxa"/>
            <w:vAlign w:val="center"/>
          </w:tcPr>
          <w:p w14:paraId="486C1E60" w14:textId="2F67A3DB" w:rsidR="003467FD" w:rsidRPr="00C04AF3" w:rsidRDefault="00A83279" w:rsidP="00830789">
            <w:pPr>
              <w:jc w:val="center"/>
              <w:rPr>
                <w:rFonts w:ascii="Arial" w:eastAsia="Times New Roman" w:hAnsi="Arial" w:cs="Arial"/>
                <w:sz w:val="20"/>
                <w:szCs w:val="20"/>
                <w:lang w:eastAsia="pl-PL"/>
              </w:rPr>
            </w:pPr>
            <w:r>
              <w:rPr>
                <w:rFonts w:ascii="Arial" w:eastAsia="Times New Roman" w:hAnsi="Arial" w:cs="Arial"/>
                <w:sz w:val="20"/>
                <w:szCs w:val="20"/>
                <w:lang w:eastAsia="pl-PL"/>
              </w:rPr>
              <w:t>14</w:t>
            </w:r>
            <w:r w:rsidR="00495001">
              <w:rPr>
                <w:rFonts w:ascii="Arial" w:eastAsia="Times New Roman" w:hAnsi="Arial" w:cs="Arial"/>
                <w:sz w:val="20"/>
                <w:szCs w:val="20"/>
                <w:lang w:eastAsia="pl-PL"/>
              </w:rPr>
              <w:t xml:space="preserve"> </w:t>
            </w:r>
            <w:r>
              <w:rPr>
                <w:rFonts w:ascii="Arial" w:eastAsia="Times New Roman" w:hAnsi="Arial" w:cs="Arial"/>
                <w:sz w:val="20"/>
                <w:szCs w:val="20"/>
                <w:lang w:eastAsia="pl-PL"/>
              </w:rPr>
              <w:t>072</w:t>
            </w:r>
          </w:p>
        </w:tc>
        <w:tc>
          <w:tcPr>
            <w:tcW w:w="1046" w:type="dxa"/>
            <w:gridSpan w:val="2"/>
            <w:vAlign w:val="center"/>
          </w:tcPr>
          <w:p w14:paraId="76D61287" w14:textId="4FB4F3B8" w:rsidR="003467FD" w:rsidRPr="00C04AF3" w:rsidRDefault="00495001" w:rsidP="00830789">
            <w:pPr>
              <w:jc w:val="center"/>
              <w:rPr>
                <w:rFonts w:ascii="Arial" w:eastAsia="Times New Roman" w:hAnsi="Arial" w:cs="Arial"/>
                <w:sz w:val="20"/>
                <w:szCs w:val="20"/>
                <w:lang w:eastAsia="pl-PL"/>
              </w:rPr>
            </w:pPr>
            <w:r>
              <w:rPr>
                <w:rFonts w:ascii="Arial" w:eastAsia="Times New Roman" w:hAnsi="Arial" w:cs="Arial"/>
                <w:sz w:val="20"/>
                <w:szCs w:val="20"/>
                <w:lang w:eastAsia="pl-PL"/>
              </w:rPr>
              <w:t>447</w:t>
            </w:r>
          </w:p>
        </w:tc>
        <w:tc>
          <w:tcPr>
            <w:tcW w:w="1472" w:type="dxa"/>
            <w:vAlign w:val="center"/>
          </w:tcPr>
          <w:p w14:paraId="0D91B417" w14:textId="27BFD86B" w:rsidR="003467FD" w:rsidRPr="00C04AF3" w:rsidRDefault="00495001" w:rsidP="00830789">
            <w:pPr>
              <w:pStyle w:val="NormalnyWeb"/>
              <w:tabs>
                <w:tab w:val="left" w:pos="284"/>
              </w:tabs>
              <w:spacing w:beforeAutospacing="0" w:afterAutospacing="0" w:line="276" w:lineRule="auto"/>
              <w:jc w:val="center"/>
              <w:rPr>
                <w:rFonts w:ascii="Arial" w:hAnsi="Arial" w:cs="Arial"/>
              </w:rPr>
            </w:pPr>
            <w:r>
              <w:rPr>
                <w:rFonts w:ascii="Arial" w:hAnsi="Arial" w:cs="Arial"/>
              </w:rPr>
              <w:t>9169</w:t>
            </w:r>
          </w:p>
        </w:tc>
      </w:tr>
    </w:tbl>
    <w:p w14:paraId="74ACCA26" w14:textId="4BE93CFD" w:rsidR="003A0BD7" w:rsidRDefault="003A0BD7" w:rsidP="003A0BD7">
      <w:pPr>
        <w:pStyle w:val="NormalnyWeb"/>
        <w:tabs>
          <w:tab w:val="left" w:pos="284"/>
        </w:tabs>
        <w:spacing w:beforeAutospacing="0" w:afterAutospacing="0" w:line="276" w:lineRule="auto"/>
        <w:jc w:val="both"/>
        <w:rPr>
          <w:rFonts w:asciiTheme="minorHAnsi" w:hAnsiTheme="minorHAnsi" w:cstheme="minorHAnsi"/>
          <w:sz w:val="22"/>
          <w:szCs w:val="22"/>
        </w:rPr>
      </w:pPr>
    </w:p>
    <w:p w14:paraId="0FF22A73" w14:textId="0626BB79" w:rsidR="0072348B" w:rsidRPr="0072348B" w:rsidRDefault="008152FF" w:rsidP="008152F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J</w:t>
      </w:r>
      <w:r w:rsidR="0072348B" w:rsidRPr="0072348B">
        <w:rPr>
          <w:rFonts w:ascii="Arial" w:hAnsi="Arial" w:cs="Arial"/>
        </w:rPr>
        <w:t xml:space="preserve">ednostki doradztwa rolniczego (CDR oraz WODR) prowadziły działalność szkoleniową na podstawie uprawnień nadanych przez Wojewódzkie Inspektoraty Ochrony Roślin i Nasiennictwa. Były to m.in. szkolenia w zakresie </w:t>
      </w:r>
      <w:r>
        <w:rPr>
          <w:rFonts w:ascii="Arial" w:hAnsi="Arial" w:cs="Arial"/>
        </w:rPr>
        <w:t>d</w:t>
      </w:r>
      <w:r w:rsidR="0072348B" w:rsidRPr="0072348B">
        <w:rPr>
          <w:rFonts w:ascii="Arial" w:hAnsi="Arial" w:cs="Arial"/>
        </w:rPr>
        <w:t>oradztwa w zakresie stosowania środków ochrony roślin przedstawione w Działaniu 1 niniejszego sprawozdania</w:t>
      </w:r>
      <w:r w:rsidR="00420A8B">
        <w:rPr>
          <w:rFonts w:ascii="Arial" w:hAnsi="Arial" w:cs="Arial"/>
        </w:rPr>
        <w:t>.</w:t>
      </w:r>
    </w:p>
    <w:p w14:paraId="585343E9" w14:textId="0CC927DE"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Dodatkowo wojewódzkie ODR upowszechniały wiedzę i informacje dotyczącą zagadnień </w:t>
      </w:r>
      <w:r w:rsidR="007B7DAB">
        <w:rPr>
          <w:rFonts w:ascii="Arial" w:hAnsi="Arial" w:cs="Arial"/>
        </w:rPr>
        <w:t xml:space="preserve">z zakresu </w:t>
      </w:r>
      <w:r w:rsidRPr="0072348B">
        <w:rPr>
          <w:rFonts w:ascii="Arial" w:hAnsi="Arial" w:cs="Arial"/>
        </w:rPr>
        <w:t>prawidłowego stosowania środków ochrony roślin  w ramach publikowanych przez nich wydawnictw (drukowanych i elektronicznych)</w:t>
      </w:r>
      <w:r w:rsidR="00620461">
        <w:rPr>
          <w:rFonts w:ascii="Arial" w:hAnsi="Arial" w:cs="Arial"/>
        </w:rPr>
        <w:t>.</w:t>
      </w:r>
      <w:r w:rsidRPr="0072348B">
        <w:rPr>
          <w:rFonts w:ascii="Arial" w:hAnsi="Arial" w:cs="Arial"/>
        </w:rPr>
        <w:t xml:space="preserve"> </w:t>
      </w:r>
    </w:p>
    <w:p w14:paraId="0D611C16" w14:textId="223B1C42"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Były to: </w:t>
      </w:r>
    </w:p>
    <w:p w14:paraId="617F34AF" w14:textId="15EA530E"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2018 rok </w:t>
      </w:r>
      <w:r w:rsidR="00505D15">
        <w:rPr>
          <w:rFonts w:ascii="Arial" w:hAnsi="Arial" w:cs="Arial"/>
        </w:rPr>
        <w:t>–</w:t>
      </w:r>
      <w:r w:rsidRPr="0072348B">
        <w:rPr>
          <w:rFonts w:ascii="Arial" w:hAnsi="Arial" w:cs="Arial"/>
        </w:rPr>
        <w:t xml:space="preserve"> 46 publikacji w nakładzie 62 900 egz</w:t>
      </w:r>
      <w:r w:rsidR="00420A8B">
        <w:rPr>
          <w:rFonts w:ascii="Arial" w:hAnsi="Arial" w:cs="Arial"/>
        </w:rPr>
        <w:t>.</w:t>
      </w:r>
      <w:r w:rsidRPr="0072348B">
        <w:rPr>
          <w:rFonts w:ascii="Arial" w:hAnsi="Arial" w:cs="Arial"/>
        </w:rPr>
        <w:t xml:space="preserve"> oraz 30 newsletterów (forma elektroniczna) dotyczących sygnalizacji agrofagów </w:t>
      </w:r>
      <w:r w:rsidR="008152FF">
        <w:rPr>
          <w:rFonts w:ascii="Arial" w:hAnsi="Arial" w:cs="Arial"/>
        </w:rPr>
        <w:t>,</w:t>
      </w:r>
    </w:p>
    <w:p w14:paraId="6814FC5B" w14:textId="1446E051"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2019 rok </w:t>
      </w:r>
      <w:r w:rsidR="00505D15">
        <w:rPr>
          <w:rFonts w:ascii="Arial" w:hAnsi="Arial" w:cs="Arial"/>
        </w:rPr>
        <w:t>–</w:t>
      </w:r>
      <w:r w:rsidRPr="0072348B">
        <w:rPr>
          <w:rFonts w:ascii="Arial" w:hAnsi="Arial" w:cs="Arial"/>
        </w:rPr>
        <w:t xml:space="preserve"> 29 publikacji w nakładzie 35 710 egz</w:t>
      </w:r>
      <w:r w:rsidR="00420A8B">
        <w:rPr>
          <w:rFonts w:ascii="Arial" w:hAnsi="Arial" w:cs="Arial"/>
        </w:rPr>
        <w:t>.</w:t>
      </w:r>
      <w:r w:rsidRPr="0072348B">
        <w:rPr>
          <w:rFonts w:ascii="Arial" w:hAnsi="Arial" w:cs="Arial"/>
        </w:rPr>
        <w:t xml:space="preserve"> oraz 17 newsletterów (forma elektroniczna) dotyczących agrofagów</w:t>
      </w:r>
      <w:r w:rsidR="008152FF">
        <w:rPr>
          <w:rFonts w:ascii="Arial" w:hAnsi="Arial" w:cs="Arial"/>
        </w:rPr>
        <w:t>,</w:t>
      </w:r>
      <w:r w:rsidRPr="0072348B">
        <w:rPr>
          <w:rFonts w:ascii="Arial" w:hAnsi="Arial" w:cs="Arial"/>
        </w:rPr>
        <w:t xml:space="preserve"> </w:t>
      </w:r>
    </w:p>
    <w:p w14:paraId="082226A6" w14:textId="257D25EA" w:rsid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2020 rok </w:t>
      </w:r>
      <w:r w:rsidR="00505D15">
        <w:rPr>
          <w:rFonts w:ascii="Arial" w:hAnsi="Arial" w:cs="Arial"/>
        </w:rPr>
        <w:t>–</w:t>
      </w:r>
      <w:r w:rsidRPr="0072348B">
        <w:rPr>
          <w:rFonts w:ascii="Arial" w:hAnsi="Arial" w:cs="Arial"/>
        </w:rPr>
        <w:t xml:space="preserve"> 31 publikacji w nakładzie 41 600 </w:t>
      </w:r>
      <w:r w:rsidR="00420A8B">
        <w:rPr>
          <w:rFonts w:ascii="Arial" w:hAnsi="Arial" w:cs="Arial"/>
        </w:rPr>
        <w:t xml:space="preserve">egz. </w:t>
      </w:r>
      <w:r w:rsidRPr="0072348B">
        <w:rPr>
          <w:rFonts w:ascii="Arial" w:hAnsi="Arial" w:cs="Arial"/>
        </w:rPr>
        <w:t>oraz 8 publikacji elektronicznych i 23 newslettery dotyczące agrofagów</w:t>
      </w:r>
      <w:r w:rsidR="002E12BC">
        <w:rPr>
          <w:rFonts w:ascii="Arial" w:hAnsi="Arial" w:cs="Arial"/>
        </w:rPr>
        <w:t>,</w:t>
      </w:r>
    </w:p>
    <w:p w14:paraId="0AFA1F71" w14:textId="77777777" w:rsidR="00F53DCA" w:rsidRDefault="009B7208" w:rsidP="009B720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2021 rok </w:t>
      </w:r>
      <w:bookmarkStart w:id="97" w:name="_Hlk123212918"/>
      <w:r>
        <w:rPr>
          <w:rFonts w:ascii="Arial" w:hAnsi="Arial" w:cs="Arial"/>
        </w:rPr>
        <w:t>–</w:t>
      </w:r>
      <w:bookmarkEnd w:id="97"/>
      <w:r>
        <w:rPr>
          <w:rFonts w:ascii="Arial" w:hAnsi="Arial" w:cs="Arial"/>
        </w:rPr>
        <w:t xml:space="preserve"> 28 publikacji (w tym publikacji elektronicznych) oraz 19 newsletterów dotycząc</w:t>
      </w:r>
      <w:r w:rsidR="00373590">
        <w:rPr>
          <w:rFonts w:ascii="Arial" w:hAnsi="Arial" w:cs="Arial"/>
        </w:rPr>
        <w:t>ych</w:t>
      </w:r>
      <w:r>
        <w:rPr>
          <w:rFonts w:ascii="Arial" w:hAnsi="Arial" w:cs="Arial"/>
        </w:rPr>
        <w:t xml:space="preserve"> agrofagów</w:t>
      </w:r>
      <w:r w:rsidR="00F53DCA">
        <w:rPr>
          <w:rFonts w:ascii="Arial" w:hAnsi="Arial" w:cs="Arial"/>
        </w:rPr>
        <w:t>,</w:t>
      </w:r>
    </w:p>
    <w:p w14:paraId="5831695D" w14:textId="40FDCBDF" w:rsidR="009B7208" w:rsidRDefault="00F53DCA" w:rsidP="009B720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2022 rok </w:t>
      </w:r>
      <w:r w:rsidR="0019076D" w:rsidRPr="0019076D">
        <w:rPr>
          <w:rFonts w:ascii="Arial" w:hAnsi="Arial" w:cs="Arial"/>
        </w:rPr>
        <w:t>– 15 publikacji (w tym elektronicznych) oraz 16 newsletterów dotyczących agrofagów</w:t>
      </w:r>
      <w:r w:rsidR="009B7208">
        <w:rPr>
          <w:rFonts w:ascii="Arial" w:hAnsi="Arial" w:cs="Arial"/>
        </w:rPr>
        <w:t xml:space="preserve">. </w:t>
      </w:r>
    </w:p>
    <w:p w14:paraId="531848EA" w14:textId="77777777" w:rsidR="002F61E4" w:rsidRPr="002F61E4" w:rsidRDefault="0072348B" w:rsidP="002F61E4">
      <w:pPr>
        <w:pStyle w:val="NormalnyWeb"/>
        <w:tabs>
          <w:tab w:val="left" w:pos="284"/>
        </w:tabs>
        <w:spacing w:after="120" w:line="360" w:lineRule="auto"/>
        <w:ind w:firstLine="284"/>
        <w:jc w:val="both"/>
        <w:rPr>
          <w:rFonts w:ascii="Arial" w:hAnsi="Arial" w:cs="Arial"/>
        </w:rPr>
      </w:pPr>
      <w:r w:rsidRPr="0072348B">
        <w:rPr>
          <w:rFonts w:ascii="Arial" w:hAnsi="Arial" w:cs="Arial"/>
        </w:rPr>
        <w:t xml:space="preserve">Przykładowe tytuły publikacji: Integrowana ochrona zbóż – pszenica; Integrowana ochrona kukurydzy; Technika ochrony upraw polowych; Integrowana ochrona rzepaku; Integrowana ochrona jęczmienia jarego Integrowana ochrona rabarbaru; Bezpieczne stosowanie środków ochrony roślin; </w:t>
      </w:r>
      <w:r w:rsidRPr="0072348B">
        <w:rPr>
          <w:rFonts w:ascii="Arial" w:hAnsi="Arial" w:cs="Arial"/>
        </w:rPr>
        <w:lastRenderedPageBreak/>
        <w:t xml:space="preserve">Mała stacja meteorologiczna – duże możliwości w integrowanej ochronie roślin; Systemy wspomagania decyzji w ochronie roślin; Ochrona roślin w ogrodach; Bezpieczne stosowanie środków ochrony roślin-ABC sporządzanie cieczy użytkowej; Metody ograniczenia stosowania środków ochrony roślin w rolnictwie; Integrowana ochrona ziemniaka; </w:t>
      </w:r>
      <w:r w:rsidR="002F61E4" w:rsidRPr="002F61E4">
        <w:rPr>
          <w:rFonts w:ascii="Arial" w:hAnsi="Arial" w:cs="Arial"/>
        </w:rPr>
        <w:t xml:space="preserve">Integrowana ochrona buraka cukrowego; Integrowana ochrona fasoli; Integrowana ochrona marchwi; Agrotechniczne metody zwalczania chorób zbóż; Stosowanie pestycydów - za i przeciw; Zwalczanie chwastów w kukurydzy; Nowoczesna uprawa pszenicy jarej z wykorzystaniem integrowanej ochrony; Rolnictwo ekologiczne co rolnik powinien wiedzieć; Zasady prawidłowego stosowania środków ochrony roślin; Jak przygotować ciecz do oprysku; Produkcja warzyw bez pozostałości środków ochrony roślin; Ewidencja wykonywania zabiegów ochrony roślin; Technika stosowania ochrony roślin; Integrowana ochrona fasoli; Dokumentacja dotycząca stosowania środków ochrony roślin. </w:t>
      </w:r>
    </w:p>
    <w:p w14:paraId="3D9BE353" w14:textId="741BCD95" w:rsidR="002F61E4" w:rsidRDefault="002F61E4" w:rsidP="002F61E4">
      <w:pPr>
        <w:pStyle w:val="NormalnyWeb"/>
        <w:tabs>
          <w:tab w:val="left" w:pos="284"/>
        </w:tabs>
        <w:spacing w:beforeAutospacing="0" w:after="120" w:afterAutospacing="0" w:line="360" w:lineRule="auto"/>
        <w:ind w:firstLine="284"/>
        <w:jc w:val="both"/>
        <w:rPr>
          <w:rFonts w:ascii="Arial" w:hAnsi="Arial" w:cs="Arial"/>
        </w:rPr>
      </w:pPr>
      <w:r w:rsidRPr="002F61E4">
        <w:rPr>
          <w:rFonts w:ascii="Arial" w:hAnsi="Arial" w:cs="Arial"/>
        </w:rPr>
        <w:t>W ramach upowszechniania metod produkcji rolniczej i stylu życia przyjaznych dla środowiska, na temat zasad integrowanej ochrony roślin, w tym prowadzenia monitoringu zagrożeń, ograniczeni</w:t>
      </w:r>
      <w:r w:rsidR="007B7DAB">
        <w:rPr>
          <w:rFonts w:ascii="Arial" w:hAnsi="Arial" w:cs="Arial"/>
        </w:rPr>
        <w:t>a</w:t>
      </w:r>
      <w:r w:rsidRPr="002F61E4">
        <w:rPr>
          <w:rFonts w:ascii="Arial" w:hAnsi="Arial" w:cs="Arial"/>
        </w:rPr>
        <w:t xml:space="preserve"> zachwaszczenia, ograniczenia występowania chorób i szkodników w uprawach oraz eliminowania zagrożeń podczas wykonywania zabiegów ochronnych, wpisują się również pokazy, demonstracje, stoiska informacyjne, ulotki i publikacje pisane do obcych wydawnictw i na stronach internetowych.</w:t>
      </w:r>
    </w:p>
    <w:p w14:paraId="3A8DFE56" w14:textId="428E7920" w:rsidR="0072348B" w:rsidRPr="0072348B" w:rsidRDefault="005B257C" w:rsidP="000F231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w:t>
      </w:r>
      <w:r w:rsidR="0042161C">
        <w:rPr>
          <w:rFonts w:ascii="Arial" w:hAnsi="Arial" w:cs="Arial"/>
        </w:rPr>
        <w:t> </w:t>
      </w:r>
      <w:r w:rsidRPr="00925BCD">
        <w:rPr>
          <w:rFonts w:ascii="Arial" w:hAnsi="Arial" w:cs="Arial"/>
        </w:rPr>
        <w:t>r. rozpoczęła się również realizacja projektu Internetowa Platforma Doradztwa i</w:t>
      </w:r>
      <w:r w:rsidR="00233466" w:rsidRPr="00925BCD">
        <w:rPr>
          <w:rFonts w:ascii="Arial" w:hAnsi="Arial" w:cs="Arial"/>
        </w:rPr>
        <w:t> </w:t>
      </w:r>
      <w:r w:rsidRPr="00925BCD">
        <w:rPr>
          <w:rFonts w:ascii="Arial" w:hAnsi="Arial" w:cs="Arial"/>
        </w:rPr>
        <w:t xml:space="preserve">Wspomagania Decyzji w Integrowanej Ochronie Roślin (eDWIN). Wielkopolski Ośrodek Doradztwa Rolniczego w Poznaniu jest liderem projektu, a konsorcjantami są CDR w Brwinowie, Instytut Ochrony Roślin w Poznaniu i 15 ośrodków doradztwa rolniczego. </w:t>
      </w:r>
      <w:r w:rsidR="0072348B" w:rsidRPr="0072348B">
        <w:rPr>
          <w:rFonts w:ascii="Arial" w:hAnsi="Arial" w:cs="Arial"/>
        </w:rPr>
        <w:t>W wyniku realizacji projektu planowane jest stworzenie e - usług publicznych w sektorze produkcji rolnej, przetwórstwa rolnego i żywności, skierowanych do użytkowników środków ochrony roślin, doradców z ośrodków doradztwa rolniczego, konsumentów żywności przedsiębiorstw rolno-przetwórczych, jednostek samorządu terytorialnego, instytucji publicznych prowadzących działalność w zakresie ochrony roślin na szczeblu centralnym oraz uczelni wyższych, jednostek naukowych, instytutów badawczych i pozostałych instytucji publicznych.</w:t>
      </w:r>
    </w:p>
    <w:p w14:paraId="1B283182" w14:textId="4DB02B12" w:rsidR="005B257C"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Głównym celem strategicznym projektu jest stworzenie krajowego systemu informatycznego na rzecz ochrony roślin, który w znaczący sposób wpłynie na jakość i ilość produkowanej w Polsce żywności. System ma ułatwić monitorowanie występowania agrofagów i ocenę ryzyka dla upraw, </w:t>
      </w:r>
      <w:r w:rsidR="001F597C" w:rsidRPr="00925BCD">
        <w:rPr>
          <w:rFonts w:ascii="Arial" w:hAnsi="Arial" w:cs="Arial"/>
        </w:rPr>
        <w:t>w</w:t>
      </w:r>
      <w:r w:rsidR="001F597C">
        <w:rPr>
          <w:rFonts w:ascii="Arial" w:hAnsi="Arial" w:cs="Arial"/>
        </w:rPr>
        <w:t> </w:t>
      </w:r>
      <w:r w:rsidRPr="00925BCD">
        <w:rPr>
          <w:rFonts w:ascii="Arial" w:hAnsi="Arial" w:cs="Arial"/>
        </w:rPr>
        <w:t xml:space="preserve">konsekwencji ma służyć do racjonalizacji stosowania środków ochrony roślin. Projekt finansowany jest </w:t>
      </w:r>
      <w:r w:rsidR="008E02C4">
        <w:rPr>
          <w:rFonts w:ascii="Arial" w:hAnsi="Arial" w:cs="Arial"/>
        </w:rPr>
        <w:t xml:space="preserve">w ramach Programu </w:t>
      </w:r>
      <w:r w:rsidRPr="00925BCD">
        <w:rPr>
          <w:rFonts w:ascii="Arial" w:hAnsi="Arial" w:cs="Arial"/>
        </w:rPr>
        <w:t>Polski Cyfrowej.</w:t>
      </w:r>
    </w:p>
    <w:p w14:paraId="095A662F" w14:textId="7ADD03F7" w:rsidR="00ED19A8" w:rsidRDefault="00ED19A8" w:rsidP="00ED19A8">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latach 2020 – 2021 w ramach projektu przygotowano aplikację służącą do wpierania decyzji w</w:t>
      </w:r>
      <w:r w:rsidR="00D7167A">
        <w:rPr>
          <w:rFonts w:ascii="Arial" w:hAnsi="Arial" w:cs="Arial"/>
        </w:rPr>
        <w:t> </w:t>
      </w:r>
      <w:r>
        <w:rPr>
          <w:rFonts w:ascii="Arial" w:hAnsi="Arial" w:cs="Arial"/>
        </w:rPr>
        <w:t>integrowanej ochronie roślin, zakupiono i rozlokowano w gospodarstwach w całej Polce stacje meteorologiczne, które uzupełnią sieć stacji meteorologicznych. Ponadto przygotowano ramy szkoleń powszechnych dla doradców rolniczych z obsługi i wdrażania systemu eDWIN, do realizacji w 2022 r.</w:t>
      </w:r>
    </w:p>
    <w:p w14:paraId="0BEE104C" w14:textId="6DE48382" w:rsidR="004E7C5B" w:rsidRPr="004E7C5B" w:rsidRDefault="004E7C5B" w:rsidP="004E7C5B">
      <w:pPr>
        <w:pStyle w:val="NormalnyWeb"/>
        <w:tabs>
          <w:tab w:val="left" w:pos="284"/>
        </w:tabs>
        <w:spacing w:beforeAutospacing="0" w:after="120" w:afterAutospacing="0" w:line="360" w:lineRule="auto"/>
        <w:ind w:firstLine="284"/>
        <w:jc w:val="both"/>
        <w:rPr>
          <w:rFonts w:ascii="Arial" w:hAnsi="Arial" w:cs="Arial"/>
        </w:rPr>
      </w:pPr>
      <w:r w:rsidRPr="004E7C5B">
        <w:rPr>
          <w:rFonts w:ascii="Arial" w:hAnsi="Arial" w:cs="Arial"/>
        </w:rPr>
        <w:t>W 2022</w:t>
      </w:r>
      <w:r w:rsidR="007B7DAB">
        <w:rPr>
          <w:rFonts w:ascii="Arial" w:hAnsi="Arial" w:cs="Arial"/>
        </w:rPr>
        <w:t xml:space="preserve"> </w:t>
      </w:r>
      <w:r w:rsidRPr="004E7C5B">
        <w:rPr>
          <w:rFonts w:ascii="Arial" w:hAnsi="Arial" w:cs="Arial"/>
        </w:rPr>
        <w:t>r. Centrum Doradztwa Rolniczego w Brwinowie w ramach operacji przeprowadziło 123 formy szkoleniowe dla 2</w:t>
      </w:r>
      <w:r>
        <w:rPr>
          <w:rFonts w:ascii="Arial" w:hAnsi="Arial" w:cs="Arial"/>
        </w:rPr>
        <w:t> </w:t>
      </w:r>
      <w:r w:rsidRPr="004E7C5B">
        <w:rPr>
          <w:rFonts w:ascii="Arial" w:hAnsi="Arial" w:cs="Arial"/>
        </w:rPr>
        <w:t>631 doradców i specjalistów z Wojewódzkich Ośrodków Doradztwa.</w:t>
      </w:r>
    </w:p>
    <w:p w14:paraId="1E7CF41E" w14:textId="7E422CFB" w:rsidR="005E4627"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Kontynuowano </w:t>
      </w:r>
      <w:r w:rsidR="00233466" w:rsidRPr="00925BCD">
        <w:rPr>
          <w:rFonts w:ascii="Arial" w:hAnsi="Arial" w:cs="Arial"/>
        </w:rPr>
        <w:t xml:space="preserve">także </w:t>
      </w:r>
      <w:r w:rsidRPr="00925BCD">
        <w:rPr>
          <w:rFonts w:ascii="Arial" w:hAnsi="Arial" w:cs="Arial"/>
        </w:rPr>
        <w:t xml:space="preserve">realizację projektu Strategia przeciwdziałania uodparnianiu się chwastów na herbicydy jako istotny czynnik zapewnienia zrównoważonego rozwoju agroekosystemu - BioHerOd, </w:t>
      </w:r>
      <w:r w:rsidRPr="00925BCD">
        <w:rPr>
          <w:rFonts w:ascii="Arial" w:hAnsi="Arial" w:cs="Arial"/>
        </w:rPr>
        <w:lastRenderedPageBreak/>
        <w:t xml:space="preserve">finansowanego z  Narodowego Centrum Badań i Rozwoju w ramach III konkursu strategicznego Programu „Środowisko naturalne, rolnictwo i leśnictwo” – BIOSTRATEG. Centrum Doradztwa Rolniczego jest jednym z 14 partnerów. Celem projektu jest opracowanie i przygotowanie do wdrożenia strategii mającej na celu zmniejszenie ryzyka rozprzestrzeniania się biotypów chwastów odpornych na herbicydy oraz sposobów ich zwalczania (jeśli wystąpiły). Przedmiotem badań </w:t>
      </w:r>
      <w:r w:rsidR="007B7DAB">
        <w:rPr>
          <w:rFonts w:ascii="Arial" w:hAnsi="Arial" w:cs="Arial"/>
        </w:rPr>
        <w:t>są</w:t>
      </w:r>
      <w:r w:rsidR="007B7DAB" w:rsidRPr="00925BCD">
        <w:rPr>
          <w:rFonts w:ascii="Arial" w:hAnsi="Arial" w:cs="Arial"/>
        </w:rPr>
        <w:t xml:space="preserve"> </w:t>
      </w:r>
      <w:r w:rsidRPr="00925BCD">
        <w:rPr>
          <w:rFonts w:ascii="Arial" w:hAnsi="Arial" w:cs="Arial"/>
        </w:rPr>
        <w:t>4 gatunki chwastów występujących głównie w uprawie zbóż, a mianowicie: miotła zbożowa, wyczyniec polny, mak polny i</w:t>
      </w:r>
      <w:r w:rsidR="00233466" w:rsidRPr="00925BCD">
        <w:rPr>
          <w:rFonts w:ascii="Arial" w:hAnsi="Arial" w:cs="Arial"/>
        </w:rPr>
        <w:t> </w:t>
      </w:r>
      <w:r w:rsidRPr="00925BCD">
        <w:rPr>
          <w:rFonts w:ascii="Arial" w:hAnsi="Arial" w:cs="Arial"/>
        </w:rPr>
        <w:t>chaber bławatek.</w:t>
      </w:r>
      <w:r w:rsidR="00486EEA" w:rsidRPr="004E7C5B">
        <w:rPr>
          <w:rFonts w:ascii="Arial" w:hAnsi="Arial" w:cs="Arial"/>
        </w:rPr>
        <w:t xml:space="preserve"> </w:t>
      </w:r>
      <w:r w:rsidR="00486EEA" w:rsidRPr="00486EEA">
        <w:rPr>
          <w:rFonts w:ascii="Arial" w:hAnsi="Arial" w:cs="Arial"/>
        </w:rPr>
        <w:t>Projekt zakończono w 2020 r.</w:t>
      </w:r>
    </w:p>
    <w:p w14:paraId="2AF25F37" w14:textId="0A1B15DA" w:rsidR="004E7C5B" w:rsidRPr="004E7C5B" w:rsidRDefault="004E7C5B" w:rsidP="004E7C5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2022 r. </w:t>
      </w:r>
      <w:r w:rsidRPr="004E7C5B">
        <w:rPr>
          <w:rFonts w:ascii="Arial" w:hAnsi="Arial" w:cs="Arial"/>
        </w:rPr>
        <w:t>Centrum Doradztwa Rolniczego w Brwinowie rozpoczęł</w:t>
      </w:r>
      <w:r>
        <w:rPr>
          <w:rFonts w:ascii="Arial" w:hAnsi="Arial" w:cs="Arial"/>
        </w:rPr>
        <w:t>o</w:t>
      </w:r>
      <w:r w:rsidRPr="004E7C5B">
        <w:rPr>
          <w:rFonts w:ascii="Arial" w:hAnsi="Arial" w:cs="Arial"/>
        </w:rPr>
        <w:t xml:space="preserve"> realizację projektu Krajowa Sieć Gospodarstw Demonstracyjnych jako element usprawniający transfer wiedzy i innowacji, umożliwiający zapoznanie z dobrymi praktykami oraz zastosowanymi nowoczesnymi rozwiązaniami w sposób bezpośredni. Rezultatem projektu było zorganizowanie spotkań, szkolenia, wyjazdu studyjnego oraz udostępni</w:t>
      </w:r>
      <w:r>
        <w:rPr>
          <w:rFonts w:ascii="Arial" w:hAnsi="Arial" w:cs="Arial"/>
        </w:rPr>
        <w:t>enie</w:t>
      </w:r>
      <w:r w:rsidRPr="004E7C5B">
        <w:rPr>
          <w:rFonts w:ascii="Arial" w:hAnsi="Arial" w:cs="Arial"/>
        </w:rPr>
        <w:t xml:space="preserve"> na stronie internetowej publikacj</w:t>
      </w:r>
      <w:r>
        <w:rPr>
          <w:rFonts w:ascii="Arial" w:hAnsi="Arial" w:cs="Arial"/>
        </w:rPr>
        <w:t>i</w:t>
      </w:r>
      <w:r w:rsidRPr="004E7C5B">
        <w:rPr>
          <w:rFonts w:ascii="Arial" w:hAnsi="Arial" w:cs="Arial"/>
        </w:rPr>
        <w:t xml:space="preserve"> pn. Gospodarstwa demonstracyjne – przewodnik oraz ulotk</w:t>
      </w:r>
      <w:r>
        <w:rPr>
          <w:rFonts w:ascii="Arial" w:hAnsi="Arial" w:cs="Arial"/>
        </w:rPr>
        <w:t>i</w:t>
      </w:r>
      <w:r w:rsidRPr="004E7C5B">
        <w:rPr>
          <w:rFonts w:ascii="Arial" w:hAnsi="Arial" w:cs="Arial"/>
        </w:rPr>
        <w:t>, zawierając</w:t>
      </w:r>
      <w:r>
        <w:rPr>
          <w:rFonts w:ascii="Arial" w:hAnsi="Arial" w:cs="Arial"/>
        </w:rPr>
        <w:t>ej</w:t>
      </w:r>
      <w:r w:rsidRPr="004E7C5B">
        <w:rPr>
          <w:rFonts w:ascii="Arial" w:hAnsi="Arial" w:cs="Arial"/>
        </w:rPr>
        <w:t xml:space="preserve"> podstawowe informacje dotycząc</w:t>
      </w:r>
      <w:r>
        <w:rPr>
          <w:rFonts w:ascii="Arial" w:hAnsi="Arial" w:cs="Arial"/>
        </w:rPr>
        <w:t>e</w:t>
      </w:r>
      <w:r w:rsidRPr="004E7C5B">
        <w:rPr>
          <w:rFonts w:ascii="Arial" w:hAnsi="Arial" w:cs="Arial"/>
        </w:rPr>
        <w:t xml:space="preserve"> funkcjonowania Sieci i warunki jakie musi spełniać gospodarstwo przystępujące do KSGD. Projekt realizowany będzie do końca 2023</w:t>
      </w:r>
      <w:r>
        <w:rPr>
          <w:rFonts w:ascii="Arial" w:hAnsi="Arial" w:cs="Arial"/>
        </w:rPr>
        <w:t xml:space="preserve"> </w:t>
      </w:r>
      <w:r w:rsidRPr="004E7C5B">
        <w:rPr>
          <w:rFonts w:ascii="Arial" w:hAnsi="Arial" w:cs="Arial"/>
        </w:rPr>
        <w:t xml:space="preserve">r. </w:t>
      </w:r>
    </w:p>
    <w:p w14:paraId="2F3B80BF" w14:textId="3B7AAF26" w:rsidR="004E7C5B" w:rsidRPr="004E7C5B" w:rsidRDefault="004E7C5B" w:rsidP="004E7C5B">
      <w:pPr>
        <w:pStyle w:val="NormalnyWeb"/>
        <w:tabs>
          <w:tab w:val="left" w:pos="284"/>
        </w:tabs>
        <w:spacing w:beforeAutospacing="0" w:after="120" w:afterAutospacing="0" w:line="360" w:lineRule="auto"/>
        <w:ind w:firstLine="284"/>
        <w:jc w:val="both"/>
        <w:rPr>
          <w:rFonts w:ascii="Arial" w:hAnsi="Arial" w:cs="Arial"/>
        </w:rPr>
      </w:pPr>
      <w:r w:rsidRPr="004E7C5B">
        <w:rPr>
          <w:rFonts w:ascii="Arial" w:hAnsi="Arial" w:cs="Arial"/>
        </w:rPr>
        <w:t>Dodatkowo rozpoczęła się dwuletnia operacja Wyzwania środowiskowe we współczesnym rolnictwie</w:t>
      </w:r>
      <w:r>
        <w:rPr>
          <w:rFonts w:ascii="Arial" w:hAnsi="Arial" w:cs="Arial"/>
        </w:rPr>
        <w:t xml:space="preserve"> </w:t>
      </w:r>
      <w:r w:rsidRPr="004E7C5B">
        <w:rPr>
          <w:rFonts w:ascii="Arial" w:hAnsi="Arial" w:cs="Arial"/>
        </w:rPr>
        <w:t>– wdrażanie dobrych praktyk. Operacja ma za zadanie usprawnienie transferu wiedzy i informacji na temat praktycznych rozwiązań w zakresie różnych technik i technologii w rolnictwie, związanych z</w:t>
      </w:r>
      <w:r>
        <w:rPr>
          <w:rFonts w:ascii="Arial" w:hAnsi="Arial" w:cs="Arial"/>
        </w:rPr>
        <w:t> </w:t>
      </w:r>
      <w:r w:rsidRPr="004E7C5B">
        <w:rPr>
          <w:rFonts w:ascii="Arial" w:hAnsi="Arial" w:cs="Arial"/>
        </w:rPr>
        <w:t xml:space="preserve">racjonalną gospodarką wodą, ekologizacją rolnictwa oraz poprawą jakości gleb, ograniczeniem stosowania pestycydów, gospodarki o obiegu zamkniętym a także ułatwienie kontaktów między różnymi grupami odbiorców operacji celem nawiązania stałej współpracy. W ramach tego projektu zorganizowano 2 wyjazdy studyjne, w których łącznie brało udział 50 osób. </w:t>
      </w:r>
    </w:p>
    <w:p w14:paraId="4B83E5B6" w14:textId="78F7FA4F" w:rsidR="004E7C5B" w:rsidRPr="004E7C5B" w:rsidRDefault="004E7C5B" w:rsidP="004E7C5B">
      <w:pPr>
        <w:pStyle w:val="NormalnyWeb"/>
        <w:tabs>
          <w:tab w:val="left" w:pos="284"/>
        </w:tabs>
        <w:spacing w:beforeAutospacing="0" w:after="120" w:afterAutospacing="0" w:line="360" w:lineRule="auto"/>
        <w:ind w:firstLine="284"/>
        <w:jc w:val="both"/>
        <w:rPr>
          <w:rFonts w:ascii="Arial" w:hAnsi="Arial" w:cs="Arial"/>
        </w:rPr>
      </w:pPr>
      <w:r w:rsidRPr="004E7C5B">
        <w:rPr>
          <w:rFonts w:ascii="Arial" w:hAnsi="Arial" w:cs="Arial"/>
        </w:rPr>
        <w:t>W wyniku działania Centrum Doradztwa Rolniczego oraz jednostek doradztwa rolniczego w ramach upowszechniania metod produkcji rolniczej i stylu życia przyjaznych dla środowiska</w:t>
      </w:r>
      <w:r w:rsidR="007B7DAB">
        <w:rPr>
          <w:rFonts w:ascii="Arial" w:hAnsi="Arial" w:cs="Arial"/>
        </w:rPr>
        <w:t xml:space="preserve"> oraz </w:t>
      </w:r>
      <w:r w:rsidRPr="004E7C5B">
        <w:rPr>
          <w:rFonts w:ascii="Arial" w:hAnsi="Arial" w:cs="Arial"/>
        </w:rPr>
        <w:t xml:space="preserve">zasad integrowanej ochrony roślin wzrasta liczba osób biorących udział w szkoleniach i konferencjach. </w:t>
      </w:r>
      <w:r w:rsidR="003312EF" w:rsidRPr="004E7C5B">
        <w:rPr>
          <w:rFonts w:ascii="Arial" w:hAnsi="Arial" w:cs="Arial"/>
        </w:rPr>
        <w:t>W</w:t>
      </w:r>
      <w:r w:rsidR="003312EF">
        <w:rPr>
          <w:rFonts w:ascii="Arial" w:hAnsi="Arial" w:cs="Arial"/>
        </w:rPr>
        <w:t> </w:t>
      </w:r>
      <w:r w:rsidRPr="004E7C5B">
        <w:rPr>
          <w:rFonts w:ascii="Arial" w:hAnsi="Arial" w:cs="Arial"/>
        </w:rPr>
        <w:t>latach 2018 – 2022 w Centrum Doradztwa Rolniczego przeprowadzono 20 szkoleń technologicznych łącznie dla 999 osób oraz konferencji łącznie dla 985 osób. Również prowadzono 5 projektów z czego 2 już zakończono.</w:t>
      </w:r>
    </w:p>
    <w:p w14:paraId="49D280CA" w14:textId="77777777" w:rsidR="00056846" w:rsidRPr="00925BCD" w:rsidRDefault="00E54725">
      <w:pPr>
        <w:pStyle w:val="Nagwek2"/>
        <w:jc w:val="both"/>
        <w:rPr>
          <w:i w:val="0"/>
          <w:sz w:val="20"/>
          <w:szCs w:val="20"/>
        </w:rPr>
      </w:pPr>
      <w:bookmarkStart w:id="98" w:name="_Toc161744896"/>
      <w:r w:rsidRPr="00925BCD">
        <w:rPr>
          <w:i w:val="0"/>
          <w:sz w:val="20"/>
          <w:szCs w:val="20"/>
        </w:rPr>
        <w:t>Zadanie 10. Zapewnienie bezpieczeństwa owadów zapylających podczas wykonywania zabiegów ochrony roślin</w:t>
      </w:r>
      <w:bookmarkEnd w:id="98"/>
    </w:p>
    <w:p w14:paraId="2BA38F0A"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podstawowych celów integrowanej ochrony roślin jest ograniczenie wpływu zabiegów ochrony roślin na organizmy niebędące celem ich działania, w szczególności zaś na faunę pożyteczną, w tym na owady zapylające. </w:t>
      </w:r>
    </w:p>
    <w:p w14:paraId="3CB33B50"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Owady zapylające, a przede wszystkim pszczoły miodne, spełniają niezwykle istotną rolę w rolnictwie, a także w naturalnych ekosystemach. Według danych Organizacji Narodów Zjednoczonych do spraw Wyżywienia i Rolnictwa FAO, spośród 100 głównych gatunków roślin uprawnych, stanowiących 90% produkowanej na świecie żywności, aż 71 jest zapylanych przez pszczoły. Owady te pełnią szczególnie istotną rolę w produkcji owoców (jabłek, wiśni), warzyw (ogórków, dyni, cukinii) oraz roślin przemysłowych (rzepaku). </w:t>
      </w:r>
    </w:p>
    <w:p w14:paraId="42F74D3F"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Jednocześnie środki ochrony roślin są wskazywane jako jedna z przyczyn upadków owadów zapylających obok chorób wirusowych, pasożytniczych oraz zmian środowiskowych. Środki ochrony roślin przy niewłaściwym ich stosowaniu mogą powodować ostre zatrucia pszczół, powodując ich nagłe upadki, oraz zatrucia chroniczne, osłabiające organizm owadów i zwiększające narażenie ich na inne czynniki szkodliwe.</w:t>
      </w:r>
    </w:p>
    <w:p w14:paraId="245B33EB"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 powyższym, przyjęto rozwiązania mające na celu ograniczenie ryzyka, jakie dla owadów zapylających mogą stwarzać środki ochrony roślin. Zagadnienia ochrony zapylaczy są jednym z wymagań integrowanej ochrony roślin, określonych w przepisach rozporządzenia Ministra Rolnictwa i Rozwoju Wsi z dnia 18 kwietnia 2013 r. w sprawie wymagań integrowanej ochrony roślin (Dz. U. poz. 505), a także obligatoryjnych szkoleń dla osób stosujących środki ochrony roślin, których programy określa rozporządzenie Ministra Rolnictwa i Rozwoju Wsi z dnia 8 maja 2013 r. w sprawie szkoleń w zakresie środków ochrony roślin. Przepisy rozporządzenia Ministra Rolnictwa i Rozwoju Wsi z dnia z dnia 31 marca 2014 r. w sprawie warunków stosowania środków ochrony roślin określają także minimalne odległości od pasiek, w jakich można stosować te środki.</w:t>
      </w:r>
    </w:p>
    <w:p w14:paraId="566CA3F5" w14:textId="7DA83B8E" w:rsidR="00DC569F"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Gromadzenie informacji o zatruciach pszczół od 2013 r. opiera się na danych pochodzących z Państwowej Inspekcji Ochrony Roślin i Nasiennictwa. </w:t>
      </w:r>
      <w:r w:rsidR="00DC569F">
        <w:rPr>
          <w:rFonts w:ascii="Arial" w:hAnsi="Arial" w:cs="Arial"/>
        </w:rPr>
        <w:t>L</w:t>
      </w:r>
      <w:r w:rsidRPr="00925BCD">
        <w:rPr>
          <w:rFonts w:ascii="Arial" w:hAnsi="Arial" w:cs="Arial"/>
        </w:rPr>
        <w:t>iczb</w:t>
      </w:r>
      <w:r w:rsidR="00DC569F">
        <w:rPr>
          <w:rFonts w:ascii="Arial" w:hAnsi="Arial" w:cs="Arial"/>
        </w:rPr>
        <w:t>ę</w:t>
      </w:r>
      <w:r w:rsidRPr="00925BCD">
        <w:rPr>
          <w:rFonts w:ascii="Arial" w:hAnsi="Arial" w:cs="Arial"/>
        </w:rPr>
        <w:t xml:space="preserve"> </w:t>
      </w:r>
      <w:bookmarkStart w:id="99" w:name="_Hlk99360155"/>
      <w:r w:rsidR="006D5497" w:rsidRPr="00925BCD">
        <w:rPr>
          <w:rFonts w:ascii="Arial" w:hAnsi="Arial" w:cs="Arial"/>
        </w:rPr>
        <w:t xml:space="preserve">zgłoszonych </w:t>
      </w:r>
      <w:r w:rsidR="00DC569F">
        <w:rPr>
          <w:rFonts w:ascii="Arial" w:hAnsi="Arial" w:cs="Arial"/>
        </w:rPr>
        <w:t>w latach 2018-202</w:t>
      </w:r>
      <w:r w:rsidR="00357E50">
        <w:rPr>
          <w:rFonts w:ascii="Arial" w:hAnsi="Arial" w:cs="Arial"/>
        </w:rPr>
        <w:t>2</w:t>
      </w:r>
      <w:r w:rsidR="00DC569F">
        <w:rPr>
          <w:rFonts w:ascii="Arial" w:hAnsi="Arial" w:cs="Arial"/>
        </w:rPr>
        <w:t xml:space="preserve"> </w:t>
      </w:r>
      <w:r w:rsidRPr="00925BCD">
        <w:rPr>
          <w:rFonts w:ascii="Arial" w:hAnsi="Arial" w:cs="Arial"/>
        </w:rPr>
        <w:t>przypadków zatrucia pszczół środkami ochrony roślin</w:t>
      </w:r>
      <w:bookmarkEnd w:id="99"/>
      <w:r w:rsidR="00357E50">
        <w:rPr>
          <w:rFonts w:ascii="Arial" w:hAnsi="Arial" w:cs="Arial"/>
        </w:rPr>
        <w:t>,</w:t>
      </w:r>
      <w:r w:rsidRPr="00925BCD">
        <w:rPr>
          <w:rFonts w:ascii="Arial" w:hAnsi="Arial" w:cs="Arial"/>
        </w:rPr>
        <w:t xml:space="preserve"> w tym potwierdzonych</w:t>
      </w:r>
      <w:r w:rsidR="00DC569F">
        <w:rPr>
          <w:rFonts w:ascii="Arial" w:hAnsi="Arial" w:cs="Arial"/>
        </w:rPr>
        <w:t xml:space="preserve"> w toku postępowania przedstawia poniższa tabela.</w:t>
      </w:r>
    </w:p>
    <w:tbl>
      <w:tblPr>
        <w:tblStyle w:val="Tabela-Siatka"/>
        <w:tblW w:w="9067" w:type="dxa"/>
        <w:tblLook w:val="04A0" w:firstRow="1" w:lastRow="0" w:firstColumn="1" w:lastColumn="0" w:noHBand="0" w:noVBand="1"/>
      </w:tblPr>
      <w:tblGrid>
        <w:gridCol w:w="2815"/>
        <w:gridCol w:w="1250"/>
        <w:gridCol w:w="1250"/>
        <w:gridCol w:w="1251"/>
        <w:gridCol w:w="1250"/>
        <w:gridCol w:w="1251"/>
      </w:tblGrid>
      <w:tr w:rsidR="00BA1621" w14:paraId="51DF2F22" w14:textId="26C4655F" w:rsidTr="00A31DFC">
        <w:tc>
          <w:tcPr>
            <w:tcW w:w="2815" w:type="dxa"/>
            <w:vAlign w:val="center"/>
          </w:tcPr>
          <w:p w14:paraId="7C15B906" w14:textId="4C763134"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Rok</w:t>
            </w:r>
          </w:p>
        </w:tc>
        <w:tc>
          <w:tcPr>
            <w:tcW w:w="1250" w:type="dxa"/>
            <w:vAlign w:val="center"/>
          </w:tcPr>
          <w:p w14:paraId="68680F17" w14:textId="593F3620"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2018</w:t>
            </w:r>
          </w:p>
        </w:tc>
        <w:tc>
          <w:tcPr>
            <w:tcW w:w="1250" w:type="dxa"/>
            <w:vAlign w:val="center"/>
          </w:tcPr>
          <w:p w14:paraId="7B17E58E" w14:textId="6071BFDF"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2019</w:t>
            </w:r>
          </w:p>
        </w:tc>
        <w:tc>
          <w:tcPr>
            <w:tcW w:w="1251" w:type="dxa"/>
            <w:vAlign w:val="center"/>
          </w:tcPr>
          <w:p w14:paraId="5ECE709F" w14:textId="7DC05965"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2020</w:t>
            </w:r>
          </w:p>
        </w:tc>
        <w:tc>
          <w:tcPr>
            <w:tcW w:w="1250" w:type="dxa"/>
            <w:vAlign w:val="center"/>
          </w:tcPr>
          <w:p w14:paraId="30C35D4D" w14:textId="1DC142A8"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sidRPr="00BD23CE">
              <w:rPr>
                <w:rFonts w:ascii="Arial" w:hAnsi="Arial" w:cs="Arial"/>
                <w:b/>
                <w:bCs/>
              </w:rPr>
              <w:t>2021</w:t>
            </w:r>
          </w:p>
        </w:tc>
        <w:tc>
          <w:tcPr>
            <w:tcW w:w="1251" w:type="dxa"/>
          </w:tcPr>
          <w:p w14:paraId="5771AD6D" w14:textId="2A8CAA85" w:rsidR="00BA1621" w:rsidRPr="00BD23CE" w:rsidRDefault="00BA1621" w:rsidP="00DC569F">
            <w:pPr>
              <w:pStyle w:val="NormalnyWeb"/>
              <w:tabs>
                <w:tab w:val="left" w:pos="284"/>
              </w:tabs>
              <w:spacing w:beforeAutospacing="0" w:after="120" w:afterAutospacing="0" w:line="360" w:lineRule="auto"/>
              <w:jc w:val="center"/>
              <w:rPr>
                <w:rFonts w:ascii="Arial" w:hAnsi="Arial" w:cs="Arial"/>
                <w:b/>
                <w:bCs/>
              </w:rPr>
            </w:pPr>
            <w:r>
              <w:rPr>
                <w:rFonts w:ascii="Arial" w:hAnsi="Arial" w:cs="Arial"/>
                <w:b/>
                <w:bCs/>
              </w:rPr>
              <w:t>2022</w:t>
            </w:r>
          </w:p>
        </w:tc>
      </w:tr>
      <w:tr w:rsidR="00BA1621" w14:paraId="6E9AAD58" w14:textId="5E4A2FA6" w:rsidTr="00A31DFC">
        <w:tc>
          <w:tcPr>
            <w:tcW w:w="2815" w:type="dxa"/>
          </w:tcPr>
          <w:p w14:paraId="7A201539" w14:textId="1BEABB60" w:rsidR="00BA1621" w:rsidRDefault="00BA1621" w:rsidP="00DC569F">
            <w:pPr>
              <w:pStyle w:val="NormalnyWeb"/>
              <w:tabs>
                <w:tab w:val="left" w:pos="284"/>
              </w:tabs>
              <w:spacing w:beforeAutospacing="0" w:after="120" w:afterAutospacing="0" w:line="360" w:lineRule="auto"/>
              <w:rPr>
                <w:rFonts w:ascii="Arial" w:hAnsi="Arial" w:cs="Arial"/>
              </w:rPr>
            </w:pPr>
            <w:r w:rsidRPr="00925BCD">
              <w:rPr>
                <w:rFonts w:ascii="Arial" w:hAnsi="Arial" w:cs="Arial"/>
              </w:rPr>
              <w:t>liczba zgłoszonych przypadków zatrucia pszczół środkami ochrony roślin</w:t>
            </w:r>
          </w:p>
        </w:tc>
        <w:tc>
          <w:tcPr>
            <w:tcW w:w="1250" w:type="dxa"/>
            <w:vAlign w:val="center"/>
          </w:tcPr>
          <w:p w14:paraId="3BDB1ECC" w14:textId="25EA43DE"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82</w:t>
            </w:r>
          </w:p>
        </w:tc>
        <w:tc>
          <w:tcPr>
            <w:tcW w:w="1250" w:type="dxa"/>
            <w:vAlign w:val="center"/>
          </w:tcPr>
          <w:p w14:paraId="603951F2" w14:textId="6F20EC85"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117</w:t>
            </w:r>
          </w:p>
        </w:tc>
        <w:tc>
          <w:tcPr>
            <w:tcW w:w="1251" w:type="dxa"/>
            <w:vAlign w:val="center"/>
          </w:tcPr>
          <w:p w14:paraId="1209A8F4" w14:textId="2385FF88"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137</w:t>
            </w:r>
          </w:p>
        </w:tc>
        <w:tc>
          <w:tcPr>
            <w:tcW w:w="1250" w:type="dxa"/>
            <w:vAlign w:val="center"/>
          </w:tcPr>
          <w:p w14:paraId="17A34BAB" w14:textId="3F643D65"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28</w:t>
            </w:r>
          </w:p>
        </w:tc>
        <w:tc>
          <w:tcPr>
            <w:tcW w:w="1251" w:type="dxa"/>
            <w:vAlign w:val="center"/>
          </w:tcPr>
          <w:p w14:paraId="5F12ED70" w14:textId="31F9EE9F" w:rsidR="00BA1621" w:rsidRDefault="008F3348" w:rsidP="001D7D7D">
            <w:pPr>
              <w:pStyle w:val="NormalnyWeb"/>
              <w:tabs>
                <w:tab w:val="left" w:pos="284"/>
              </w:tabs>
              <w:spacing w:beforeAutospacing="0" w:after="120" w:afterAutospacing="0" w:line="360" w:lineRule="auto"/>
              <w:jc w:val="center"/>
              <w:rPr>
                <w:rFonts w:ascii="Arial" w:hAnsi="Arial" w:cs="Arial"/>
              </w:rPr>
            </w:pPr>
            <w:r>
              <w:rPr>
                <w:rFonts w:ascii="Arial" w:hAnsi="Arial" w:cs="Arial"/>
              </w:rPr>
              <w:t>28</w:t>
            </w:r>
          </w:p>
        </w:tc>
      </w:tr>
      <w:tr w:rsidR="00BA1621" w14:paraId="2CA24B7B" w14:textId="1FC113D7" w:rsidTr="00A31DFC">
        <w:tc>
          <w:tcPr>
            <w:tcW w:w="2815" w:type="dxa"/>
          </w:tcPr>
          <w:p w14:paraId="3EF8FB16" w14:textId="017E628C" w:rsidR="00BA1621" w:rsidRDefault="00BA1621" w:rsidP="00DC569F">
            <w:pPr>
              <w:pStyle w:val="NormalnyWeb"/>
              <w:tabs>
                <w:tab w:val="left" w:pos="284"/>
              </w:tabs>
              <w:spacing w:beforeAutospacing="0" w:after="120" w:afterAutospacing="0" w:line="360" w:lineRule="auto"/>
              <w:rPr>
                <w:rFonts w:ascii="Arial" w:hAnsi="Arial" w:cs="Arial"/>
              </w:rPr>
            </w:pPr>
            <w:r>
              <w:rPr>
                <w:rFonts w:ascii="Arial" w:hAnsi="Arial" w:cs="Arial"/>
              </w:rPr>
              <w:t xml:space="preserve">- </w:t>
            </w:r>
            <w:r w:rsidRPr="00925BCD">
              <w:rPr>
                <w:rFonts w:ascii="Arial" w:hAnsi="Arial" w:cs="Arial"/>
              </w:rPr>
              <w:t>w tym potwierdzonych</w:t>
            </w:r>
          </w:p>
        </w:tc>
        <w:tc>
          <w:tcPr>
            <w:tcW w:w="1250" w:type="dxa"/>
            <w:vAlign w:val="center"/>
          </w:tcPr>
          <w:p w14:paraId="70C5470B" w14:textId="6E6FCD3E"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19</w:t>
            </w:r>
          </w:p>
        </w:tc>
        <w:tc>
          <w:tcPr>
            <w:tcW w:w="1250" w:type="dxa"/>
            <w:vAlign w:val="center"/>
          </w:tcPr>
          <w:p w14:paraId="5B4358D8" w14:textId="348D5420"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29</w:t>
            </w:r>
          </w:p>
        </w:tc>
        <w:tc>
          <w:tcPr>
            <w:tcW w:w="1251" w:type="dxa"/>
            <w:vAlign w:val="center"/>
          </w:tcPr>
          <w:p w14:paraId="41B44D61" w14:textId="1041FFC3"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17</w:t>
            </w:r>
          </w:p>
        </w:tc>
        <w:tc>
          <w:tcPr>
            <w:tcW w:w="1250" w:type="dxa"/>
            <w:vAlign w:val="center"/>
          </w:tcPr>
          <w:p w14:paraId="3D096631" w14:textId="0BC9102B" w:rsidR="00BA1621" w:rsidRDefault="00BA1621" w:rsidP="00DC569F">
            <w:pPr>
              <w:pStyle w:val="NormalnyWeb"/>
              <w:tabs>
                <w:tab w:val="left" w:pos="284"/>
              </w:tabs>
              <w:spacing w:beforeAutospacing="0" w:after="120" w:afterAutospacing="0" w:line="360" w:lineRule="auto"/>
              <w:jc w:val="center"/>
              <w:rPr>
                <w:rFonts w:ascii="Arial" w:hAnsi="Arial" w:cs="Arial"/>
              </w:rPr>
            </w:pPr>
            <w:r>
              <w:rPr>
                <w:rFonts w:ascii="Arial" w:hAnsi="Arial" w:cs="Arial"/>
              </w:rPr>
              <w:t>7</w:t>
            </w:r>
          </w:p>
        </w:tc>
        <w:tc>
          <w:tcPr>
            <w:tcW w:w="1251" w:type="dxa"/>
            <w:vAlign w:val="center"/>
          </w:tcPr>
          <w:p w14:paraId="4D22D248" w14:textId="5C441DFB" w:rsidR="00BA1621" w:rsidRDefault="008F3348" w:rsidP="001D7D7D">
            <w:pPr>
              <w:pStyle w:val="NormalnyWeb"/>
              <w:tabs>
                <w:tab w:val="left" w:pos="284"/>
              </w:tabs>
              <w:spacing w:beforeAutospacing="0" w:after="120" w:afterAutospacing="0" w:line="360" w:lineRule="auto"/>
              <w:jc w:val="center"/>
              <w:rPr>
                <w:rFonts w:ascii="Arial" w:hAnsi="Arial" w:cs="Arial"/>
              </w:rPr>
            </w:pPr>
            <w:r>
              <w:rPr>
                <w:rFonts w:ascii="Arial" w:hAnsi="Arial" w:cs="Arial"/>
              </w:rPr>
              <w:t>3</w:t>
            </w:r>
          </w:p>
        </w:tc>
      </w:tr>
    </w:tbl>
    <w:p w14:paraId="731E5A1D" w14:textId="77777777" w:rsidR="00DC569F" w:rsidRPr="00925BCD" w:rsidRDefault="00DC569F" w:rsidP="00D25C07">
      <w:pPr>
        <w:pStyle w:val="NormalnyWeb"/>
        <w:tabs>
          <w:tab w:val="left" w:pos="284"/>
        </w:tabs>
        <w:spacing w:beforeAutospacing="0" w:after="120" w:afterAutospacing="0" w:line="360" w:lineRule="auto"/>
        <w:ind w:firstLine="284"/>
        <w:jc w:val="both"/>
        <w:rPr>
          <w:rFonts w:ascii="Arial" w:hAnsi="Arial" w:cs="Arial"/>
        </w:rPr>
      </w:pPr>
    </w:p>
    <w:p w14:paraId="0839C4FD" w14:textId="77777777" w:rsidR="00056846" w:rsidRPr="00925BCD"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2014 r. opracowano i wdrożono procedurę postępowania organów administracji w przypadku zgłoszenia podejrzenia zatrucia pszczół. W ramach ww. procedury Państwowy Instytut Weterynaryjny – PIB w Puławach w programie wieloletnim „Ochrona zdrowia zwierząt i zdrowia publicznego” rozpoczął wykonywanie zadania pn. „Monitorowanie stanu zdrowotnego i strat rodzin pszczelich w krajowych pasiekach”. Program przewidziany został do realizacji na lata 2014–2018.</w:t>
      </w:r>
    </w:p>
    <w:p w14:paraId="2B46C373"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przebadany został materiał rodzin pszczelich pobrany z 49 pasiek, w których wystąpiło podejrzenie zatrucia pszczół na skutek zabiegów środkami ochrony roślin. Liczba przebadanych próbek była mniejsza niż w 2017 r. (59 próbek). Jak wynika z informacji zawartych w protokołach dołączanych do przekazanego do badań materiału, upadki pszczół mogły być związane ze stosowaniem środków ochrony roślin w uprawach rzepaku i w uprawach roślin sadowniczych. </w:t>
      </w:r>
    </w:p>
    <w:p w14:paraId="54C4ECB1" w14:textId="0A341F43"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wyniku przeprowadzonych analiz w 2018 r. wykazano, że najczęściej wykrywanymi substancjami czynnymi wchodzącymi w skład środków ochrony roślin były: chloropiryfos (24 próbki), dimetoat (17) i </w:t>
      </w:r>
      <w:r w:rsidR="00177FBF">
        <w:rPr>
          <w:rFonts w:ascii="Arial" w:hAnsi="Arial" w:cs="Arial"/>
        </w:rPr>
        <w:t>ch</w:t>
      </w:r>
      <w:r w:rsidRPr="00177FBF">
        <w:rPr>
          <w:rFonts w:ascii="Arial" w:hAnsi="Arial" w:cs="Arial"/>
        </w:rPr>
        <w:t>lotianidyna</w:t>
      </w:r>
      <w:r w:rsidRPr="00925BCD">
        <w:rPr>
          <w:rFonts w:ascii="Arial" w:hAnsi="Arial" w:cs="Arial"/>
        </w:rPr>
        <w:t xml:space="preserve"> (13) wchodzące w skład środków fosforoorganicznych. W próbkach zatrutych pszczół </w:t>
      </w:r>
      <w:r w:rsidRPr="00925BCD">
        <w:rPr>
          <w:rFonts w:ascii="Arial" w:hAnsi="Arial" w:cs="Arial"/>
        </w:rPr>
        <w:lastRenderedPageBreak/>
        <w:t>stwierdzono także neonikotynoidy tj. tiaklopryd (6), tiametoksam (5), acetamipryd (2) i imidaklopryd (1). Spośród 249 analizowanych pestycydów obejmujących substancje czynne środków ochrony roślin (insektycydy, fungicydy, herbicydy, akarycydy, regulatory wzrostu) oraz substancje aktywne leków warrozobójczych, wykryto obecność 56. W analizowanych próbkach pszczół wykryto również obecność produktów rozkładu amitrazu – leku warrozobójczego: DMF, DMPF i DMA.</w:t>
      </w:r>
    </w:p>
    <w:p w14:paraId="21B91AF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monitoringowych badań toksykologicznych, z wytypowanych pasiek pobierane były do badań na zawartość środków ochrony roślin próbki pszczół i pyłku (pierzgi). Ogółem badaniu poddawano 95 próbek pszczół, 143 próbki pierzgi (pyłku) oraz 13 próbek osypu zimowego na zawartość 249 pestycydów obejmujących substancje czynne środków ochrony roślin (insektycydy, fungicydy, herbicydy, akarycydy, regulatory wzrostu) oraz substancje aktywne leków warrozobójczych. </w:t>
      </w:r>
    </w:p>
    <w:p w14:paraId="554B64D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pszczół wykryto obecność 25 różnych substancji czynnych oraz produktów ich rozkładu lub metabolizmu, w próbkach pierzgi (pyłku) 58 różnych substancji, natomiast w próbkach osypu zimowego 8.</w:t>
      </w:r>
    </w:p>
    <w:p w14:paraId="48679AE3" w14:textId="77777777" w:rsidR="00995C95" w:rsidRPr="00925BCD" w:rsidRDefault="00D4448C"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 koniec 2018 r. Rada Ministrów przyjęła uchwałę w sprawie ustanowienia </w:t>
      </w:r>
      <w:r w:rsidR="00CF124E" w:rsidRPr="00925BCD">
        <w:rPr>
          <w:rFonts w:ascii="Arial" w:hAnsi="Arial" w:cs="Arial"/>
        </w:rPr>
        <w:t>p</w:t>
      </w:r>
      <w:r w:rsidRPr="00925BCD">
        <w:rPr>
          <w:rFonts w:ascii="Arial" w:hAnsi="Arial" w:cs="Arial"/>
        </w:rPr>
        <w:t xml:space="preserve">rogramu </w:t>
      </w:r>
      <w:r w:rsidR="00CF124E" w:rsidRPr="00925BCD">
        <w:rPr>
          <w:rFonts w:ascii="Arial" w:hAnsi="Arial" w:cs="Arial"/>
        </w:rPr>
        <w:t>w</w:t>
      </w:r>
      <w:r w:rsidRPr="00925BCD">
        <w:rPr>
          <w:rFonts w:ascii="Arial" w:hAnsi="Arial" w:cs="Arial"/>
        </w:rPr>
        <w:t>ieloletniego „Ochrona zdrowia zwierząt i zdrowia publicznego” na lata 2019-2023 r. Jest ona kontynuacją trzech dotychczasowych edycji Programu realizowanych nieprzerwanie od 2003 r. W czwartej edycji, na lata 2019-2023, zaplanowano realizację 45 zadań badawczych, w śród których znalazło się zadanie pn. „Monitorowanie stanu zdrowotnego i strat rodzin pszczelich w krajowych pasiekach”.</w:t>
      </w:r>
    </w:p>
    <w:p w14:paraId="49ADE50F"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przebadano 118 próbek martwych pszczół w ramach diagnostyki i rejestracji przypadków ostrych zatruć pszczół środkami ochrony roślin. Próbki pochodziły z pasiek, w których istniało podejrzenie, że przyczyną zatrucia mogły być nieprawidłowości w zakresie stosowania środków ochrony roślin w sąsiadujących uprawach. Incydenty zatruć pszczół wystąpiły na terenie piętnastu województw. Próbki pszczół do badań pobierali lekarze weterynarii, w zdecydowanej większości pracownicy Powiatowych Inspektoratów Weterynarii lub lekarze urzędowi. </w:t>
      </w:r>
    </w:p>
    <w:p w14:paraId="2F394E30"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Próbki pszczół reprezentowały pasieki liczące w sumie 4600 rodzin pszczelich, w tym na dzień pobierania próbek objawy zatrucia wykazywało 3</w:t>
      </w:r>
      <w:r w:rsidR="003973B1" w:rsidRPr="00925BCD">
        <w:rPr>
          <w:rFonts w:ascii="Arial" w:hAnsi="Arial" w:cs="Arial"/>
        </w:rPr>
        <w:t xml:space="preserve"> </w:t>
      </w:r>
      <w:r w:rsidRPr="00925BCD">
        <w:rPr>
          <w:rFonts w:ascii="Arial" w:hAnsi="Arial" w:cs="Arial"/>
        </w:rPr>
        <w:t>312 rodzin pszczelich a 277 rodzin było całkowicie wymarłych. W większości przypadków w wyniku zatrucia doszło do osypu znacznej części rodzin, w tym zwłaszcza pszczoły lotnej.</w:t>
      </w:r>
    </w:p>
    <w:p w14:paraId="447943D4"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Podejrzane uprawy mogące być miejscem narażenia pszczół wskazano w 60 przypadkach, w konsekwencji wskazania właścicieli plantacji. Wśród podejrzanych upraw dominował rzepak, w tym głównie rzepak ozimy, który wskazano w 31 przypadkach. Uprawy sadownicze, które w poprzednich latach również stanowiły miejsce narażenia pszczół na zatrucia, wskazano w 9 przypadkach</w:t>
      </w:r>
      <w:r w:rsidR="003973B1" w:rsidRPr="00925BCD">
        <w:rPr>
          <w:rFonts w:ascii="Arial" w:hAnsi="Arial" w:cs="Arial"/>
        </w:rPr>
        <w:t xml:space="preserve"> i f</w:t>
      </w:r>
      <w:r w:rsidRPr="00925BCD">
        <w:rPr>
          <w:rFonts w:ascii="Arial" w:hAnsi="Arial" w:cs="Arial"/>
        </w:rPr>
        <w:t xml:space="preserve">asolę, jako podejrzaną uprawę, wskazano </w:t>
      </w:r>
      <w:r w:rsidR="003973B1" w:rsidRPr="00925BCD">
        <w:rPr>
          <w:rFonts w:ascii="Arial" w:hAnsi="Arial" w:cs="Arial"/>
        </w:rPr>
        <w:t xml:space="preserve">również </w:t>
      </w:r>
      <w:r w:rsidRPr="00925BCD">
        <w:rPr>
          <w:rFonts w:ascii="Arial" w:hAnsi="Arial" w:cs="Arial"/>
        </w:rPr>
        <w:t>w 9 przypadkach. Zboża, jako miejsce narażenia wskazano w 6 przypadkach. W protokołach dotyczących próbek, dla których nie wskazano podejrzanej plantacji (właściciela plantacji) mogącej być źródłem zatrucia, wskazywano okoliczne uprawy mogące być również źródłem narażenia pszczół na środki ochrony roślin.</w:t>
      </w:r>
    </w:p>
    <w:p w14:paraId="7B2C0549" w14:textId="5436731B"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próbki martwych pszczół poddano analizie toksykologicznej w kierunku oznaczania pozostałości co najmniej 249 pestycydów stosowanych w chemicznej ochronie roślin obejmujących </w:t>
      </w:r>
      <w:r w:rsidRPr="00925BCD">
        <w:rPr>
          <w:rFonts w:ascii="Arial" w:hAnsi="Arial" w:cs="Arial"/>
        </w:rPr>
        <w:lastRenderedPageBreak/>
        <w:t>substancje aktywne środków ochrony roślin tj. insektycydy, fungicydy, herbicydy, akarycydy, regulatory wzrostu oraz substancje aktywne leków warro</w:t>
      </w:r>
      <w:r w:rsidR="003973B1" w:rsidRPr="00925BCD">
        <w:rPr>
          <w:rFonts w:ascii="Arial" w:hAnsi="Arial" w:cs="Arial"/>
        </w:rPr>
        <w:t>zo</w:t>
      </w:r>
      <w:r w:rsidRPr="00925BCD">
        <w:rPr>
          <w:rFonts w:ascii="Arial" w:hAnsi="Arial" w:cs="Arial"/>
        </w:rPr>
        <w:t>bójczych. W wyniku przeprowadzonych analiz ustalono, że 100% próbek martwych pszczół zawierało pozostałości pestycydów w stężeniach powyżej granic oznaczalności metody badawczej. W próbkach martwych pszczół oznaczono łącznie pozostałości 96</w:t>
      </w:r>
      <w:r w:rsidR="00DC7E4D">
        <w:rPr>
          <w:rFonts w:ascii="Arial" w:hAnsi="Arial" w:cs="Arial"/>
        </w:rPr>
        <w:t> </w:t>
      </w:r>
      <w:r w:rsidRPr="00925BCD">
        <w:rPr>
          <w:rFonts w:ascii="Arial" w:hAnsi="Arial" w:cs="Arial"/>
        </w:rPr>
        <w:t>pestycydów. Zdecydowana większość oznaczonych pestycydów to substancje czynne środków ochrony roślin. W próbkach oznaczono również pozostałości leków warro</w:t>
      </w:r>
      <w:r w:rsidR="003973B1" w:rsidRPr="00925BCD">
        <w:rPr>
          <w:rFonts w:ascii="Arial" w:hAnsi="Arial" w:cs="Arial"/>
        </w:rPr>
        <w:t>z</w:t>
      </w:r>
      <w:r w:rsidRPr="00925BCD">
        <w:rPr>
          <w:rFonts w:ascii="Arial" w:hAnsi="Arial" w:cs="Arial"/>
        </w:rPr>
        <w:t>obójczych oraz produktów biobójczych. W połowie badanych próbek wykrywano pozostałości co najmniej 7 pestycydów, więcej niż w ubiegłych latach. Maksymalna liczba pestycydów, których pozostałości oznaczono jednocześnie w próbce martwych pszczół wyniosła 22 substancje (uprawa sadownicza).</w:t>
      </w:r>
    </w:p>
    <w:p w14:paraId="62D3C996" w14:textId="357163CA"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Chloropiryfos</w:t>
      </w:r>
      <w:r w:rsidRPr="00C01E81">
        <w:rPr>
          <w:rFonts w:ascii="Arial" w:hAnsi="Arial" w:cs="Arial"/>
        </w:rPr>
        <w:t>, chlotianidyna i</w:t>
      </w:r>
      <w:r w:rsidRPr="00925BCD">
        <w:rPr>
          <w:rFonts w:ascii="Arial" w:hAnsi="Arial" w:cs="Arial"/>
        </w:rPr>
        <w:t xml:space="preserve"> dimetoat to trzy pestycydy będące najczęstszą przyczyną zatruć pszczół w Polsce w 2019 r. Chloropiryfos oznaczono w 54 próbkach zatrutych pszczół, chlotianidynę w</w:t>
      </w:r>
      <w:r w:rsidR="00763E6D">
        <w:rPr>
          <w:rFonts w:ascii="Arial" w:hAnsi="Arial" w:cs="Arial"/>
        </w:rPr>
        <w:t> </w:t>
      </w:r>
      <w:r w:rsidRPr="00925BCD">
        <w:rPr>
          <w:rFonts w:ascii="Arial" w:hAnsi="Arial" w:cs="Arial"/>
        </w:rPr>
        <w:t>42 oraz dimetoat w 42 próbkach. W porównaniu do analogicznego okresu poprzedniego roku ponad trzykrotnie wzrosła liczba zatruć pszczół chlotianidyną, 13 próbek w 2018 r</w:t>
      </w:r>
      <w:r w:rsidR="003973B1" w:rsidRPr="00925BCD">
        <w:rPr>
          <w:rFonts w:ascii="Arial" w:hAnsi="Arial" w:cs="Arial"/>
        </w:rPr>
        <w:t>.</w:t>
      </w:r>
    </w:p>
    <w:p w14:paraId="71E97A4C" w14:textId="77777777" w:rsidR="003973B1" w:rsidRPr="00925BCD" w:rsidRDefault="003973B1" w:rsidP="003973B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przebadano również łącznie 82 próbki materiału pobranego z nadzorowanych pasiek podczas planowych wizyt kontrolnych, w tym 43 próbki pszczół oraz 39 próbek pyłku (pierzgi). Próbki poddano analizie toksykologicznej w kierunku oznaczania pozostałości co najmniej 249 pestycydów stosowanych w chemicznej ochronie roślin obejmujących substancje aktywne środków ochrony roślin tj. insektycydy, fungicydy, herbicydy, akarycydy, regulatory wzrostu oraz substancje aktywne leków warro</w:t>
      </w:r>
      <w:r w:rsidR="00C77C0E" w:rsidRPr="00925BCD">
        <w:rPr>
          <w:rFonts w:ascii="Arial" w:hAnsi="Arial" w:cs="Arial"/>
        </w:rPr>
        <w:t>zo</w:t>
      </w:r>
      <w:r w:rsidRPr="00925BCD">
        <w:rPr>
          <w:rFonts w:ascii="Arial" w:hAnsi="Arial" w:cs="Arial"/>
        </w:rPr>
        <w:t>bójczych.</w:t>
      </w:r>
    </w:p>
    <w:p w14:paraId="2505AAA6" w14:textId="77777777" w:rsidR="00995C95" w:rsidRDefault="003973B1" w:rsidP="0087702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wyniku przeprowadzonych analiz ustalono, że 58% próbek pszczół z nadzorowanych pasiek zawierało pozostałości pestycydów w stężeniach powyżej granic oznaczalności metody badawczej. </w:t>
      </w:r>
      <w:r w:rsidR="00877025" w:rsidRPr="00925BCD">
        <w:rPr>
          <w:rFonts w:ascii="Arial" w:hAnsi="Arial" w:cs="Arial"/>
        </w:rPr>
        <w:t>(w</w:t>
      </w:r>
      <w:r w:rsidR="00C77C0E" w:rsidRPr="00925BCD">
        <w:rPr>
          <w:rFonts w:ascii="Arial" w:hAnsi="Arial" w:cs="Arial"/>
        </w:rPr>
        <w:t> </w:t>
      </w:r>
      <w:r w:rsidRPr="00925BCD">
        <w:rPr>
          <w:rFonts w:ascii="Arial" w:hAnsi="Arial" w:cs="Arial"/>
        </w:rPr>
        <w:t>próbkach pszczół oznaczono łącznie pozostałości 25 pestycydów</w:t>
      </w:r>
      <w:r w:rsidR="00877025" w:rsidRPr="00925BCD">
        <w:rPr>
          <w:rFonts w:ascii="Arial" w:hAnsi="Arial" w:cs="Arial"/>
        </w:rPr>
        <w:t xml:space="preserve">) oraz </w:t>
      </w:r>
      <w:r w:rsidRPr="00925BCD">
        <w:rPr>
          <w:rFonts w:ascii="Arial" w:hAnsi="Arial" w:cs="Arial"/>
        </w:rPr>
        <w:t>75% próbek pierzgi z</w:t>
      </w:r>
      <w:r w:rsidR="00877025" w:rsidRPr="00925BCD">
        <w:rPr>
          <w:rFonts w:ascii="Arial" w:hAnsi="Arial" w:cs="Arial"/>
        </w:rPr>
        <w:t> </w:t>
      </w:r>
      <w:r w:rsidRPr="00925BCD">
        <w:rPr>
          <w:rFonts w:ascii="Arial" w:hAnsi="Arial" w:cs="Arial"/>
        </w:rPr>
        <w:t>nadzorowanych pasiek zawierało pozostałości pestycydów w stężeniach powyżej granic oznaczalności metody badawczej</w:t>
      </w:r>
      <w:r w:rsidR="00877025" w:rsidRPr="00925BCD">
        <w:rPr>
          <w:rFonts w:ascii="Arial" w:hAnsi="Arial" w:cs="Arial"/>
        </w:rPr>
        <w:t xml:space="preserve"> (w</w:t>
      </w:r>
      <w:r w:rsidRPr="00925BCD">
        <w:rPr>
          <w:rFonts w:ascii="Arial" w:hAnsi="Arial" w:cs="Arial"/>
        </w:rPr>
        <w:t xml:space="preserve"> próbkach pierzgi oznaczono łącznie pozostałości 38 pestycydów</w:t>
      </w:r>
      <w:r w:rsidR="00877025" w:rsidRPr="00925BCD">
        <w:rPr>
          <w:rFonts w:ascii="Arial" w:hAnsi="Arial" w:cs="Arial"/>
        </w:rPr>
        <w:t xml:space="preserve">). </w:t>
      </w:r>
    </w:p>
    <w:p w14:paraId="444D368A" w14:textId="067C4B62"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 xml:space="preserve">W ramach diagnostyki i rejestracji przypadków ostrych zatruć pszczół środkami ochrony roślin </w:t>
      </w:r>
      <w:r w:rsidR="005F7930" w:rsidRPr="005F7930">
        <w:rPr>
          <w:rFonts w:ascii="Arial" w:hAnsi="Arial" w:cs="Arial"/>
          <w:b/>
          <w:bCs/>
        </w:rPr>
        <w:t>w</w:t>
      </w:r>
      <w:r w:rsidR="005F7930">
        <w:rPr>
          <w:rFonts w:ascii="Arial" w:hAnsi="Arial" w:cs="Arial"/>
          <w:b/>
          <w:bCs/>
        </w:rPr>
        <w:t> </w:t>
      </w:r>
      <w:r w:rsidRPr="005F7930">
        <w:rPr>
          <w:rFonts w:ascii="Arial" w:hAnsi="Arial" w:cs="Arial"/>
          <w:b/>
          <w:bCs/>
        </w:rPr>
        <w:t>2020 r.</w:t>
      </w:r>
      <w:r w:rsidRPr="00E43A58">
        <w:rPr>
          <w:rFonts w:ascii="Arial" w:hAnsi="Arial" w:cs="Arial"/>
          <w:b/>
          <w:bCs/>
        </w:rPr>
        <w:t xml:space="preserve"> </w:t>
      </w:r>
      <w:r w:rsidRPr="005F7930">
        <w:rPr>
          <w:rFonts w:ascii="Arial" w:hAnsi="Arial" w:cs="Arial"/>
        </w:rPr>
        <w:t>przebadano 82 próbki martwych pszczół, czyli o 36 próbek mniej niż w 2019 r. Próbki pochodziły z pasiek, w których istniało podejrzenie, że przyczyną zatrucia mogły być nieprawidłowości w zakresie stosowania środków ochrony roślin w sąsiadujących uprawach. Incydenty zatruć pszczół wystąpiły tak jak w roku poprzednim na terenie piętnastu województw.</w:t>
      </w:r>
    </w:p>
    <w:p w14:paraId="1B9B8667" w14:textId="26833A4A"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Próbki pszczół reprezentowały pasieki liczące w sumie 2825 rodzin pszczelich, w tym na dzień pobierania próbek objawy zatrucia wykazywało 2237 rodzin pszczelich a 137 rodzin było całkowicie wymarłych. W większości przypadków w wyniku zatrucia doszło do osypu znacznej części rodzin, w tym zwłaszcza pszczoły lotnej.</w:t>
      </w:r>
    </w:p>
    <w:p w14:paraId="135FE4FA" w14:textId="120DA10C"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Podejrzane uprawy mogące być miejscem narażenia pszczół wskazano w 53 przypadkach, w</w:t>
      </w:r>
      <w:r w:rsidR="00DC7E4D">
        <w:rPr>
          <w:rFonts w:ascii="Arial" w:hAnsi="Arial" w:cs="Arial"/>
        </w:rPr>
        <w:t> </w:t>
      </w:r>
      <w:r w:rsidRPr="005F7930">
        <w:rPr>
          <w:rFonts w:ascii="Arial" w:hAnsi="Arial" w:cs="Arial"/>
        </w:rPr>
        <w:t xml:space="preserve">konsekwencji wskazania </w:t>
      </w:r>
      <w:r w:rsidR="00871B35" w:rsidRPr="005F7930">
        <w:rPr>
          <w:rFonts w:ascii="Arial" w:hAnsi="Arial" w:cs="Arial"/>
        </w:rPr>
        <w:t>właścicieli</w:t>
      </w:r>
      <w:r w:rsidRPr="005F7930">
        <w:rPr>
          <w:rFonts w:ascii="Arial" w:hAnsi="Arial" w:cs="Arial"/>
        </w:rPr>
        <w:t xml:space="preserve"> plantacji. Wśród podejrzanych upraw dominował rzepak, w tym głównie rzepak ozimy, który wskazano w 35 przypadkach. Uprawy sadownicze, które w poprzednich latach również stanowiły miejsce narażenia pszczół na zatrucia, wskazano w tym roku w 8 przypadkach. Jako podejrzaną uprawę wskazywano jednostkowo również uprawy pszenicy, kukurydzy, jęczmienia, </w:t>
      </w:r>
      <w:r w:rsidRPr="005F7930">
        <w:rPr>
          <w:rFonts w:ascii="Arial" w:hAnsi="Arial" w:cs="Arial"/>
        </w:rPr>
        <w:lastRenderedPageBreak/>
        <w:t>bobu, łubinu, ziemniaków, winorośli oraz ogródki przydomowe.</w:t>
      </w:r>
    </w:p>
    <w:p w14:paraId="7D60505B" w14:textId="1185DEEC"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Tak jak w 2019</w:t>
      </w:r>
      <w:r w:rsidR="00CC32F3">
        <w:rPr>
          <w:rFonts w:ascii="Arial" w:hAnsi="Arial" w:cs="Arial"/>
        </w:rPr>
        <w:t> </w:t>
      </w:r>
      <w:r w:rsidRPr="005F7930">
        <w:rPr>
          <w:rFonts w:ascii="Arial" w:hAnsi="Arial" w:cs="Arial"/>
        </w:rPr>
        <w:t>r. również w 2020</w:t>
      </w:r>
      <w:r w:rsidR="007337B9">
        <w:rPr>
          <w:rFonts w:ascii="Arial" w:hAnsi="Arial" w:cs="Arial"/>
        </w:rPr>
        <w:t> </w:t>
      </w:r>
      <w:r w:rsidRPr="005F7930">
        <w:rPr>
          <w:rFonts w:ascii="Arial" w:hAnsi="Arial" w:cs="Arial"/>
        </w:rPr>
        <w:t>r. wszystkie próbki martwych pszczół poddano analizie toksykologicznej w kierunku oznaczania pozostałości co najmniej 249 pestycydów stosowanych w</w:t>
      </w:r>
      <w:r w:rsidR="00DC7E4D">
        <w:rPr>
          <w:rFonts w:ascii="Arial" w:hAnsi="Arial" w:cs="Arial"/>
        </w:rPr>
        <w:t> </w:t>
      </w:r>
      <w:r w:rsidRPr="005F7930">
        <w:rPr>
          <w:rFonts w:ascii="Arial" w:hAnsi="Arial" w:cs="Arial"/>
        </w:rPr>
        <w:t>chemicznej ochronie roślin obejmujących substancje czynne środków ochrony roślin tj. insektycydy, fungicydy, herbicydy, akarycydy, regulatory wzrostu oraz substancje aktywne leków warrozobójczych. W wyniku przeprowadzonych analiz ustalono, że 93% próbek martwych pszczół zawierało pozostałości pestycydów w stężeniach powyżej granic oznaczalności metody badawczej. W próbkach martwych pszczół oznaczono łącznie pozostałości 65 pestycydów. Zdecydowana większość oznaczonych pestycydów to substancje czynne środków ochrony roślin. W próbkach oznaczono również pozostałości leków warrozobójczych oraz produktów biobójczych. W połowie badanych próbek podobnie jak w latach poprzednich wykrywano pozostałości co najmniej 7 pestycydów. Maksymalna liczba pestycydów, których pozostałości oznaczono jednocześnie w próbce martwych pszczół wyniosła 22 substancje (uprawa rzepaku).</w:t>
      </w:r>
    </w:p>
    <w:p w14:paraId="37D93112" w14:textId="68575C1F"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Chlotianidyna, dimeloat i chloropiryfos to trzy pestycydy będące najczęstszą przyczyną zatruć pszczół w Polsce w 2020 r. Chlotianidynę oznaczono w 28 próbkach zatrutych pszczół, dimetoat w 27 natomiast chloropiryfos w 26 próbkach.</w:t>
      </w:r>
    </w:p>
    <w:p w14:paraId="74572002" w14:textId="4F01C124" w:rsidR="00B046C3" w:rsidRPr="005F7930" w:rsidRDefault="00B046C3" w:rsidP="00B046C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W 2020 r. przebadano łącznie 118 próbek, a więc o 36 więcej niż w 2019 r., pobranych podczas wizyt kontrolnych z pasiek nadzorowanych w okresie wiosennym oraz letnim</w:t>
      </w:r>
      <w:r w:rsidR="00126AC2">
        <w:rPr>
          <w:rFonts w:ascii="Arial" w:hAnsi="Arial" w:cs="Arial"/>
        </w:rPr>
        <w:t xml:space="preserve"> </w:t>
      </w:r>
      <w:r w:rsidR="00126AC2" w:rsidRPr="005F7930">
        <w:rPr>
          <w:rFonts w:ascii="Arial" w:hAnsi="Arial" w:cs="Arial"/>
        </w:rPr>
        <w:t>(</w:t>
      </w:r>
      <w:r w:rsidR="00126AC2">
        <w:rPr>
          <w:rFonts w:ascii="Arial" w:hAnsi="Arial" w:cs="Arial"/>
        </w:rPr>
        <w:t xml:space="preserve">odpowiednio </w:t>
      </w:r>
      <w:r w:rsidR="00126AC2" w:rsidRPr="005F7930">
        <w:rPr>
          <w:rFonts w:ascii="Arial" w:hAnsi="Arial" w:cs="Arial"/>
        </w:rPr>
        <w:t>38 i 80</w:t>
      </w:r>
      <w:r w:rsidR="00126AC2">
        <w:rPr>
          <w:rFonts w:ascii="Arial" w:hAnsi="Arial" w:cs="Arial"/>
        </w:rPr>
        <w:t xml:space="preserve"> próbek</w:t>
      </w:r>
      <w:r w:rsidR="00126AC2" w:rsidRPr="005F7930">
        <w:rPr>
          <w:rFonts w:ascii="Arial" w:hAnsi="Arial" w:cs="Arial"/>
        </w:rPr>
        <w:t>)</w:t>
      </w:r>
      <w:r w:rsidRPr="005F7930">
        <w:rPr>
          <w:rFonts w:ascii="Arial" w:hAnsi="Arial" w:cs="Arial"/>
        </w:rPr>
        <w:t>. Próbki jak co roku poddano analizie toksykologicznej w kierunku oznaczania pozostałości pestycydów stosowanych w chemicznej ochronie roślin obejmujących substancje aktywne środków ochrony roślin tj. insektycydy, fungicydy, herbicydy, akarycydy, regulatory wzrostu oraz substancje aktywne leków warrozobójczych.</w:t>
      </w:r>
    </w:p>
    <w:p w14:paraId="16A32CE2" w14:textId="21A69BDA" w:rsidR="00421923" w:rsidRPr="005F7930" w:rsidRDefault="00421923" w:rsidP="0042192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38 próbek pobranych w trakcie wiosennych wizyt kontrolnych (22 próbki osypu pszczół i 16 próbek pierzgi z tych rodzin). Analiza ta wykazała, że 95% próbek os</w:t>
      </w:r>
      <w:r w:rsidR="00FA44AE" w:rsidRPr="005F7930">
        <w:rPr>
          <w:rFonts w:ascii="Arial" w:hAnsi="Arial" w:cs="Arial"/>
        </w:rPr>
        <w:t>y</w:t>
      </w:r>
      <w:r w:rsidRPr="005F7930">
        <w:rPr>
          <w:rFonts w:ascii="Arial" w:hAnsi="Arial" w:cs="Arial"/>
        </w:rPr>
        <w:t>pów pszczół oraz próbek pierzgi pobranej z osypan</w:t>
      </w:r>
      <w:r w:rsidR="00FA44AE" w:rsidRPr="005F7930">
        <w:rPr>
          <w:rFonts w:ascii="Arial" w:hAnsi="Arial" w:cs="Arial"/>
        </w:rPr>
        <w:t>ych</w:t>
      </w:r>
      <w:r w:rsidRPr="005F7930">
        <w:rPr>
          <w:rFonts w:ascii="Arial" w:hAnsi="Arial" w:cs="Arial"/>
        </w:rPr>
        <w:t xml:space="preserve"> rodzin pszczelich za</w:t>
      </w:r>
      <w:r w:rsidR="00FA44AE" w:rsidRPr="005F7930">
        <w:rPr>
          <w:rFonts w:ascii="Arial" w:hAnsi="Arial" w:cs="Arial"/>
        </w:rPr>
        <w:t xml:space="preserve">wierało </w:t>
      </w:r>
      <w:r w:rsidRPr="005F7930">
        <w:rPr>
          <w:rFonts w:ascii="Arial" w:hAnsi="Arial" w:cs="Arial"/>
        </w:rPr>
        <w:t>pozostałości pestycydów w stężeniach powyżej granic oznaczaln</w:t>
      </w:r>
      <w:r w:rsidR="00FA44AE" w:rsidRPr="005F7930">
        <w:rPr>
          <w:rFonts w:ascii="Arial" w:hAnsi="Arial" w:cs="Arial"/>
        </w:rPr>
        <w:t>ości metody badawczej W</w:t>
      </w:r>
      <w:r w:rsidRPr="005F7930">
        <w:rPr>
          <w:rFonts w:ascii="Arial" w:hAnsi="Arial" w:cs="Arial"/>
        </w:rPr>
        <w:t xml:space="preserve"> próbkach osypanych pszczół oznaczono pozostałości 9 pestycydów</w:t>
      </w:r>
      <w:r w:rsidR="00FA44AE" w:rsidRPr="005F7930">
        <w:rPr>
          <w:rFonts w:ascii="Arial" w:hAnsi="Arial" w:cs="Arial"/>
        </w:rPr>
        <w:t>, natomiast w</w:t>
      </w:r>
      <w:r w:rsidR="00BF3DEF" w:rsidRPr="005F7930">
        <w:rPr>
          <w:rFonts w:ascii="Arial" w:hAnsi="Arial" w:cs="Arial"/>
        </w:rPr>
        <w:t xml:space="preserve"> próbkach pierzgi pobranej z rodzin, w których w</w:t>
      </w:r>
      <w:r w:rsidR="00C92C97">
        <w:rPr>
          <w:rFonts w:ascii="Arial" w:hAnsi="Arial" w:cs="Arial"/>
        </w:rPr>
        <w:t> </w:t>
      </w:r>
      <w:r w:rsidR="00BF3DEF" w:rsidRPr="005F7930">
        <w:rPr>
          <w:rFonts w:ascii="Arial" w:hAnsi="Arial" w:cs="Arial"/>
        </w:rPr>
        <w:t>okresie zimowi i osypywały się pszczoły oznaczono pozostałości 10 pestycydów.</w:t>
      </w:r>
    </w:p>
    <w:p w14:paraId="7A75F417" w14:textId="4A747F5A" w:rsidR="00871B35" w:rsidRDefault="00BF3DEF"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również 80 próbek pobranych w trakcie letnich wizyt kontrolnych w nadzorowanych pasiekach (44 próbki żywych pszczół i 36 próbek pierzgi). Analiza wykazała, że 30% próbek żywych pszczół oraz 78% próbek pierzgi zawierało pozostałości pestycydów. Odnotowano tym samym znaczny spadek odsetka próbek żywych pszczół z pozostałościami pestycydów (58% w 2019 r.). Odsetek próbek pierzgi zawierającej pozostałości pestycydów pozostał na zbliżonym poziomie jak w roku ubiegłym. W próbkach żywych pszczół oznaczono pozostałości 10 pestycydów</w:t>
      </w:r>
      <w:r w:rsidR="00AF1B13" w:rsidRPr="005F7930">
        <w:rPr>
          <w:rFonts w:ascii="Arial" w:hAnsi="Arial" w:cs="Arial"/>
        </w:rPr>
        <w:t>, natomiast w</w:t>
      </w:r>
      <w:r w:rsidR="00C92C97">
        <w:rPr>
          <w:rFonts w:ascii="Arial" w:hAnsi="Arial" w:cs="Arial"/>
        </w:rPr>
        <w:t> </w:t>
      </w:r>
      <w:r w:rsidRPr="005F7930">
        <w:rPr>
          <w:rFonts w:ascii="Arial" w:hAnsi="Arial" w:cs="Arial"/>
        </w:rPr>
        <w:t>próbkach pierzgi z letniej wizyty kontrolnej oznaczono pozostałości 27 pestycydów</w:t>
      </w:r>
      <w:r w:rsidR="00AF1B13" w:rsidRPr="005F7930">
        <w:rPr>
          <w:rFonts w:ascii="Arial" w:hAnsi="Arial" w:cs="Arial"/>
        </w:rPr>
        <w:t>.</w:t>
      </w:r>
    </w:p>
    <w:p w14:paraId="3603B497" w14:textId="77018A2A"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6763DD">
        <w:rPr>
          <w:rFonts w:ascii="Arial" w:hAnsi="Arial" w:cs="Arial"/>
          <w:b/>
        </w:rPr>
        <w:t>W 2021 r.</w:t>
      </w:r>
      <w:r w:rsidRPr="00521818">
        <w:rPr>
          <w:rFonts w:ascii="Arial" w:hAnsi="Arial" w:cs="Arial"/>
        </w:rPr>
        <w:t xml:space="preserve">, Państwowy Instytut Weterynaryjny – PIB w Puławach </w:t>
      </w:r>
      <w:r>
        <w:rPr>
          <w:rFonts w:ascii="Arial" w:hAnsi="Arial" w:cs="Arial"/>
        </w:rPr>
        <w:t>prowadził</w:t>
      </w:r>
      <w:r w:rsidRPr="00521818">
        <w:rPr>
          <w:rFonts w:ascii="Arial" w:hAnsi="Arial" w:cs="Arial"/>
        </w:rPr>
        <w:t xml:space="preserve"> badania laboratoryjne dostarczonych próbek, pobranych z rodzin pszczelich podczas wizyt kontroln</w:t>
      </w:r>
      <w:r>
        <w:rPr>
          <w:rFonts w:ascii="Arial" w:hAnsi="Arial" w:cs="Arial"/>
        </w:rPr>
        <w:t>ych</w:t>
      </w:r>
      <w:r w:rsidRPr="00521818">
        <w:rPr>
          <w:rFonts w:ascii="Arial" w:hAnsi="Arial" w:cs="Arial"/>
        </w:rPr>
        <w:t xml:space="preserve"> wiosennej i letniej oraz z pasiek, w których wystąpiło podejrzenie ostrego zatrucia pszczół środkami ochrony roślin.</w:t>
      </w:r>
    </w:p>
    <w:p w14:paraId="4733D9C0" w14:textId="2535F4A2"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lastRenderedPageBreak/>
        <w:t>Do badań toksykologicznych prowadzonych przy podejrzeniu ostrego zatrucia pszczół pobrano 27</w:t>
      </w:r>
      <w:r w:rsidR="002F734A">
        <w:rPr>
          <w:rFonts w:ascii="Arial" w:hAnsi="Arial" w:cs="Arial"/>
        </w:rPr>
        <w:t> </w:t>
      </w:r>
      <w:r w:rsidRPr="00521818">
        <w:rPr>
          <w:rFonts w:ascii="Arial" w:hAnsi="Arial" w:cs="Arial"/>
        </w:rPr>
        <w:t xml:space="preserve">próbek martwych pszczół, co stanowi najniższą liczbę incydentów od początku funkcjonowania programu. Próbki pochodziły z pasiek, w których istniało podejrzenie, że przyczyną zatrucia mogły być nieprawidłowości w zakresie stosowania </w:t>
      </w:r>
      <w:r>
        <w:rPr>
          <w:rFonts w:ascii="Arial" w:hAnsi="Arial" w:cs="Arial"/>
        </w:rPr>
        <w:t>środków ochrony roślin</w:t>
      </w:r>
      <w:r w:rsidRPr="00521818">
        <w:rPr>
          <w:rFonts w:ascii="Arial" w:hAnsi="Arial" w:cs="Arial"/>
        </w:rPr>
        <w:t xml:space="preserve"> w sąsiadujących uprawach.</w:t>
      </w:r>
    </w:p>
    <w:p w14:paraId="2B356CDF" w14:textId="7D06C585"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Próbki pszczół reprezentowały pasieki liczące w sumie 995 rodzin pszczelich, w tym na dzień pobierania próbek objawy zatrucia wykazywało 651</w:t>
      </w:r>
      <w:r w:rsidR="00905BC2">
        <w:rPr>
          <w:rFonts w:ascii="Arial" w:hAnsi="Arial" w:cs="Arial"/>
        </w:rPr>
        <w:t xml:space="preserve"> rodzin pszczelich, </w:t>
      </w:r>
      <w:r w:rsidRPr="00521818">
        <w:rPr>
          <w:rFonts w:ascii="Arial" w:hAnsi="Arial" w:cs="Arial"/>
        </w:rPr>
        <w:t>a 107 rodzin było całkowicie wymarłych.</w:t>
      </w:r>
    </w:p>
    <w:p w14:paraId="3B9E83D9" w14:textId="77777777"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Wszystkie próbki martwych pszczół poddano analizie toksykologicznej w kierunku oznaczania pozostałości co najmniej 249 pestycydów stosowanych w chemicznej ochronie roślin obejmujących substancje czynne środków ochrony roślin tj. insektycydy, fungicydy, herbicydy, akarycydy, regulatory wzrostu oraz substancje czynne weterynaryjnych produktów leczniczych warrozobójczych.</w:t>
      </w:r>
    </w:p>
    <w:p w14:paraId="4B34F7B2" w14:textId="5B7AAF5A"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 wyniku przeprowadzonych analiz ustalono, że 96% próbek martwych pszczół zawierało pozostałości pestycydów w stężeniach powyżej granic oznaczalności metody badawczej. W próbkach martwych pszczół oznaczono łącznie pozostałości 45 pestycydów</w:t>
      </w:r>
      <w:r w:rsidR="00905BC2">
        <w:rPr>
          <w:rFonts w:ascii="Arial" w:hAnsi="Arial" w:cs="Arial"/>
        </w:rPr>
        <w:t>, przy czym z</w:t>
      </w:r>
      <w:r w:rsidRPr="00521818">
        <w:rPr>
          <w:rFonts w:ascii="Arial" w:hAnsi="Arial" w:cs="Arial"/>
        </w:rPr>
        <w:t xml:space="preserve">decydowana większość oznaczonych pestycydów to substancje czynne </w:t>
      </w:r>
      <w:r w:rsidR="00905BC2">
        <w:rPr>
          <w:rFonts w:ascii="Arial" w:hAnsi="Arial" w:cs="Arial"/>
        </w:rPr>
        <w:t>środków ochrony roślin</w:t>
      </w:r>
      <w:r w:rsidRPr="00521818">
        <w:rPr>
          <w:rFonts w:ascii="Arial" w:hAnsi="Arial" w:cs="Arial"/>
        </w:rPr>
        <w:t>. W próbkach oznaczono także pozostałości weterynaryjnych produktów leczniczych warrozobójczych oraz produktów biobójczych. W</w:t>
      </w:r>
      <w:r w:rsidR="00905BC2">
        <w:rPr>
          <w:rFonts w:ascii="Arial" w:hAnsi="Arial" w:cs="Arial"/>
        </w:rPr>
        <w:t> </w:t>
      </w:r>
      <w:r w:rsidRPr="00521818">
        <w:rPr>
          <w:rFonts w:ascii="Arial" w:hAnsi="Arial" w:cs="Arial"/>
        </w:rPr>
        <w:t>połowie badanych próbek wykrywano pozostałości co najmniej 5 pestycydów. Maksymalna liczba pestycydów, których pozostałości oznaczono jednocześnie w próbce martwych pszczół wyniosła 18</w:t>
      </w:r>
      <w:r w:rsidR="00905BC2">
        <w:rPr>
          <w:rFonts w:ascii="Arial" w:hAnsi="Arial" w:cs="Arial"/>
        </w:rPr>
        <w:t> </w:t>
      </w:r>
      <w:r w:rsidRPr="00521818">
        <w:rPr>
          <w:rFonts w:ascii="Arial" w:hAnsi="Arial" w:cs="Arial"/>
        </w:rPr>
        <w:t xml:space="preserve">substancji (okoliczne uprawy – rzepak i leszczyna). </w:t>
      </w:r>
    </w:p>
    <w:p w14:paraId="448A97F8" w14:textId="6E970166"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W 18 spośród 27 przebadanych próbek pszczół oznaczono pozostałości bardzo toksycznych substancji owadobójczych i nie można wykluczyć, że stanowiły one przyczynę zatrucia. Deltametryna, chlotianidyna, tiametoksam to trzy pestycydy będące najczęstszą przyczyną zatruć pszczół w 2021 </w:t>
      </w:r>
      <w:r w:rsidR="00905BC2">
        <w:rPr>
          <w:rFonts w:ascii="Arial" w:hAnsi="Arial" w:cs="Arial"/>
        </w:rPr>
        <w:t>r</w:t>
      </w:r>
      <w:r w:rsidRPr="00521818">
        <w:rPr>
          <w:rFonts w:ascii="Arial" w:hAnsi="Arial" w:cs="Arial"/>
        </w:rPr>
        <w:t>.</w:t>
      </w:r>
    </w:p>
    <w:p w14:paraId="13F4DD70" w14:textId="77777777"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 ramach oceny toksykologicznego zagrożenia dla zdrowia rodzin pszczelich – monitorowanie pozostałości pestycydów w środowisku ula i w pszczołach w 2021 r. przebadano łącznie 173 próbki pobrane podczas wizyt kontrolnych z pasiek nadzorowanych w okresie wiosennym oraz letnim.</w:t>
      </w:r>
    </w:p>
    <w:p w14:paraId="33DFCB15" w14:textId="49BD36E3"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Analizie toksykologicznej poddano 65 próbek osypu pszczół pobranych w trakcie wiosennych wizyt kontrolnych. Analiza wykazała, że 91% próbek zawierało pozostałości pestycydów w stężeniach powyżej granicy oznaczalności metody badawczej. Odsetek próbek osypanych pszczół zawierających pozostałości pestycydów</w:t>
      </w:r>
      <w:r w:rsidR="00905BC2">
        <w:rPr>
          <w:rFonts w:ascii="Arial" w:hAnsi="Arial" w:cs="Arial"/>
        </w:rPr>
        <w:t xml:space="preserve"> był</w:t>
      </w:r>
      <w:r w:rsidRPr="00521818">
        <w:rPr>
          <w:rFonts w:ascii="Arial" w:hAnsi="Arial" w:cs="Arial"/>
        </w:rPr>
        <w:t xml:space="preserve"> bardzo wysoki, zdecydowanie wyższy niż w żywych pszczołach pobieranych przed zimą, głównie jednak za sprawą pozostałości metabolitów amitrazy (DMF, DMPF). W próbkach osypanych pszczół oznaczono pozostałości 16 pestycydów: DMF i DMPF (75%), tau-Fluwalinat (12%), karbendazym (8%), chloropiryfos, difenokonazol, tebukonazol (6%), tiachlopryd (5%), flusilazol, pendimetalina, tiofanat metylowy (3%) oraz azoksystrobina, kumafos, permetryna, pirymetanil oraz pirymifos metylowy (2%). W próbkach osypanych pszczół oznaczono pozostałości do 8</w:t>
      </w:r>
      <w:r w:rsidR="00905BC2">
        <w:rPr>
          <w:rFonts w:ascii="Arial" w:hAnsi="Arial" w:cs="Arial"/>
        </w:rPr>
        <w:t> </w:t>
      </w:r>
      <w:r w:rsidRPr="00521818">
        <w:rPr>
          <w:rFonts w:ascii="Arial" w:hAnsi="Arial" w:cs="Arial"/>
        </w:rPr>
        <w:t xml:space="preserve"> pestycydów jednocześnie.</w:t>
      </w:r>
    </w:p>
    <w:p w14:paraId="2B7EC3B7" w14:textId="4FA4D3B0" w:rsidR="00521818" w:rsidRP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 xml:space="preserve">Analizie toksykologicznej poddano również 108 próbek pobranych w trakcie letnich wizyt kontrolnych w nadzorowanych pasiekach (58 próbek żywych pszczół i 50 próbek pierzgi). Analiza wykazała, że 52% próbek żywych pszczół oraz 66% próbek pierzgi zawierało pozostałości pestycydów. W próbkach </w:t>
      </w:r>
      <w:r w:rsidRPr="00521818">
        <w:rPr>
          <w:rFonts w:ascii="Arial" w:hAnsi="Arial" w:cs="Arial"/>
        </w:rPr>
        <w:lastRenderedPageBreak/>
        <w:t>żywych pszczół oznaczono pozostałości 20 pestycydów m.in.: DMPF (21%), DMF (17%), acetamipryd (12%), difenokonazol, tiachloropryd (9%), chloropiryfos, karbendazym, trifloksystrobina (7%). W</w:t>
      </w:r>
      <w:r w:rsidR="00905BC2">
        <w:rPr>
          <w:rFonts w:ascii="Arial" w:hAnsi="Arial" w:cs="Arial"/>
        </w:rPr>
        <w:t> </w:t>
      </w:r>
      <w:r w:rsidRPr="00521818">
        <w:rPr>
          <w:rFonts w:ascii="Arial" w:hAnsi="Arial" w:cs="Arial"/>
        </w:rPr>
        <w:t xml:space="preserve">próbkach żywych pszczół oznaczono pozostałości do 6 pestycydów jednocześnie. </w:t>
      </w:r>
    </w:p>
    <w:p w14:paraId="39270A37" w14:textId="77777777" w:rsidR="00521818" w:rsidRDefault="00521818" w:rsidP="00521818">
      <w:pPr>
        <w:pStyle w:val="NormalnyWeb"/>
        <w:tabs>
          <w:tab w:val="left" w:pos="284"/>
        </w:tabs>
        <w:spacing w:beforeAutospacing="0" w:after="120" w:afterAutospacing="0" w:line="360" w:lineRule="auto"/>
        <w:ind w:firstLine="284"/>
        <w:jc w:val="both"/>
        <w:rPr>
          <w:rFonts w:ascii="Arial" w:hAnsi="Arial" w:cs="Arial"/>
        </w:rPr>
      </w:pPr>
      <w:r w:rsidRPr="00521818">
        <w:rPr>
          <w:rFonts w:ascii="Arial" w:hAnsi="Arial" w:cs="Arial"/>
        </w:rPr>
        <w:t>W próbkach pierzgi z letniej wizyty kontrolnej oznaczono pozostałości 36 pestycydów m.in.: acetamipryd (54%), azoksystrobina, karbendazym (20%), tebukonazol (16%), difenokonazol (14%), fluopyram (12%), chloropiryfos, tiofanat metylowy (10%). W próbkach pierzgi pobranej w trakcie letnich wizyt kontrolnych oznaczono pozostałości do 13 pestycydów jednocześnie.</w:t>
      </w:r>
    </w:p>
    <w:p w14:paraId="354DA6F6" w14:textId="43FA61F0" w:rsidR="00016BB0" w:rsidRPr="00E52C70" w:rsidRDefault="00093577" w:rsidP="00016BB0">
      <w:pPr>
        <w:pStyle w:val="NormalnyWeb"/>
        <w:tabs>
          <w:tab w:val="left" w:pos="284"/>
        </w:tabs>
        <w:spacing w:beforeAutospacing="0" w:after="120" w:afterAutospacing="0" w:line="360" w:lineRule="auto"/>
        <w:ind w:firstLine="284"/>
        <w:jc w:val="both"/>
        <w:rPr>
          <w:rFonts w:ascii="Arial" w:hAnsi="Arial" w:cs="Arial"/>
        </w:rPr>
      </w:pPr>
      <w:bookmarkStart w:id="100" w:name="_Hlk150246375"/>
      <w:r w:rsidRPr="0054541B">
        <w:rPr>
          <w:rFonts w:ascii="Arial" w:hAnsi="Arial" w:cs="Arial"/>
        </w:rPr>
        <w:t xml:space="preserve">Państwowy Instytut Weterynaryjny – PIB </w:t>
      </w:r>
      <w:bookmarkEnd w:id="100"/>
      <w:r w:rsidRPr="0054541B">
        <w:rPr>
          <w:rFonts w:ascii="Arial" w:hAnsi="Arial" w:cs="Arial"/>
        </w:rPr>
        <w:t>w Puławach kontynuował swoje badania w 2022 r.</w:t>
      </w:r>
      <w:r w:rsidR="00E538B1" w:rsidRPr="0054541B">
        <w:rPr>
          <w:rFonts w:ascii="Arial" w:hAnsi="Arial" w:cs="Arial"/>
        </w:rPr>
        <w:t xml:space="preserve"> </w:t>
      </w:r>
      <w:r w:rsidR="00016BB0" w:rsidRPr="0054541B">
        <w:rPr>
          <w:rFonts w:ascii="Arial" w:hAnsi="Arial" w:cs="Arial"/>
        </w:rPr>
        <w:t>W</w:t>
      </w:r>
      <w:r w:rsidR="00B32E15">
        <w:rPr>
          <w:rFonts w:ascii="Arial" w:hAnsi="Arial" w:cs="Arial"/>
        </w:rPr>
        <w:t> </w:t>
      </w:r>
      <w:r w:rsidR="00016BB0" w:rsidRPr="0054541B">
        <w:rPr>
          <w:rFonts w:ascii="Arial" w:hAnsi="Arial" w:cs="Arial"/>
        </w:rPr>
        <w:t xml:space="preserve">ramach diagnostyki i rejestracji przypadków ostrych zatruć pszczół środkami ochrony roślin </w:t>
      </w:r>
      <w:r w:rsidR="00016BB0" w:rsidRPr="0054541B">
        <w:rPr>
          <w:rFonts w:ascii="Arial" w:hAnsi="Arial" w:cs="Arial"/>
          <w:b/>
          <w:bCs/>
        </w:rPr>
        <w:t xml:space="preserve">w </w:t>
      </w:r>
      <w:r w:rsidR="007B7DAB" w:rsidRPr="0054541B">
        <w:rPr>
          <w:rFonts w:ascii="Arial" w:hAnsi="Arial" w:cs="Arial"/>
          <w:b/>
          <w:bCs/>
        </w:rPr>
        <w:t>2022</w:t>
      </w:r>
      <w:r w:rsidR="007B7DAB">
        <w:rPr>
          <w:rFonts w:ascii="Arial" w:hAnsi="Arial" w:cs="Arial"/>
          <w:b/>
          <w:bCs/>
        </w:rPr>
        <w:t> </w:t>
      </w:r>
      <w:r w:rsidR="00016BB0" w:rsidRPr="0054541B">
        <w:rPr>
          <w:rFonts w:ascii="Arial" w:hAnsi="Arial" w:cs="Arial"/>
          <w:b/>
          <w:bCs/>
        </w:rPr>
        <w:t>r.</w:t>
      </w:r>
      <w:r w:rsidR="00016BB0" w:rsidRPr="0054541B">
        <w:rPr>
          <w:rFonts w:ascii="Arial" w:hAnsi="Arial" w:cs="Arial"/>
        </w:rPr>
        <w:t xml:space="preserve"> przebadano 20 próbek martwych pszczół. Próbki pochodziły z pasiek, w których istniało podejrzenie, że przyczyną zatrucia mogły być nieprawidłowości w zakresie stosowania środków ochrony roślin w</w:t>
      </w:r>
      <w:r w:rsidR="00B32E15">
        <w:rPr>
          <w:rFonts w:ascii="Arial" w:hAnsi="Arial" w:cs="Arial"/>
        </w:rPr>
        <w:t> </w:t>
      </w:r>
      <w:r w:rsidR="00016BB0" w:rsidRPr="0054541B">
        <w:rPr>
          <w:rFonts w:ascii="Arial" w:hAnsi="Arial" w:cs="Arial"/>
        </w:rPr>
        <w:t>sąsiadujących uprawach. Incydenty zatruć pszczół wystąpiły na terenie dziesięciu województw. Próbki pszczół reprezentowały pasieki liczące w sumie 561 rodzin pszczelich, w tym na dzień pobierania próbek objawy zatrucia wykazywało 480 rodzin pszczelich, a 4 rodziny były całkowicie</w:t>
      </w:r>
      <w:r w:rsidR="00016BB0" w:rsidRPr="00E52C70">
        <w:rPr>
          <w:rFonts w:ascii="Arial" w:hAnsi="Arial" w:cs="Arial"/>
        </w:rPr>
        <w:t xml:space="preserve"> wymarłe. W wielu przypadkach wskazywano na znaczny osyp pszczół lotnych. </w:t>
      </w:r>
    </w:p>
    <w:p w14:paraId="7F0AF445" w14:textId="36D4F0C0"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Mediana czasu pobrania próbki martwych pszczół od zauważenia objawów zatrucia wyniosła 3 dni. Podejrzane uprawy mogące być miejscem narażenia pszczół wskazano w 6 przypadkach, w</w:t>
      </w:r>
      <w:r w:rsidR="005141AC">
        <w:rPr>
          <w:rFonts w:ascii="Arial" w:hAnsi="Arial" w:cs="Arial"/>
        </w:rPr>
        <w:t> </w:t>
      </w:r>
      <w:r w:rsidRPr="00E52C70">
        <w:rPr>
          <w:rFonts w:ascii="Arial" w:hAnsi="Arial" w:cs="Arial"/>
        </w:rPr>
        <w:t xml:space="preserve">konsekwencji wskazania właścicieli plantacji. Jako podejrzaną uprawę wskazywano sady jabłoniowe, rzepak, pszenicę, bobik, maliny oraz borówki. W protokołach dotyczących próbek, dla których nie wskazano podejrzanej plantacji (właściciela plantacji) mogącej być źródłem zatrucia, wskazywano okoliczne uprawy mogące być również źródłem narażenia pszczół na środki ochrony roślin. </w:t>
      </w:r>
    </w:p>
    <w:p w14:paraId="6249F127" w14:textId="77777777"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 xml:space="preserve">Wszystkie próbki martwych pszczół poddano analizie toksykologicznej w kierunku oznaczania pozostałości co najmniej 249 pestycydów stosowanych w chemicznej ochronie roślin obejmujących substancje czynne środków ochrony roślin tj. insektycydy, fungicydy, herbicydy, akarycydy, regulatory wzrostu oraz substancje aktywne leków warroabójczych. </w:t>
      </w:r>
    </w:p>
    <w:p w14:paraId="49B54932" w14:textId="21B4E4A9"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 xml:space="preserve">W wyniku przeprowadzonych analiz ustalono, że 85% próbek martwych pszczół zawierało pozostałości pestycydów w stężeniach powyżej granic oznaczalności metody badawczej. W próbkach martwych pszczół oznaczono łącznie pozostałości 37 pestycydów. Zdecydowana większość oznaczonych pestycydów to substancje czynne środków ochrony roślin. W próbkach oznaczono również pozostałości leków warroaobójczych oraz produktów biobójczych. W połowie badanych próbek wykrywano pozostałości co najmniej 3 pestycydów jednocześnie. Maksymalna liczba pestycydów, których pozostałości oznaczono w próbce martwych pszczół wyniosła 14 substancji. Cypermetryna, chlotianidyna i tiametoksam to trzy pestycydy będące najczęstszą przyczyną zatruć pszczół w 2022 r. Cypermetrynę oznaczono w 4 próbkach zatrutych pszczół, chlotianidynę w 3, a tiametoksam w 2 próbkach. Wycofanie ze stosowania chloropiryfosu i dimetoatu spowodowało znaczne zmniejszenie się liczby związanych z tymi substancjami incydentów zatruć pszczół. Chloropiryfos mógł być przyczyną zatrucia pszczół w dwóch przypadkach, podczas gdy dimetoat tylko w jednym. </w:t>
      </w:r>
    </w:p>
    <w:p w14:paraId="4AC5EFCF" w14:textId="4323F787"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W ramach monitorowania pozostałości pestycydów w środowisku ula i w pszczołach w 2022</w:t>
      </w:r>
      <w:r w:rsidR="005A2592">
        <w:rPr>
          <w:rFonts w:ascii="Arial" w:hAnsi="Arial" w:cs="Arial"/>
        </w:rPr>
        <w:t> </w:t>
      </w:r>
      <w:r w:rsidRPr="00E52C70">
        <w:rPr>
          <w:rFonts w:ascii="Arial" w:hAnsi="Arial" w:cs="Arial"/>
        </w:rPr>
        <w:t>r</w:t>
      </w:r>
      <w:r w:rsidR="0029156A">
        <w:rPr>
          <w:rFonts w:ascii="Arial" w:hAnsi="Arial" w:cs="Arial"/>
        </w:rPr>
        <w:t>.</w:t>
      </w:r>
      <w:r w:rsidRPr="00E52C70">
        <w:rPr>
          <w:rFonts w:ascii="Arial" w:hAnsi="Arial" w:cs="Arial"/>
        </w:rPr>
        <w:t xml:space="preserve"> </w:t>
      </w:r>
      <w:r w:rsidRPr="00E52C70">
        <w:rPr>
          <w:rFonts w:ascii="Arial" w:hAnsi="Arial" w:cs="Arial"/>
        </w:rPr>
        <w:lastRenderedPageBreak/>
        <w:t>przebadano łącznie 180 próbek pobranych podczas wizyt kontrolnych z pasiek nadzorowanych w</w:t>
      </w:r>
      <w:r w:rsidR="0029156A">
        <w:rPr>
          <w:rFonts w:ascii="Arial" w:hAnsi="Arial" w:cs="Arial"/>
        </w:rPr>
        <w:t> </w:t>
      </w:r>
      <w:r w:rsidRPr="00E52C70">
        <w:rPr>
          <w:rFonts w:ascii="Arial" w:hAnsi="Arial" w:cs="Arial"/>
        </w:rPr>
        <w:t>okresie wiosennym oraz letnim. Próbki poddano analizie toksykologicznej w kierunku oznaczania pozostałości pestycydów stosowanych w chemicznej ochronie roślin obejmujących substancje aktywne środków ochrony roślin tj. insektycydy, fungicydy, herbicydy, akarycydy, regulatory wzrostu oraz substancje aktywne leków warroabójczych. Analiza 46 próbek osypu pszczół pobranych w trakcie wiosennych wizyt kontrolnych wykazała, że 93% próbek zawierało pozostałości pestycydów w</w:t>
      </w:r>
      <w:r w:rsidR="0029156A">
        <w:rPr>
          <w:rFonts w:ascii="Arial" w:hAnsi="Arial" w:cs="Arial"/>
        </w:rPr>
        <w:t> </w:t>
      </w:r>
      <w:r w:rsidRPr="00E52C70">
        <w:rPr>
          <w:rFonts w:ascii="Arial" w:hAnsi="Arial" w:cs="Arial"/>
        </w:rPr>
        <w:t>stężeniach powyżej granic oznaczalności metody badawczej. Odsetek próbek osypanych pszczół zawierających pozostałości pestycydów jest bardzo wysoki, głównie jednak za sprawą pozostałości metabolitów amitrazy (DMF, DMPF). W próbkach osypanych pszczół oznaczono pozostałości 13</w:t>
      </w:r>
      <w:r w:rsidR="005D46CE">
        <w:rPr>
          <w:rFonts w:ascii="Arial" w:hAnsi="Arial" w:cs="Arial"/>
        </w:rPr>
        <w:t> </w:t>
      </w:r>
      <w:r w:rsidRPr="00E52C70">
        <w:rPr>
          <w:rFonts w:ascii="Arial" w:hAnsi="Arial" w:cs="Arial"/>
        </w:rPr>
        <w:t xml:space="preserve">pestycydów: DMPF (87%), DMF (83% próbek), pendimetalina (9%), imidaklopryd (4%) oraz alfa-HCH, azoksystrobina, chloropiryfos, difenokonazol, kumafos, MCPA, p,p’-DDE, tebukonazol, tiachlopryd (2%). W próbkach osypanych pszczół oznaczono pozostałości do 5 pestycydów jednocześnie. </w:t>
      </w:r>
    </w:p>
    <w:p w14:paraId="268DC094" w14:textId="35C3CD8C"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Analizie toksykologicznej poddano również 134 próbki pobrane w nadzorowanych pasiekach w</w:t>
      </w:r>
      <w:r w:rsidR="005D46CE">
        <w:rPr>
          <w:rFonts w:ascii="Arial" w:hAnsi="Arial" w:cs="Arial"/>
        </w:rPr>
        <w:t> </w:t>
      </w:r>
      <w:r w:rsidRPr="00E52C70">
        <w:rPr>
          <w:rFonts w:ascii="Arial" w:hAnsi="Arial" w:cs="Arial"/>
        </w:rPr>
        <w:t>trakcie letnich wizyt kontrolnych (52 próbki żywych pszczół i 82 próbki pierzgi). Analiza wykazała, że 38% próbek żywych pszczół oraz 74% próbek pierzgi zawierało pozostałości pestycydów. W próbkach żywych pszczół oznaczono pozostałości 19 pestycydów m. in.  acetamipryd (15%), chloropiryfos (10%), fludioksonil (10%), azoksystrobina, difenokonazol, metalaksyl-M (8%), cypermetryna, tebukonazol, trifloksystrobina (4%). W próbkach żywych pszczół oznaczono pozostałości do 10 pestycydów jednocześnie. W próbkach pierzgi z letniej wizyty kontrolnej oznaczono pozostałości 38 pestycydów m</w:t>
      </w:r>
      <w:r w:rsidR="00A95666" w:rsidRPr="00E52C70">
        <w:rPr>
          <w:rFonts w:ascii="Arial" w:hAnsi="Arial" w:cs="Arial"/>
        </w:rPr>
        <w:t>.</w:t>
      </w:r>
      <w:r w:rsidR="00A95666">
        <w:rPr>
          <w:rFonts w:ascii="Arial" w:hAnsi="Arial" w:cs="Arial"/>
        </w:rPr>
        <w:t> </w:t>
      </w:r>
      <w:r w:rsidRPr="00E52C70">
        <w:rPr>
          <w:rFonts w:ascii="Arial" w:hAnsi="Arial" w:cs="Arial"/>
        </w:rPr>
        <w:t>in. acetamipryd (44% próbek), azoksystrobinę (38%), tebukonazol (22%), boskalid (16%), fluopyram (16%), tau-fluwalinat (16%), tiaklopryd (10%), sdeltametryna (9%), dimoksystrobina, karbendazym, tiofanat metylowy (7%). W próbkach pierzgi pobieranej w trakcie letnich wizyt kontrolnych oznaczono pozostałości do 19 pestycydów jednocześnie.</w:t>
      </w:r>
    </w:p>
    <w:p w14:paraId="5058F783" w14:textId="573CE2EE"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 xml:space="preserve">Problem zatruć pszczół jest złożony i wymaga wspólnego zaangażowania wielu stron i instytucji. Jednym z elementów tych działań są wykonywane w </w:t>
      </w:r>
      <w:r w:rsidR="001F68CE" w:rsidRPr="001F68CE">
        <w:rPr>
          <w:rFonts w:ascii="Arial" w:hAnsi="Arial" w:cs="Arial"/>
        </w:rPr>
        <w:t>Państwowy</w:t>
      </w:r>
      <w:r w:rsidR="00922703">
        <w:rPr>
          <w:rFonts w:ascii="Arial" w:hAnsi="Arial" w:cs="Arial"/>
        </w:rPr>
        <w:t>m</w:t>
      </w:r>
      <w:r w:rsidR="001F68CE" w:rsidRPr="001F68CE">
        <w:rPr>
          <w:rFonts w:ascii="Arial" w:hAnsi="Arial" w:cs="Arial"/>
        </w:rPr>
        <w:t xml:space="preserve"> Instytu</w:t>
      </w:r>
      <w:r w:rsidR="00922703">
        <w:rPr>
          <w:rFonts w:ascii="Arial" w:hAnsi="Arial" w:cs="Arial"/>
        </w:rPr>
        <w:t>cie</w:t>
      </w:r>
      <w:r w:rsidR="001F68CE" w:rsidRPr="001F68CE">
        <w:rPr>
          <w:rFonts w:ascii="Arial" w:hAnsi="Arial" w:cs="Arial"/>
        </w:rPr>
        <w:t xml:space="preserve"> Weterynaryjny</w:t>
      </w:r>
      <w:r w:rsidR="00922703">
        <w:rPr>
          <w:rFonts w:ascii="Arial" w:hAnsi="Arial" w:cs="Arial"/>
        </w:rPr>
        <w:t>m</w:t>
      </w:r>
      <w:r w:rsidR="001F68CE" w:rsidRPr="001F68CE">
        <w:rPr>
          <w:rFonts w:ascii="Arial" w:hAnsi="Arial" w:cs="Arial"/>
        </w:rPr>
        <w:t xml:space="preserve"> – PIB</w:t>
      </w:r>
      <w:r w:rsidRPr="00E52C70">
        <w:rPr>
          <w:rFonts w:ascii="Arial" w:hAnsi="Arial" w:cs="Arial"/>
        </w:rPr>
        <w:t xml:space="preserve"> kompleksowe badania próbek pszczół, które pozwalają identyfikować pestycydy mogące być przyczyną zatruć pszczół. Badania w kierunku oznaczenia pozostałości pestycydów wykonywane są w próbkach martwych pszczół pobieranych z</w:t>
      </w:r>
      <w:r w:rsidR="003756A2">
        <w:rPr>
          <w:rFonts w:ascii="Arial" w:hAnsi="Arial" w:cs="Arial"/>
        </w:rPr>
        <w:t> </w:t>
      </w:r>
      <w:r w:rsidRPr="00E52C70">
        <w:rPr>
          <w:rFonts w:ascii="Arial" w:hAnsi="Arial" w:cs="Arial"/>
        </w:rPr>
        <w:t>pasiek, w</w:t>
      </w:r>
      <w:r w:rsidR="00CE002B">
        <w:rPr>
          <w:rFonts w:ascii="Arial" w:hAnsi="Arial" w:cs="Arial"/>
        </w:rPr>
        <w:t> </w:t>
      </w:r>
      <w:r w:rsidRPr="00E52C70">
        <w:rPr>
          <w:rFonts w:ascii="Arial" w:hAnsi="Arial" w:cs="Arial"/>
        </w:rPr>
        <w:t>których w czasie sezonu pasiecznego wystąpiło podejrzenie zatrucia rodzin pszczelich środkami ochrony roślin.</w:t>
      </w:r>
    </w:p>
    <w:p w14:paraId="001C4D23" w14:textId="6D3AC514"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Opracowany system rozpoznawania ostrych zatruć pszczół środkami ochrony roślin poza indywidualną pomocą dla poszkodowanych pszczelarzy pozwala również ocenić i szczegółowo scharakteryzować zjawisko zatruć pszczół oraz potwierdzić jego przyczyny. W ramach systemu gromadzone są, analizowane i przekazywane do Ministerstwa Rolnictwa i Rozwoju Wsi dane dotyczące skali problemu zatruć pszczół, rozmieszczenia terytorialnego incydentów, szacunkowe straty w</w:t>
      </w:r>
      <w:r w:rsidR="00CE002B">
        <w:rPr>
          <w:rFonts w:ascii="Arial" w:hAnsi="Arial" w:cs="Arial"/>
        </w:rPr>
        <w:t> </w:t>
      </w:r>
      <w:r w:rsidRPr="00E52C70">
        <w:rPr>
          <w:rFonts w:ascii="Arial" w:hAnsi="Arial" w:cs="Arial"/>
        </w:rPr>
        <w:t xml:space="preserve">pasiekach, czas od zauważenia objawów zatrucia do pobrania próbek pszczół, rodzaje upraw, na których dochodzi do niewłaściwego stosowania środków ochrony roślin oraz nazwy pestycydów stwierdzanych w próbkach martwych pszczół, w tym zwłaszcza bardzo toksycznych substancji owadobójczych mogących być przyczyną zatruć. Udowodnienie niewłaściwego stosowania środków </w:t>
      </w:r>
      <w:r w:rsidRPr="00E52C70">
        <w:rPr>
          <w:rFonts w:ascii="Arial" w:hAnsi="Arial" w:cs="Arial"/>
        </w:rPr>
        <w:lastRenderedPageBreak/>
        <w:t>ochrony roślin, konieczność rekompensaty strat i/lub ukaranie sprawcy przez odpowiednie instytucje działa prewencyjnie na pozostałych użytkowników środków ochrony roślin przypominając im o</w:t>
      </w:r>
      <w:r w:rsidR="00CE002B">
        <w:rPr>
          <w:rFonts w:ascii="Arial" w:hAnsi="Arial" w:cs="Arial"/>
        </w:rPr>
        <w:t> </w:t>
      </w:r>
      <w:r w:rsidRPr="00E52C70">
        <w:rPr>
          <w:rFonts w:ascii="Arial" w:hAnsi="Arial" w:cs="Arial"/>
        </w:rPr>
        <w:t>konieczności zachowania należytych środków ostrożności mających na celu ochronę pszczół i innych owadów zapylających.</w:t>
      </w:r>
    </w:p>
    <w:p w14:paraId="58C7E472" w14:textId="0DB7AE11" w:rsidR="00016BB0" w:rsidRPr="00E52C7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 xml:space="preserve">W latach 2018-2022 w ramach funkcjonowania systemu diagnostyki i rejestracji przypadków zatruć środkami ochrony roślin przebadano łącznie 296 próbek martwych pszczół. Próbki te reprezentowały pasieki liczące łącznie ponad 10 tysięcy rodzin pszczelich. Maksymalnie w próbce oznaczono pozostałości nawet 22 pestycydów. W zdecydowanej większości przypadków pszczoły narażone </w:t>
      </w:r>
      <w:r w:rsidR="009F0B39">
        <w:rPr>
          <w:rFonts w:ascii="Arial" w:hAnsi="Arial" w:cs="Arial"/>
        </w:rPr>
        <w:t>były</w:t>
      </w:r>
      <w:r w:rsidRPr="00E52C70">
        <w:rPr>
          <w:rFonts w:ascii="Arial" w:hAnsi="Arial" w:cs="Arial"/>
        </w:rPr>
        <w:t xml:space="preserve"> na wiele różnych pestycydów jednocześnie. Nie każde wykryte substancje mogą być jednak przyczyną zatrucia pszczół. Spośród szeregu ponad stu różnych pestycydów oznaczonych dotychczas w próbkach martwych pszczół na szczególną uwagę zasługują substancje owadobójcze, a zwłaszcza te bardzo toksyczne dla pszczół. Insektycydy stanowią niemal połowę wykrywanych substancji, często jest to kilka takich substancji jednocześnie. W diagnozowanych próbkach martwych pszczół bardzo często wykrywano również różne substancje z grupy fungicydów, herbicydów, akarycydów oraz pozostałości stosowania leków warroabójczych. Uzyskane wyniki pozostałości pestycydów w próbkach zatrutych pszczół wskazują jednak, że trzema głównymi substancjami najczęściej powodującymi zatrucia pszczół w Polsce są chloropiryfos, klotianidyna i dimetoat. Chloropiryfos i dimetoat należą do grupy insektycydów fosforoorganicznych, klotianidyna zaś jest substancją z grupy neonikotynoidów. Poza chloropiryfosem, dimetoatem i klotianidyną w próbkach stwierdzano również substancje owadobójcze z</w:t>
      </w:r>
      <w:r w:rsidR="000864EE">
        <w:rPr>
          <w:rFonts w:ascii="Arial" w:hAnsi="Arial" w:cs="Arial"/>
        </w:rPr>
        <w:t> </w:t>
      </w:r>
      <w:r w:rsidRPr="00E52C70">
        <w:rPr>
          <w:rFonts w:ascii="Arial" w:hAnsi="Arial" w:cs="Arial"/>
        </w:rPr>
        <w:t>grupy neonikotynoidów (tiaklopryd, acetamipryd, tiametoksam oraz imidaklopryd) lub pyretroidów (zeta-cypermetryna, deltametryna, tau - fluwalinat). W ostatnich latach wraz z wycofaniem ze stosowania środków ochrony roślin zawierających chloropiryfos lub dimetoat, doszło do znaczącego zmniejszenia liczby rejestrowanych incydentów zatruć pszczół, co potwierdza poprawność działania prowadzonego w Polsce systemu diagnostyki i rejestracji zatruć pszczół.</w:t>
      </w:r>
    </w:p>
    <w:p w14:paraId="0793D41E" w14:textId="7145FBA3" w:rsidR="00016BB0" w:rsidRDefault="00016BB0" w:rsidP="00016BB0">
      <w:pPr>
        <w:pStyle w:val="NormalnyWeb"/>
        <w:tabs>
          <w:tab w:val="left" w:pos="284"/>
        </w:tabs>
        <w:spacing w:beforeAutospacing="0" w:after="120" w:afterAutospacing="0" w:line="360" w:lineRule="auto"/>
        <w:ind w:firstLine="284"/>
        <w:jc w:val="both"/>
        <w:rPr>
          <w:rFonts w:ascii="Arial" w:hAnsi="Arial" w:cs="Arial"/>
        </w:rPr>
      </w:pPr>
      <w:r w:rsidRPr="00E52C70">
        <w:rPr>
          <w:rFonts w:ascii="Arial" w:hAnsi="Arial" w:cs="Arial"/>
        </w:rPr>
        <w:t>Badanie pestycydów w materiale pobieranym z pasiek w trakcie planowych wizyt kontrolnych pozwala na monitorowanie pozostałości pestycydów w środowisku ula i w pszczołach. Wyniki badań pszczół stanowią odniesienie dla badań prowadzonych w sytuacjach podejrzeń ostrego zatrucia lub podtrucia rodzin pszczelich środkami ochrony roślin. Dotychczasowe badania monitoringowe wskazują, że w organizmach żywych pszczół również stwierdzane są pozostałości pestycydów jednak zarówno różnorodność stwierdzanych substancji jak i poziomy ich zawartości różnią się zdecydowanie względem zatrutych pszczół. Szczególną grupę próbek monitoringowych stanowią próbki zimowego osypu pszczół, których bardzo wysoki odsetek zawiera pozostałości pestycydów, głównie są to jednak metabolity warro</w:t>
      </w:r>
      <w:r w:rsidR="00616C77">
        <w:rPr>
          <w:rFonts w:ascii="Arial" w:hAnsi="Arial" w:cs="Arial"/>
        </w:rPr>
        <w:t>zo</w:t>
      </w:r>
      <w:r w:rsidRPr="00E52C70">
        <w:rPr>
          <w:rFonts w:ascii="Arial" w:hAnsi="Arial" w:cs="Arial"/>
        </w:rPr>
        <w:t>bójczego amitrazu.</w:t>
      </w:r>
    </w:p>
    <w:p w14:paraId="4F72C58C" w14:textId="719D823D" w:rsidR="003F3570" w:rsidRPr="00016BB0" w:rsidRDefault="003F3570" w:rsidP="00016BB0">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Od 2020 r. </w:t>
      </w:r>
      <w:r w:rsidR="002026A3">
        <w:rPr>
          <w:rFonts w:ascii="Arial" w:hAnsi="Arial" w:cs="Arial"/>
        </w:rPr>
        <w:t xml:space="preserve">badania </w:t>
      </w:r>
      <w:r w:rsidR="00637DC2">
        <w:rPr>
          <w:rFonts w:ascii="Arial" w:hAnsi="Arial" w:cs="Arial"/>
        </w:rPr>
        <w:t xml:space="preserve">pszczół </w:t>
      </w:r>
      <w:r w:rsidR="002026A3">
        <w:rPr>
          <w:rFonts w:ascii="Arial" w:hAnsi="Arial" w:cs="Arial"/>
        </w:rPr>
        <w:t xml:space="preserve">prowadzone </w:t>
      </w:r>
      <w:r w:rsidR="00637DC2">
        <w:rPr>
          <w:rFonts w:ascii="Arial" w:hAnsi="Arial" w:cs="Arial"/>
        </w:rPr>
        <w:t>były</w:t>
      </w:r>
      <w:r w:rsidR="002026A3">
        <w:rPr>
          <w:rFonts w:ascii="Arial" w:hAnsi="Arial" w:cs="Arial"/>
        </w:rPr>
        <w:t xml:space="preserve"> również w </w:t>
      </w:r>
      <w:r w:rsidR="002026A3" w:rsidRPr="008B0B19">
        <w:rPr>
          <w:rFonts w:ascii="Arial" w:hAnsi="Arial" w:cs="Arial"/>
        </w:rPr>
        <w:t xml:space="preserve">Instytucie Ogrodnictwa </w:t>
      </w:r>
      <w:r w:rsidR="008B0B19" w:rsidRPr="008B0B19">
        <w:rPr>
          <w:rFonts w:ascii="Arial" w:hAnsi="Arial" w:cs="Arial"/>
        </w:rPr>
        <w:t>–</w:t>
      </w:r>
      <w:r w:rsidR="002026A3" w:rsidRPr="008B0B19">
        <w:rPr>
          <w:rFonts w:ascii="Arial" w:hAnsi="Arial" w:cs="Arial"/>
        </w:rPr>
        <w:t xml:space="preserve"> PIB</w:t>
      </w:r>
      <w:r w:rsidR="008B0B19" w:rsidRPr="008B0B19">
        <w:rPr>
          <w:rFonts w:ascii="Arial" w:hAnsi="Arial" w:cs="Arial"/>
        </w:rPr>
        <w:t>.</w:t>
      </w:r>
    </w:p>
    <w:p w14:paraId="347EBD96" w14:textId="2490C709" w:rsidR="00CD1242" w:rsidRDefault="00CD1242" w:rsidP="00877025">
      <w:pPr>
        <w:pStyle w:val="NormalnyWeb"/>
        <w:tabs>
          <w:tab w:val="left" w:pos="284"/>
        </w:tabs>
        <w:spacing w:beforeAutospacing="0" w:after="120" w:afterAutospacing="0" w:line="360" w:lineRule="auto"/>
        <w:ind w:firstLine="284"/>
        <w:jc w:val="both"/>
        <w:rPr>
          <w:rFonts w:ascii="Arial" w:hAnsi="Arial" w:cs="Arial"/>
        </w:rPr>
      </w:pPr>
      <w:bookmarkStart w:id="101" w:name="_Hlk122090405"/>
      <w:r w:rsidRPr="00E43A58">
        <w:rPr>
          <w:rFonts w:ascii="Arial" w:hAnsi="Arial" w:cs="Arial"/>
          <w:b/>
          <w:bCs/>
        </w:rPr>
        <w:t>W Instytucie Ogrodnictwa</w:t>
      </w:r>
      <w:r w:rsidR="005F7930" w:rsidRPr="00E43A58">
        <w:rPr>
          <w:rFonts w:ascii="Arial" w:hAnsi="Arial" w:cs="Arial"/>
          <w:b/>
          <w:bCs/>
        </w:rPr>
        <w:t xml:space="preserve"> </w:t>
      </w:r>
      <w:r w:rsidRPr="00E43A58">
        <w:rPr>
          <w:rFonts w:ascii="Arial" w:hAnsi="Arial" w:cs="Arial"/>
          <w:b/>
          <w:bCs/>
        </w:rPr>
        <w:t>-</w:t>
      </w:r>
      <w:r w:rsidR="005F7930" w:rsidRPr="00E43A58">
        <w:rPr>
          <w:rFonts w:ascii="Arial" w:hAnsi="Arial" w:cs="Arial"/>
          <w:b/>
          <w:bCs/>
        </w:rPr>
        <w:t xml:space="preserve"> </w:t>
      </w:r>
      <w:r w:rsidRPr="00E43A58">
        <w:rPr>
          <w:rFonts w:ascii="Arial" w:hAnsi="Arial" w:cs="Arial"/>
          <w:b/>
          <w:bCs/>
        </w:rPr>
        <w:t>PIB w 2020</w:t>
      </w:r>
      <w:r w:rsidR="005F7930" w:rsidRPr="00E43A58">
        <w:rPr>
          <w:rFonts w:ascii="Arial" w:hAnsi="Arial" w:cs="Arial"/>
          <w:b/>
          <w:bCs/>
        </w:rPr>
        <w:t xml:space="preserve"> r.</w:t>
      </w:r>
      <w:r w:rsidRPr="005F7930">
        <w:rPr>
          <w:rFonts w:ascii="Arial" w:hAnsi="Arial" w:cs="Arial"/>
        </w:rPr>
        <w:t xml:space="preserve"> </w:t>
      </w:r>
      <w:bookmarkEnd w:id="101"/>
      <w:r w:rsidRPr="005F7930">
        <w:rPr>
          <w:rFonts w:ascii="Arial" w:hAnsi="Arial" w:cs="Arial"/>
        </w:rPr>
        <w:t xml:space="preserve">w celu określenia narażenia pszczół zbierających pożytek w buforowych pasach zielnych facelii błękitnej na działanie insektycydów znoszonych </w:t>
      </w:r>
      <w:r w:rsidR="00E43A58" w:rsidRPr="005F7930">
        <w:rPr>
          <w:rFonts w:ascii="Arial" w:hAnsi="Arial" w:cs="Arial"/>
        </w:rPr>
        <w:t>z</w:t>
      </w:r>
      <w:r w:rsidR="00E43A58">
        <w:rPr>
          <w:rFonts w:ascii="Arial" w:hAnsi="Arial" w:cs="Arial"/>
        </w:rPr>
        <w:t> </w:t>
      </w:r>
      <w:r w:rsidRPr="005F7930">
        <w:rPr>
          <w:rFonts w:ascii="Arial" w:hAnsi="Arial" w:cs="Arial"/>
        </w:rPr>
        <w:t xml:space="preserve">opryskiwanych poletek pszenicy przeprowadzono ocenę pozostałości deltametryny w nektarze i pyłku kwiatów facelii po symulowanym zabiegu z użyciem tej substancji. Pozostałość deltametryny w zbiorczej próbce pyłku wynosiła 0,04 mg/kg, a najwyższa stwierdzona pozostałość w nektarze wynosiła 0,014 </w:t>
      </w:r>
      <w:r w:rsidRPr="005F7930">
        <w:rPr>
          <w:rFonts w:ascii="Arial" w:hAnsi="Arial" w:cs="Arial"/>
        </w:rPr>
        <w:lastRenderedPageBreak/>
        <w:t xml:space="preserve">mg/kg. Ilości te nie przekraczały dopuszczalnego poziomu pozostałości substancji w miodzie </w:t>
      </w:r>
      <w:r w:rsidR="00E43A58" w:rsidRPr="005F7930">
        <w:rPr>
          <w:rFonts w:ascii="Arial" w:hAnsi="Arial" w:cs="Arial"/>
        </w:rPr>
        <w:t>i</w:t>
      </w:r>
      <w:r w:rsidR="00E43A58">
        <w:rPr>
          <w:rFonts w:ascii="Arial" w:hAnsi="Arial" w:cs="Arial"/>
        </w:rPr>
        <w:t> </w:t>
      </w:r>
      <w:r w:rsidRPr="005F7930">
        <w:rPr>
          <w:rFonts w:ascii="Arial" w:hAnsi="Arial" w:cs="Arial"/>
        </w:rPr>
        <w:t>produktach pszczelich, wynoszącego 0,05 mg/kg, oraz były dalece niższe od raportowanego w</w:t>
      </w:r>
      <w:r w:rsidR="003D0E5C">
        <w:rPr>
          <w:rFonts w:ascii="Arial" w:hAnsi="Arial" w:cs="Arial"/>
        </w:rPr>
        <w:t> </w:t>
      </w:r>
      <w:r w:rsidRPr="005F7930">
        <w:rPr>
          <w:rFonts w:ascii="Arial" w:hAnsi="Arial" w:cs="Arial"/>
        </w:rPr>
        <w:t xml:space="preserve">literaturze, śmiertelnego stężenia deltametryny dla pszczół LC5 = 20 mg/kg (stężenie dla 5% śmiertelności pszczół). Przeprowadzono również badania mające na celu określenie wpływu siatki przeciwgradowej na znoszenie środków ochrony roślin podczas opryskiwania drzew. Stosowano standardowe rozpylacze wirowe TR 80-01 oraz grubokropliste, eżektorowe rozpylacze IDK 90-01, zamontowane na konwencjonalnym opryskiwaczu sadowniczym. W okresie bezlistnym oraz podczas dojrzewania owoców efekt siatki przeciwgradowej na znoszenie był w przypadku obu typów rozpylaczy niewielki i wynosił 21-25%. Tymczasem w okresie wzrostu zawiązków siatka spowodowała istotne ograniczenie znoszenia, wynoszące dla rozpylaczy TR 63,1% a dla IDK 45,9%. Łączny efekt siatki przeciwgradowej i grubokroplistych rozpylaczy IDK spowodował najwyższą redukcję znoszenia </w:t>
      </w:r>
      <w:r w:rsidR="00E43A58" w:rsidRPr="005F7930">
        <w:rPr>
          <w:rFonts w:ascii="Arial" w:hAnsi="Arial" w:cs="Arial"/>
        </w:rPr>
        <w:t>w</w:t>
      </w:r>
      <w:r w:rsidR="00E43A58">
        <w:rPr>
          <w:rFonts w:ascii="Arial" w:hAnsi="Arial" w:cs="Arial"/>
        </w:rPr>
        <w:t> </w:t>
      </w:r>
      <w:r w:rsidRPr="005F7930">
        <w:rPr>
          <w:rFonts w:ascii="Arial" w:hAnsi="Arial" w:cs="Arial"/>
        </w:rPr>
        <w:t>odniesieniu do zabiegów konwencjonalnych (bez siatki i standardowe rozpylacze drobnokropliste), wynoszącą 58,0% przed kwitnieniem jabłoni, a więc w okresie bezlistnym. W późniejszych fazach rozwojowych drzew, przy ich pełnym ulistnieniu stopień redukcji znoszenia malał i wynosił 47,8% podczas wzrostu zawiązków i 34,4% w okresie dojrzewania owoców.</w:t>
      </w:r>
    </w:p>
    <w:p w14:paraId="72990309" w14:textId="698A6C06" w:rsidR="00991723" w:rsidRPr="002F4A33" w:rsidRDefault="004F30B8" w:rsidP="002F4A33">
      <w:pPr>
        <w:pStyle w:val="NormalnyWeb"/>
        <w:tabs>
          <w:tab w:val="left" w:pos="284"/>
        </w:tabs>
        <w:spacing w:beforeAutospacing="0" w:after="120" w:afterAutospacing="0" w:line="360" w:lineRule="auto"/>
        <w:ind w:firstLine="284"/>
        <w:jc w:val="both"/>
        <w:rPr>
          <w:rFonts w:ascii="Arial" w:hAnsi="Arial" w:cs="Arial"/>
        </w:rPr>
      </w:pPr>
      <w:r w:rsidRPr="00E43A58">
        <w:rPr>
          <w:rFonts w:ascii="Arial" w:hAnsi="Arial" w:cs="Arial"/>
          <w:b/>
          <w:bCs/>
        </w:rPr>
        <w:t xml:space="preserve">W Instytucie Ogrodnictwa - PIB </w:t>
      </w:r>
      <w:r w:rsidRPr="00905BC2">
        <w:rPr>
          <w:rFonts w:ascii="Arial" w:hAnsi="Arial" w:cs="Arial"/>
          <w:b/>
          <w:bCs/>
        </w:rPr>
        <w:t>w 2021 r.</w:t>
      </w:r>
      <w:r w:rsidRPr="005F7930">
        <w:rPr>
          <w:rFonts w:ascii="Arial" w:hAnsi="Arial" w:cs="Arial"/>
        </w:rPr>
        <w:t xml:space="preserve"> </w:t>
      </w:r>
      <w:bookmarkStart w:id="102" w:name="_Hlk91664552"/>
      <w:r w:rsidR="00991723" w:rsidRPr="002F4A33">
        <w:rPr>
          <w:rFonts w:ascii="Arial" w:hAnsi="Arial" w:cs="Arial"/>
        </w:rPr>
        <w:t>celem oceny pozostałości środków ochrony roślin, łącznie przebadano 123</w:t>
      </w:r>
      <w:r>
        <w:rPr>
          <w:rFonts w:ascii="Arial" w:hAnsi="Arial" w:cs="Arial"/>
        </w:rPr>
        <w:t> </w:t>
      </w:r>
      <w:r w:rsidR="00991723" w:rsidRPr="002F4A33">
        <w:rPr>
          <w:rFonts w:ascii="Arial" w:hAnsi="Arial" w:cs="Arial"/>
        </w:rPr>
        <w:t>próbki z gniazd pszczół, trzmieli i murarek (75 próbek z gniazd pszczół miodnych, 39 próbek z gniazd trzmieli oraz 9 próbek z gniazd murarki ogrodowej). Spośród ogólnej liczby przebadanych próbek tylko w dwóch nie wykryto żadnych pozostałości środków ochrony roślin (wosk trzmieli – Sosnów), co stanowi 1,6% ogółu analizowanych prób. W czasie realizacji zadania wykryto 42, oznaczanych w zastosowanych metodach analitycznych, pozostałości środków ochrony roślin lub ich metabolitów</w:t>
      </w:r>
      <w:bookmarkEnd w:id="102"/>
      <w:r w:rsidR="00991723" w:rsidRPr="002F4A33">
        <w:rPr>
          <w:rFonts w:ascii="Arial" w:hAnsi="Arial" w:cs="Arial"/>
        </w:rPr>
        <w:t xml:space="preserve">, obejmujących fungicydy, insektycydy (w tym akarycydy) i herbicydy: </w:t>
      </w:r>
    </w:p>
    <w:p w14:paraId="73166A66" w14:textId="44128BBD"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fosforoorganiczne: chlorpiryfos, dimetoat; </w:t>
      </w:r>
    </w:p>
    <w:p w14:paraId="3DFCCE41" w14:textId="79D60E2A"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pyretroidowe: deltametryna, lambda-cyhalotryna; </w:t>
      </w:r>
    </w:p>
    <w:p w14:paraId="26816F8D" w14:textId="23EA594C"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insektycydy neonikotynoidowe: acetamipryd, tiaklopryd;</w:t>
      </w:r>
    </w:p>
    <w:p w14:paraId="4EA14931" w14:textId="70706BC8"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insektycydy pozostałe: amitraz (amitraz DMF, amitraz DMPF), antrachinon, bifenezat, DEET, fenpiroksymat; </w:t>
      </w:r>
    </w:p>
    <w:p w14:paraId="1C81B5E5" w14:textId="23E3DA2F"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anilinopirimidyn: cyprodynil, pirymetanil; </w:t>
      </w:r>
    </w:p>
    <w:p w14:paraId="372BC48B" w14:textId="773600BB"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strobiluryn: azoksystrobina, dimoksystrobina, fluoksastrobina, piraklostrobina, trifloksystrobina, THPI (produkt z rozkładu kaptanu); </w:t>
      </w:r>
    </w:p>
    <w:p w14:paraId="251FE4BC" w14:textId="6DC706F5"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karboksyamidów: fluksapyroksad, pentiopirad; </w:t>
      </w:r>
    </w:p>
    <w:p w14:paraId="5396CAC6" w14:textId="0762DD1E"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fungicydy z grupy triazoli: difenokonazol, metkonazol, protiokonazol, tebukonazol, tetrakonazol; </w:t>
      </w:r>
    </w:p>
    <w:p w14:paraId="5AEDFCE6" w14:textId="76C981F7"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fungicydy pozostałe: boskalid, fenpropidyna, fludioksonil, fluopyram, kaptan, karbendazym (produkt z rozkładu tiofanatu metylowego), spiroksamina, tiofanat metylowy, tolilofluanid;</w:t>
      </w:r>
    </w:p>
    <w:p w14:paraId="770BDDC4" w14:textId="2B8BD82B"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herbicydy: chloroprofam, metolachlor, napropamid, pendimetalina, prosulfokarb;</w:t>
      </w:r>
    </w:p>
    <w:p w14:paraId="1D479CB8" w14:textId="2EF0B1C7" w:rsidR="00991723" w:rsidRPr="005D058C"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D058C">
        <w:rPr>
          <w:rFonts w:ascii="Arial" w:hAnsi="Arial" w:cs="Arial"/>
        </w:rPr>
        <w:t xml:space="preserve">regulatory wzrostu/inne: piperonylobutoksyd. </w:t>
      </w:r>
    </w:p>
    <w:p w14:paraId="5F5403B4" w14:textId="3C6C1EF0" w:rsidR="00991723" w:rsidRPr="00FE1F8F" w:rsidRDefault="00991723" w:rsidP="00FE1F8F">
      <w:pPr>
        <w:pStyle w:val="NormalnyWeb"/>
        <w:tabs>
          <w:tab w:val="left" w:pos="284"/>
        </w:tabs>
        <w:spacing w:beforeAutospacing="0" w:after="120" w:afterAutospacing="0" w:line="360" w:lineRule="auto"/>
        <w:ind w:firstLine="284"/>
        <w:jc w:val="both"/>
        <w:rPr>
          <w:rFonts w:ascii="Arial" w:hAnsi="Arial" w:cs="Arial"/>
        </w:rPr>
      </w:pPr>
      <w:r w:rsidRPr="00FE1F8F">
        <w:rPr>
          <w:rFonts w:ascii="Arial" w:hAnsi="Arial" w:cs="Arial"/>
        </w:rPr>
        <w:lastRenderedPageBreak/>
        <w:t xml:space="preserve">Wśród substancji czynnych środków ochrony roślin i ich metabolitów w badanych próbkach </w:t>
      </w:r>
      <w:bookmarkStart w:id="103" w:name="_Hlk91664611"/>
      <w:r w:rsidRPr="00FE1F8F">
        <w:rPr>
          <w:rFonts w:ascii="Arial" w:hAnsi="Arial" w:cs="Arial"/>
        </w:rPr>
        <w:t xml:space="preserve">wykryto 5 substancji, których stosowanie jest niedozwolone na terenie Unii Europejskiej w chemicznej ochronie upraw – chloropiryfos, chloroprofam, dimetoat, tiaklopryd, tolilofluanid. </w:t>
      </w:r>
    </w:p>
    <w:bookmarkEnd w:id="103"/>
    <w:p w14:paraId="351EE775" w14:textId="77777777" w:rsidR="00991723" w:rsidRPr="00FE1F8F" w:rsidRDefault="00991723" w:rsidP="00FE1F8F">
      <w:pPr>
        <w:pStyle w:val="NormalnyWeb"/>
        <w:tabs>
          <w:tab w:val="left" w:pos="284"/>
        </w:tabs>
        <w:spacing w:beforeAutospacing="0" w:after="120" w:afterAutospacing="0" w:line="360" w:lineRule="auto"/>
        <w:ind w:firstLine="284"/>
        <w:jc w:val="both"/>
        <w:rPr>
          <w:rFonts w:ascii="Arial" w:hAnsi="Arial" w:cs="Arial"/>
        </w:rPr>
      </w:pPr>
      <w:r w:rsidRPr="00FE1F8F">
        <w:rPr>
          <w:rFonts w:ascii="Arial" w:hAnsi="Arial" w:cs="Arial"/>
        </w:rPr>
        <w:t>Analizując poszczególne grupy produktów pszczelich stwierdzono, że:</w:t>
      </w:r>
    </w:p>
    <w:p w14:paraId="7DA24FE3" w14:textId="743783CA"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wszystkie próbki pokarmu białkowego (pyłek, pierzga, pyłek z gniazd) zawierały pozostałości</w:t>
      </w:r>
      <w:r w:rsidR="00F90D98">
        <w:rPr>
          <w:rFonts w:ascii="Arial" w:hAnsi="Arial" w:cs="Arial"/>
        </w:rPr>
        <w:t>;</w:t>
      </w:r>
      <w:r w:rsidRPr="005816A6">
        <w:rPr>
          <w:rFonts w:ascii="Arial" w:hAnsi="Arial" w:cs="Arial"/>
        </w:rPr>
        <w:t xml:space="preserve"> </w:t>
      </w:r>
    </w:p>
    <w:p w14:paraId="56DFB63E" w14:textId="5C977886"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wszystkie próbki pokarmu cukrowego (miód, nakrop) zawierały pozostałości</w:t>
      </w:r>
      <w:r w:rsidR="00F90D98">
        <w:rPr>
          <w:rFonts w:ascii="Arial" w:hAnsi="Arial" w:cs="Arial"/>
        </w:rPr>
        <w:t>;</w:t>
      </w:r>
      <w:r w:rsidRPr="005816A6">
        <w:rPr>
          <w:rFonts w:ascii="Arial" w:hAnsi="Arial" w:cs="Arial"/>
        </w:rPr>
        <w:t xml:space="preserve"> </w:t>
      </w:r>
    </w:p>
    <w:p w14:paraId="5F5F4F40" w14:textId="04B7F10C" w:rsidR="00991723" w:rsidRPr="005816A6"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5816A6">
        <w:rPr>
          <w:rFonts w:ascii="Arial" w:hAnsi="Arial" w:cs="Arial"/>
        </w:rPr>
        <w:t xml:space="preserve">z 24 próbek wosku, w 22 stwierdzono obecność pozostałości. </w:t>
      </w:r>
    </w:p>
    <w:p w14:paraId="66702536" w14:textId="186937A1" w:rsidR="00991723" w:rsidRPr="00937E77" w:rsidRDefault="00991723" w:rsidP="00937E77">
      <w:pPr>
        <w:pStyle w:val="NormalnyWeb"/>
        <w:tabs>
          <w:tab w:val="left" w:pos="284"/>
        </w:tabs>
        <w:spacing w:beforeAutospacing="0" w:after="120" w:afterAutospacing="0" w:line="360" w:lineRule="auto"/>
        <w:ind w:firstLine="284"/>
        <w:jc w:val="both"/>
        <w:rPr>
          <w:rFonts w:ascii="Arial" w:hAnsi="Arial" w:cs="Arial"/>
        </w:rPr>
      </w:pPr>
      <w:r w:rsidRPr="00937E77">
        <w:rPr>
          <w:rFonts w:ascii="Arial" w:hAnsi="Arial" w:cs="Arial"/>
        </w:rPr>
        <w:t>Z analizy planów obserwacji kontrolnych i rejestru zabiegów biologicznej i chemicznej ochrony roślin z sadów konwencjonalnych wynika, że do momentu poboru prób (24.05.2021</w:t>
      </w:r>
      <w:r w:rsidR="00A43B9E">
        <w:rPr>
          <w:rFonts w:ascii="Arial" w:hAnsi="Arial" w:cs="Arial"/>
        </w:rPr>
        <w:t> </w:t>
      </w:r>
      <w:r w:rsidRPr="00937E77">
        <w:rPr>
          <w:rFonts w:ascii="Arial" w:hAnsi="Arial" w:cs="Arial"/>
        </w:rPr>
        <w:t>r.), w sadach zastosowano środki chemicznej ochrony roślin zawierające następujące substancje aktywne: tlenchlorek miedziowy, ditianon (związek z grupy antrochinonów), pirymetanil, siarka – 80%, fluksapyroksad, pentiopirad. Wszystkie wymienione substancje są składnikami preparatów grzybobójczych. Spośród zastosowanych środków wykryto pozostałości pentiopiradu, pirymetanilu i</w:t>
      </w:r>
      <w:r w:rsidR="003D0E5C">
        <w:rPr>
          <w:rFonts w:ascii="Arial" w:hAnsi="Arial" w:cs="Arial"/>
        </w:rPr>
        <w:t> </w:t>
      </w:r>
      <w:r w:rsidRPr="00937E77">
        <w:rPr>
          <w:rFonts w:ascii="Arial" w:hAnsi="Arial" w:cs="Arial"/>
        </w:rPr>
        <w:t>fluksapyroksadu w następujących produktach pszczelich:</w:t>
      </w:r>
    </w:p>
    <w:p w14:paraId="77507616" w14:textId="5477DDDD"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pyłek pszczeli – pentiopirad (9); pirymetanil (9),</w:t>
      </w:r>
    </w:p>
    <w:p w14:paraId="64CF124A" w14:textId="0141B5A5"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pierzga pszczela – pentiopirad (9); pirymetanil (10),</w:t>
      </w:r>
    </w:p>
    <w:p w14:paraId="76FD9B16" w14:textId="10CDC887"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pyłek z gniazd trzmieli – pentiopirad (10); pirymetanil (10); fluksapyroksad (9),</w:t>
      </w:r>
    </w:p>
    <w:p w14:paraId="7A33A502" w14:textId="333FF47A"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pyłek z gniazd murarki – pentiopirad (6); pirymetanil (6); fluksapyroksad (6),</w:t>
      </w:r>
    </w:p>
    <w:p w14:paraId="2A4E2E0C" w14:textId="54EE6414"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nakrop z gniazd trzmiela – pirymetanil (4)</w:t>
      </w:r>
      <w:r w:rsidR="002C2375">
        <w:rPr>
          <w:rFonts w:ascii="Arial" w:hAnsi="Arial" w:cs="Arial"/>
        </w:rPr>
        <w:t>,</w:t>
      </w:r>
    </w:p>
    <w:p w14:paraId="144940A1" w14:textId="15EF2C23" w:rsidR="00991723" w:rsidRPr="00937E77"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wosk pszczeli – pentiopirad (2); pirymetanil (1)</w:t>
      </w:r>
      <w:r w:rsidR="002C2375">
        <w:rPr>
          <w:rFonts w:ascii="Arial" w:hAnsi="Arial" w:cs="Arial"/>
        </w:rPr>
        <w:t>,</w:t>
      </w:r>
    </w:p>
    <w:p w14:paraId="594111CA" w14:textId="255E63D3" w:rsidR="00991723" w:rsidRDefault="00991723" w:rsidP="00937E77">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37E77">
        <w:rPr>
          <w:rFonts w:ascii="Arial" w:hAnsi="Arial" w:cs="Arial"/>
        </w:rPr>
        <w:t>wosk trzmieli – pentiopirad (6); pirymetanil (6); fluksapyroksad (6).</w:t>
      </w:r>
    </w:p>
    <w:p w14:paraId="39C4FD93" w14:textId="15D322ED" w:rsidR="009811A5" w:rsidRPr="00CA5C0B" w:rsidRDefault="009811A5" w:rsidP="009811A5">
      <w:pPr>
        <w:pStyle w:val="NormalnyWeb"/>
        <w:tabs>
          <w:tab w:val="left" w:pos="709"/>
        </w:tabs>
        <w:spacing w:beforeAutospacing="0" w:after="120" w:afterAutospacing="0" w:line="360" w:lineRule="auto"/>
        <w:ind w:firstLine="284"/>
        <w:jc w:val="both"/>
        <w:rPr>
          <w:rFonts w:ascii="Arial" w:hAnsi="Arial" w:cs="Arial"/>
        </w:rPr>
      </w:pPr>
      <w:r w:rsidRPr="00CA5C0B">
        <w:rPr>
          <w:rFonts w:ascii="Arial" w:hAnsi="Arial" w:cs="Arial"/>
          <w:b/>
          <w:bCs/>
        </w:rPr>
        <w:t>W Instytucie Ogrodnictwa - PIB w 2022 r.</w:t>
      </w:r>
      <w:r w:rsidRPr="00CA5C0B">
        <w:rPr>
          <w:rFonts w:ascii="Arial" w:hAnsi="Arial" w:cs="Arial"/>
        </w:rPr>
        <w:t xml:space="preserve"> w celu oceny pozostałości środków ochrony roślin w</w:t>
      </w:r>
      <w:r w:rsidR="00D36EA7">
        <w:rPr>
          <w:rFonts w:ascii="Arial" w:hAnsi="Arial" w:cs="Arial"/>
        </w:rPr>
        <w:t> </w:t>
      </w:r>
      <w:r w:rsidRPr="00CA5C0B">
        <w:rPr>
          <w:rFonts w:ascii="Arial" w:hAnsi="Arial" w:cs="Arial"/>
        </w:rPr>
        <w:t>gniazdach pszczół, przebadano łącznie 129 próbek materiału pobranego od pszczół miodnych, trzmieli i murarek (75 próbek pszczoła miodna, 45 próbek trzmiele oraz 9 próbek murarka ogrodowa). Spośród ogólnej liczby przebadanych próbek tylko w ośmiu nie wykryto żadnych pozostałości środków ochrony roślin, co stanowi 6,2% ogółu analizowanych prób. W czasie realizacji zadania wykryto 49, oznaczanych w zastosowanych metodach analitycznych, pozostałości środków ochrony roślin lub ich metabolitów, obejmujących fungicydy, insektycydy (w tym akarycydy) i herbicydy:</w:t>
      </w:r>
    </w:p>
    <w:p w14:paraId="5540BB2E"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insektycydy fosforoorganiczne: chlorpiryfos, dimetoat, kumafos, pirymifos metylowy;</w:t>
      </w:r>
    </w:p>
    <w:p w14:paraId="2F59B831"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insektycydy neonikotynoidowe: acetamipryd, tiaklopryd;</w:t>
      </w:r>
    </w:p>
    <w:p w14:paraId="1FFBF988"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insektycydy pyretroidowe: bifentryna, cypermetryna, deltametryna, fluwalinat, lambda-cyhalotryna;</w:t>
      </w:r>
    </w:p>
    <w:p w14:paraId="20A0A60F"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 xml:space="preserve">insektycydy pozostałe: amitraz (amitraz DMF, amitraz DMPF), antrachinon, DEET,fenpiroksymat, heksytiazoks, spirodiklofen; </w:t>
      </w:r>
    </w:p>
    <w:p w14:paraId="4E0F4425"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lastRenderedPageBreak/>
        <w:t>fungicydy z grupy anilinopirimidyn: cyprodynil, pirymetanil;</w:t>
      </w:r>
    </w:p>
    <w:p w14:paraId="3AB63036"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fungicydy z grupy karboksyamidów: boskalid, fluksapyroksad, fluopyram, pentiopirad;</w:t>
      </w:r>
    </w:p>
    <w:p w14:paraId="7A644940"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fungicydy z grupy strobiluryn: azoksystrobina, dimoksystrobina, fluoksastrobina, piraklostrobina, trifloksystrobina;</w:t>
      </w:r>
    </w:p>
    <w:p w14:paraId="745B20F2"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fungicydy z grupy triazoli: cyprokonazol, flusilazol, protiokonazol, tebukonazol; tetrakonazol;</w:t>
      </w:r>
    </w:p>
    <w:p w14:paraId="670BD820" w14:textId="5032AA5E"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fungicydy pozostałe: bupirymat, difenyloamina, fludioksonil, kaptan, karbendazym (produkt z</w:t>
      </w:r>
      <w:r w:rsidR="003D0E5C">
        <w:rPr>
          <w:rFonts w:ascii="Arial" w:hAnsi="Arial" w:cs="Arial"/>
        </w:rPr>
        <w:t> </w:t>
      </w:r>
      <w:r w:rsidRPr="00265B86">
        <w:rPr>
          <w:rFonts w:ascii="Arial" w:hAnsi="Arial" w:cs="Arial"/>
        </w:rPr>
        <w:t>rozkładu tiofanatu metylowego), prochloraz, THPI (produkt z rozkładu kaptanu), tiofanat metylowy, tolilofluanid;</w:t>
      </w:r>
    </w:p>
    <w:p w14:paraId="4C6F3956"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herbicydy:, fenmedifam, metolachlor, napropamid, pendimetalina;</w:t>
      </w:r>
    </w:p>
    <w:p w14:paraId="61F77FCB" w14:textId="77777777" w:rsidR="009811A5" w:rsidRPr="00265B86" w:rsidRDefault="009811A5" w:rsidP="00265B86">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265B86">
        <w:rPr>
          <w:rFonts w:ascii="Arial" w:hAnsi="Arial" w:cs="Arial"/>
        </w:rPr>
        <w:t>regulatory wzrostu/inne: piperonylobutoksyd.</w:t>
      </w:r>
    </w:p>
    <w:p w14:paraId="6EEE69A2" w14:textId="77777777" w:rsidR="009811A5" w:rsidRPr="00CF4481" w:rsidRDefault="009811A5" w:rsidP="009811A5">
      <w:pPr>
        <w:pStyle w:val="NormalnyWeb"/>
        <w:tabs>
          <w:tab w:val="left" w:pos="709"/>
        </w:tabs>
        <w:spacing w:beforeAutospacing="0" w:after="120" w:afterAutospacing="0" w:line="360" w:lineRule="auto"/>
        <w:ind w:firstLine="284"/>
        <w:jc w:val="both"/>
        <w:rPr>
          <w:rFonts w:ascii="Arial" w:hAnsi="Arial" w:cs="Arial"/>
        </w:rPr>
      </w:pPr>
      <w:r w:rsidRPr="00CF4481">
        <w:rPr>
          <w:rFonts w:ascii="Arial" w:hAnsi="Arial" w:cs="Arial"/>
        </w:rPr>
        <w:t>Najczęściej stwierdzanym pestycydem w produktach pszczelich był acetamipryd, wykazany w 68% prób, a więc insektycytyd neonikotynoidowy szeroko stosowany w rolnictwie m.in. do ochrony sadów, rzepaku, ziemniaków czy szkółek drzew. Wśród substancji biologicznie czynnych środków ochrony roślin i ich metabolitów w badanych próbkach wykryto 10 substancji, których stosowanie jest niedozwolone na terenie Unii Europejskiej w chemicznej ochronie upraw – bifentryna, chloropiryfos, difenyloamina, dimetoat, flusilazol, karbendazym, protiokonazol, tiaklopryd, tiofanat metylowy, tolilofluanid. Spośród tych substancji najczęściej stwierdzane były: chloropiryfos (36,4% ogólnej liczby prób) i tiaklopryd (24% ogólnej liczby prób)</w:t>
      </w:r>
    </w:p>
    <w:p w14:paraId="4B57525A" w14:textId="77777777" w:rsidR="009811A5" w:rsidRPr="0001205D" w:rsidRDefault="009811A5" w:rsidP="009811A5">
      <w:pPr>
        <w:pStyle w:val="NormalnyWeb"/>
        <w:tabs>
          <w:tab w:val="left" w:pos="709"/>
        </w:tabs>
        <w:spacing w:beforeAutospacing="0" w:after="120" w:afterAutospacing="0" w:line="360" w:lineRule="auto"/>
        <w:ind w:firstLine="284"/>
        <w:jc w:val="both"/>
        <w:rPr>
          <w:rFonts w:ascii="Arial" w:hAnsi="Arial" w:cs="Arial"/>
        </w:rPr>
      </w:pPr>
      <w:r w:rsidRPr="0001205D">
        <w:rPr>
          <w:rFonts w:ascii="Arial" w:hAnsi="Arial" w:cs="Arial"/>
        </w:rPr>
        <w:t>Analizując poszczególne grupy produktów pszczelich stwierdzono, że:</w:t>
      </w:r>
    </w:p>
    <w:p w14:paraId="6FFF331D" w14:textId="559DE966" w:rsidR="009811A5" w:rsidRPr="0001205D" w:rsidRDefault="009811A5" w:rsidP="0001205D">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01205D">
        <w:rPr>
          <w:rFonts w:ascii="Arial" w:hAnsi="Arial" w:cs="Arial"/>
        </w:rPr>
        <w:t>wszystkie próbki pokarmu białkowego (pyłek, pierzga, pyłek z gniazd) zawierały pozostałości środków ochrony roślin</w:t>
      </w:r>
      <w:r w:rsidR="00F90D98">
        <w:rPr>
          <w:rFonts w:ascii="Arial" w:hAnsi="Arial" w:cs="Arial"/>
        </w:rPr>
        <w:t>;</w:t>
      </w:r>
      <w:r w:rsidRPr="0001205D">
        <w:rPr>
          <w:rFonts w:ascii="Arial" w:hAnsi="Arial" w:cs="Arial"/>
        </w:rPr>
        <w:t xml:space="preserve"> </w:t>
      </w:r>
    </w:p>
    <w:p w14:paraId="2C58D95F" w14:textId="46F0084D" w:rsidR="009811A5" w:rsidRPr="0001205D" w:rsidRDefault="009811A5" w:rsidP="0001205D">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01205D">
        <w:rPr>
          <w:rFonts w:ascii="Arial" w:hAnsi="Arial" w:cs="Arial"/>
        </w:rPr>
        <w:t>tylko 6 prób pokarmu węglowodanowego (miód, nakrop) nie zawierało pozostałości środków ochrony roślin</w:t>
      </w:r>
      <w:r w:rsidR="00F90D98">
        <w:rPr>
          <w:rFonts w:ascii="Arial" w:hAnsi="Arial" w:cs="Arial"/>
        </w:rPr>
        <w:t>;</w:t>
      </w:r>
      <w:r w:rsidRPr="0001205D">
        <w:rPr>
          <w:rFonts w:ascii="Arial" w:hAnsi="Arial" w:cs="Arial"/>
        </w:rPr>
        <w:t xml:space="preserve"> </w:t>
      </w:r>
    </w:p>
    <w:p w14:paraId="6797D279" w14:textId="77777777" w:rsidR="009811A5" w:rsidRPr="0001205D" w:rsidRDefault="009811A5" w:rsidP="0001205D">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01205D">
        <w:rPr>
          <w:rFonts w:ascii="Arial" w:hAnsi="Arial" w:cs="Arial"/>
        </w:rPr>
        <w:t xml:space="preserve">w 30 próbek wosku, w 28 stwierdzono obecność pozostałości środków ochrony roślin. </w:t>
      </w:r>
    </w:p>
    <w:p w14:paraId="4672584E" w14:textId="77777777" w:rsidR="009811A5" w:rsidRPr="004D283B" w:rsidRDefault="009811A5" w:rsidP="009811A5">
      <w:pPr>
        <w:pStyle w:val="NormalnyWeb"/>
        <w:tabs>
          <w:tab w:val="left" w:pos="709"/>
        </w:tabs>
        <w:spacing w:beforeAutospacing="0" w:after="120" w:afterAutospacing="0" w:line="360" w:lineRule="auto"/>
        <w:ind w:firstLine="284"/>
        <w:jc w:val="both"/>
        <w:rPr>
          <w:rFonts w:ascii="Arial" w:hAnsi="Arial" w:cs="Arial"/>
        </w:rPr>
      </w:pPr>
      <w:r w:rsidRPr="004D283B">
        <w:rPr>
          <w:rFonts w:ascii="Arial" w:hAnsi="Arial" w:cs="Arial"/>
        </w:rPr>
        <w:t>Z analizy planów obserwacji kontrolnych oraz rejestru zabiegów biologicznej i chemicznej ochrony roślin z sadów konwencjonalnych wynika, że do momentu poboru prób, w sadach zastosowano środki chemicznej ochrony roślin zawierające następujące substancje aktywne: tlenchlorek miedziowy, ditianon (związek z grupy antrochinonów), pirymetanil, siarka – 80%, fluksapyroksad, pentiopirad. Wszystkie wymienione substancje są składnikami preparatów grzybobójczych. Spośród zastosowanych środków wykryto pozostałości pentiopiradu, pirymetanilu i fluksapyroksadu w następujących produktach pszczelich:</w:t>
      </w:r>
    </w:p>
    <w:p w14:paraId="2BB274D7"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 xml:space="preserve">pyłek pszczeli – pentiopirad (8); pirymetanil (7), </w:t>
      </w:r>
    </w:p>
    <w:p w14:paraId="78392109"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pierzga pszczela – pentiopirad (9); pirymetanil (9),</w:t>
      </w:r>
    </w:p>
    <w:p w14:paraId="42B55AAB"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 xml:space="preserve">pyłek z gniazd trzmieli – pentiopirad (10); pirymetanil (6); fluksapyroksad (9), </w:t>
      </w:r>
    </w:p>
    <w:p w14:paraId="42642A76"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lastRenderedPageBreak/>
        <w:t xml:space="preserve">pyłek z gniazd murarki – fluksapyroksad (2), </w:t>
      </w:r>
    </w:p>
    <w:p w14:paraId="17BDD0A1"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 xml:space="preserve">nakrop z gniazd trzmiela – pentiopirad (3); </w:t>
      </w:r>
    </w:p>
    <w:p w14:paraId="67F96935"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 xml:space="preserve">wosk pszczeli – fluksapyroksad (1); pentiopirad (1); </w:t>
      </w:r>
    </w:p>
    <w:p w14:paraId="66460359" w14:textId="77777777" w:rsidR="009811A5" w:rsidRPr="004D283B" w:rsidRDefault="009811A5" w:rsidP="004D283B">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4D283B">
        <w:rPr>
          <w:rFonts w:ascii="Arial" w:hAnsi="Arial" w:cs="Arial"/>
        </w:rPr>
        <w:t>wosk trzmieli – pentiopirad (9); pirymetanil (9).</w:t>
      </w:r>
    </w:p>
    <w:p w14:paraId="26FB5928" w14:textId="1EE61DA1" w:rsidR="009811A5" w:rsidRDefault="009811A5" w:rsidP="006516D1">
      <w:pPr>
        <w:pStyle w:val="NormalnyWeb"/>
        <w:tabs>
          <w:tab w:val="left" w:pos="709"/>
        </w:tabs>
        <w:spacing w:beforeAutospacing="0" w:after="120" w:afterAutospacing="0" w:line="360" w:lineRule="auto"/>
        <w:ind w:firstLine="284"/>
        <w:jc w:val="both"/>
        <w:rPr>
          <w:rFonts w:ascii="Arial" w:hAnsi="Arial" w:cs="Arial"/>
        </w:rPr>
      </w:pPr>
      <w:r w:rsidRPr="006516D1">
        <w:rPr>
          <w:rFonts w:ascii="Arial" w:hAnsi="Arial" w:cs="Arial"/>
        </w:rPr>
        <w:t>Z 86 prób z sadów konwencjonalnych, tylko 7% (6 prób) nie zawierało żadnych pozostałości środków ochrony roślin, były to próby miodu. Uwzględniając tylko substancje stosowane przez sadowników w</w:t>
      </w:r>
      <w:r w:rsidR="004C1D34">
        <w:rPr>
          <w:rFonts w:ascii="Arial" w:hAnsi="Arial" w:cs="Arial"/>
        </w:rPr>
        <w:t> </w:t>
      </w:r>
      <w:r w:rsidRPr="006516D1">
        <w:rPr>
          <w:rFonts w:ascii="Arial" w:hAnsi="Arial" w:cs="Arial"/>
        </w:rPr>
        <w:t>sadach doświadczalnych, pozostałości stosowanych środków ochrony roślin zostały stwierdzone w</w:t>
      </w:r>
      <w:r w:rsidR="004C1D34">
        <w:rPr>
          <w:rFonts w:ascii="Arial" w:hAnsi="Arial" w:cs="Arial"/>
        </w:rPr>
        <w:t> </w:t>
      </w:r>
      <w:r w:rsidRPr="006516D1">
        <w:rPr>
          <w:rFonts w:ascii="Arial" w:hAnsi="Arial" w:cs="Arial"/>
        </w:rPr>
        <w:t>46,5% (40 prób). Pozostałe związki wykazane w analizie pochodziły najprawdopodobniej z upraw (m.in. rzepaku, ale również zbóż ozimych i szkółek drzew) znajdujących się w zasięgu lotu pszczół.</w:t>
      </w:r>
    </w:p>
    <w:p w14:paraId="657071A7" w14:textId="77777777" w:rsidR="00056846" w:rsidRPr="00925BCD" w:rsidRDefault="00E54725">
      <w:pPr>
        <w:pStyle w:val="Nagwek2"/>
        <w:jc w:val="both"/>
        <w:rPr>
          <w:i w:val="0"/>
          <w:sz w:val="20"/>
          <w:szCs w:val="20"/>
        </w:rPr>
      </w:pPr>
      <w:bookmarkStart w:id="104" w:name="_Toc161744897"/>
      <w:r w:rsidRPr="00925BCD">
        <w:rPr>
          <w:i w:val="0"/>
          <w:sz w:val="20"/>
          <w:szCs w:val="20"/>
        </w:rPr>
        <w:t>Zadanie 11. Monitoring odporności agrofagów na środki ochrony roślin oraz ograniczanie tego zjawiska</w:t>
      </w:r>
      <w:bookmarkEnd w:id="104"/>
    </w:p>
    <w:p w14:paraId="25C4FB39"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Podstawową zasadą integrowanej ochrony roślin jest ograniczenie stosowania chemicznych środków ochrony roślin do niezbędnego minimum. Zjawisko odporności agrofagów na środki ochrony roślin to obecnie bardzo często występująca przyczyna nieskuteczności zabiegu chemicznego. Zjawisko to wymusza intensyfikację zabiegów chemicznych, co jest sprzeczne z założeniami integrowanej ochrony roślin. W rezultacie do środowiska przyrodniczego dostaje się znacznie więcej substancji chemicznych. Również straty ekonomiczne w rolnictwie powstałe na skutek uodparniania się agrofagów są często bardzo duże (spadek plonowania roślin, wyższe koszty związane z częstszym wykonywaniem zabiegów chemicznych). </w:t>
      </w:r>
    </w:p>
    <w:p w14:paraId="10E66E3C"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Odporność agrofagów jest zjawiskiem dynamicznym, które stale ulega różnym zmianom i w związku z tym wymaga stałego monitorowania. Obecnie zjawisko to występuje w Polsce powszechnie i dotyczy środków ochrony roślin z grupy insektycydów, fungicydów, herbicydów oraz z innych grup środków chemicznych i biologicznych. Jako przykłady gatunków agrofagów o szczególnym znaczeniu z gospodarczego punktu widzenia, których odporność na środki chemiczne powoduje znaczne straty w rolnictwie, mogą posłużyć: słodyszek rzepakowy, chowacz podobnik, mszyca brzoskwiniowa w rzepaku, chwościk buraka czy miotła zbożowa. </w:t>
      </w:r>
    </w:p>
    <w:p w14:paraId="731FB3EF" w14:textId="2F16194B" w:rsidR="00056846"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E84120">
        <w:rPr>
          <w:rFonts w:ascii="Arial" w:hAnsi="Arial" w:cs="Arial"/>
        </w:rPr>
        <w:t xml:space="preserve">latach </w:t>
      </w:r>
      <w:r w:rsidRPr="00925BCD">
        <w:rPr>
          <w:rFonts w:ascii="Arial" w:hAnsi="Arial" w:cs="Arial"/>
        </w:rPr>
        <w:t>2018</w:t>
      </w:r>
      <w:r w:rsidR="004849DE" w:rsidRPr="00772A61">
        <w:rPr>
          <w:rFonts w:ascii="Arial" w:hAnsi="Arial" w:cs="Arial"/>
        </w:rPr>
        <w:t>–</w:t>
      </w:r>
      <w:r w:rsidR="00E84120">
        <w:rPr>
          <w:rFonts w:ascii="Arial" w:hAnsi="Arial" w:cs="Arial"/>
        </w:rPr>
        <w:t>2020</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 szklarniowe. Szczegółowe informacje zawiera załącznik nr 1 do sprawozdania.</w:t>
      </w:r>
    </w:p>
    <w:p w14:paraId="7DD52EDB" w14:textId="65C41048" w:rsidR="00F51780" w:rsidRPr="00925BCD" w:rsidRDefault="00F51780" w:rsidP="00CF124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124447">
        <w:rPr>
          <w:rFonts w:ascii="Arial" w:hAnsi="Arial" w:cs="Arial"/>
        </w:rPr>
        <w:t xml:space="preserve"> </w:t>
      </w:r>
      <w:r w:rsidR="000157FA">
        <w:rPr>
          <w:rFonts w:ascii="Arial" w:hAnsi="Arial" w:cs="Arial"/>
        </w:rPr>
        <w:t xml:space="preserve">latach </w:t>
      </w:r>
      <w:r>
        <w:rPr>
          <w:rFonts w:ascii="Arial" w:hAnsi="Arial" w:cs="Arial"/>
        </w:rPr>
        <w:t>2021</w:t>
      </w:r>
      <w:r w:rsidR="00124447">
        <w:rPr>
          <w:rFonts w:ascii="Arial" w:hAnsi="Arial" w:cs="Arial"/>
        </w:rPr>
        <w:t>-2022</w:t>
      </w:r>
      <w:r>
        <w:rPr>
          <w:rFonts w:ascii="Arial" w:hAnsi="Arial" w:cs="Arial"/>
        </w:rPr>
        <w:t xml:space="preserve"> zadanie </w:t>
      </w:r>
      <w:r w:rsidR="004B1C74">
        <w:rPr>
          <w:rFonts w:ascii="Arial" w:hAnsi="Arial" w:cs="Arial"/>
        </w:rPr>
        <w:t xml:space="preserve">nie było </w:t>
      </w:r>
      <w:r w:rsidR="00D25F0C">
        <w:rPr>
          <w:rFonts w:ascii="Arial" w:hAnsi="Arial" w:cs="Arial"/>
        </w:rPr>
        <w:t>kontynuowane</w:t>
      </w:r>
      <w:r w:rsidR="004B1C74">
        <w:rPr>
          <w:rFonts w:ascii="Arial" w:hAnsi="Arial" w:cs="Arial"/>
        </w:rPr>
        <w:t>.</w:t>
      </w:r>
    </w:p>
    <w:p w14:paraId="2246C43F"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Wiedza uzyskana na podstawie lustracji i obserwacji terenowych oraz prowadzonych doświadczeń i badań, przekazywana była na bieżąco do praktyki rolniczej przez publikacje naukowe i popularno-naukowe (w wersji drukowanej lub elektronicznej), komunikaty na Platformie Sygnalizacji Agrofagów i udział w szkoleniach. Przekazywane są do praktyki bieżące informacje na temat odporności </w:t>
      </w:r>
      <w:r w:rsidRPr="00925BCD">
        <w:rPr>
          <w:rFonts w:ascii="Arial" w:hAnsi="Arial" w:cs="Arial"/>
        </w:rPr>
        <w:lastRenderedPageBreak/>
        <w:t>agrofagów, bezpieczeństwa pszczół, strategie antyodpornościowe, pomocne w opracowywaniu zaleceń do programów ochrony roślin rolniczych. Na stronie internetowej opublikowano „Strategię zapobiegania odporności agrofagów w jesiennej ochronie rzepaku ozimego”, która zasługuje na uwagę w sytuacji drastycznego narastania problemu odporności jesiennych szkodników rzepaku.</w:t>
      </w:r>
    </w:p>
    <w:p w14:paraId="7CA24374" w14:textId="3CB0ED54" w:rsidR="005B7749" w:rsidRPr="005F7930" w:rsidRDefault="005B7749" w:rsidP="005F7930">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Monitoring odporności agrofagów na środki ochrony roślin prowadzony był w latach 2018</w:t>
      </w:r>
      <w:r w:rsidR="004849DE" w:rsidRPr="00772A61">
        <w:rPr>
          <w:rFonts w:ascii="Arial" w:hAnsi="Arial" w:cs="Arial"/>
        </w:rPr>
        <w:t>–</w:t>
      </w:r>
      <w:r w:rsidRPr="005F7930">
        <w:rPr>
          <w:rFonts w:ascii="Arial" w:hAnsi="Arial" w:cs="Arial"/>
        </w:rPr>
        <w:t>202</w:t>
      </w:r>
      <w:r w:rsidR="00BC1323">
        <w:rPr>
          <w:rFonts w:ascii="Arial" w:hAnsi="Arial" w:cs="Arial"/>
        </w:rPr>
        <w:t>2</w:t>
      </w:r>
      <w:r w:rsidRPr="005F7930">
        <w:rPr>
          <w:rFonts w:ascii="Arial" w:hAnsi="Arial" w:cs="Arial"/>
        </w:rPr>
        <w:t xml:space="preserve"> również przez Instytut Ogrodnictwa - PIB. Oceniono skuteczność działania, fitotoksyczność i wpływ na faunę pożyteczną wybranych preparatów w uprawach roślin. Szczegółowe informacje zawiera załącznik nr 2 do sprawozdania.</w:t>
      </w:r>
    </w:p>
    <w:p w14:paraId="2490021C" w14:textId="77777777" w:rsidR="00056846" w:rsidRPr="00925BCD" w:rsidRDefault="00E54725">
      <w:pPr>
        <w:pStyle w:val="Nagwek1"/>
        <w:numPr>
          <w:ilvl w:val="1"/>
          <w:numId w:val="9"/>
        </w:numPr>
        <w:tabs>
          <w:tab w:val="left" w:pos="567"/>
        </w:tabs>
        <w:ind w:left="426" w:hanging="426"/>
        <w:jc w:val="both"/>
        <w:rPr>
          <w:i w:val="0"/>
          <w:sz w:val="22"/>
          <w:szCs w:val="22"/>
        </w:rPr>
      </w:pPr>
      <w:bookmarkStart w:id="105" w:name="_Toc161744898"/>
      <w:r w:rsidRPr="00925BCD">
        <w:rPr>
          <w:i w:val="0"/>
          <w:sz w:val="22"/>
          <w:szCs w:val="22"/>
        </w:rPr>
        <w:t>Mierniki służące monitorowaniu</w:t>
      </w:r>
      <w:bookmarkEnd w:id="105"/>
    </w:p>
    <w:p w14:paraId="43ADA019" w14:textId="3F061E4B"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w:t>
      </w:r>
      <w:r w:rsidR="00A95666">
        <w:rPr>
          <w:rFonts w:ascii="Arial" w:hAnsi="Arial" w:cs="Arial"/>
        </w:rPr>
        <w:t>jest</w:t>
      </w:r>
      <w:r w:rsidR="00A95666" w:rsidRPr="00925BCD">
        <w:rPr>
          <w:rFonts w:ascii="Arial" w:hAnsi="Arial" w:cs="Arial"/>
        </w:rPr>
        <w:t xml:space="preserve"> </w:t>
      </w:r>
      <w:r w:rsidRPr="00925BCD">
        <w:rPr>
          <w:rFonts w:ascii="Arial" w:hAnsi="Arial" w:cs="Arial"/>
        </w:rPr>
        <w:t>oceniana na podstawie liczby nieprawidłowości w zakresie przestrzegania zasad integrowanej ochrony roślin. W 2022 r. poziom nieprawidłowości w tym zakresie, stwierdzanych w ramach kontroli prowadzonej przez Państwową Inspekcję Ochrony Roślin i Nasiennictwa, powinien wynosić poniżej 5%.</w:t>
      </w:r>
    </w:p>
    <w:p w14:paraId="76E3B433" w14:textId="316F75BB" w:rsidR="00056846"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6D3E06">
        <w:rPr>
          <w:rFonts w:ascii="Arial" w:hAnsi="Arial" w:cs="Arial"/>
        </w:rPr>
        <w:t>W 2018 r. poziom nieprawidłowości w zakresie przestrzegania zasad integrowanej ochrony roślin wyniósł 0,03%</w:t>
      </w:r>
      <w:r w:rsidR="00995C95" w:rsidRPr="006D3E06">
        <w:rPr>
          <w:rFonts w:ascii="Arial" w:hAnsi="Arial" w:cs="Arial"/>
        </w:rPr>
        <w:t xml:space="preserve">, </w:t>
      </w:r>
      <w:r w:rsidR="00410D56" w:rsidRPr="006D3E06">
        <w:rPr>
          <w:rFonts w:ascii="Arial" w:hAnsi="Arial" w:cs="Arial"/>
        </w:rPr>
        <w:t>w 2019 r.</w:t>
      </w:r>
      <w:r w:rsidR="00633A35">
        <w:rPr>
          <w:rFonts w:ascii="Arial" w:hAnsi="Arial" w:cs="Arial"/>
        </w:rPr>
        <w:t>,</w:t>
      </w:r>
      <w:r w:rsidR="004368CB">
        <w:rPr>
          <w:rFonts w:ascii="Arial" w:hAnsi="Arial" w:cs="Arial"/>
        </w:rPr>
        <w:t xml:space="preserve"> w</w:t>
      </w:r>
      <w:r w:rsidR="000F2310" w:rsidRPr="006D3E06">
        <w:rPr>
          <w:rFonts w:ascii="Arial" w:hAnsi="Arial" w:cs="Arial"/>
        </w:rPr>
        <w:t xml:space="preserve"> 2020 r. </w:t>
      </w:r>
      <w:r w:rsidR="004368CB">
        <w:rPr>
          <w:rFonts w:ascii="Arial" w:hAnsi="Arial" w:cs="Arial"/>
        </w:rPr>
        <w:t xml:space="preserve">i 2022 r. </w:t>
      </w:r>
      <w:r w:rsidR="00410D56" w:rsidRPr="006D3E06">
        <w:rPr>
          <w:rFonts w:ascii="Arial" w:hAnsi="Arial" w:cs="Arial"/>
        </w:rPr>
        <w:t>wyniósł 0,01%</w:t>
      </w:r>
      <w:r w:rsidR="00737AAB" w:rsidRPr="006D3E06">
        <w:rPr>
          <w:rFonts w:ascii="Arial" w:hAnsi="Arial" w:cs="Arial"/>
        </w:rPr>
        <w:t xml:space="preserve">, natomiast w 2021 r. </w:t>
      </w:r>
      <w:r w:rsidR="006D3E06" w:rsidRPr="006D3E06">
        <w:rPr>
          <w:rFonts w:ascii="Arial" w:hAnsi="Arial" w:cs="Arial"/>
        </w:rPr>
        <w:t>wyniósł</w:t>
      </w:r>
      <w:r w:rsidR="00737AAB" w:rsidRPr="006D3E06">
        <w:rPr>
          <w:rFonts w:ascii="Arial" w:hAnsi="Arial" w:cs="Arial"/>
        </w:rPr>
        <w:t xml:space="preserve"> </w:t>
      </w:r>
      <w:r w:rsidR="006D3E06" w:rsidRPr="006D3E06">
        <w:rPr>
          <w:rFonts w:ascii="Arial" w:hAnsi="Arial" w:cs="Arial"/>
        </w:rPr>
        <w:t>0,14%</w:t>
      </w:r>
      <w:r w:rsidR="00410D56" w:rsidRPr="006D3E06">
        <w:rPr>
          <w:rFonts w:ascii="Arial" w:hAnsi="Arial" w:cs="Arial"/>
        </w:rPr>
        <w:t>.</w:t>
      </w:r>
      <w:r w:rsidRPr="00925BCD">
        <w:rPr>
          <w:rFonts w:ascii="Arial" w:hAnsi="Arial" w:cs="Arial"/>
        </w:rPr>
        <w:t xml:space="preserve"> </w:t>
      </w:r>
    </w:p>
    <w:p w14:paraId="6BF380C7" w14:textId="0C745877" w:rsidR="004368CB" w:rsidRPr="00925BCD" w:rsidRDefault="004368CB" w:rsidP="00CF124E">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Tym samym </w:t>
      </w:r>
      <w:r w:rsidR="00633785">
        <w:rPr>
          <w:rFonts w:ascii="Arial" w:hAnsi="Arial" w:cs="Arial"/>
        </w:rPr>
        <w:t>m</w:t>
      </w:r>
      <w:r>
        <w:rPr>
          <w:rFonts w:ascii="Arial" w:hAnsi="Arial" w:cs="Arial"/>
        </w:rPr>
        <w:t xml:space="preserve">iernik 10.1 </w:t>
      </w:r>
      <w:r w:rsidR="00633785">
        <w:rPr>
          <w:rFonts w:ascii="Arial" w:hAnsi="Arial" w:cs="Arial"/>
        </w:rPr>
        <w:t>został zrealizowany.</w:t>
      </w:r>
    </w:p>
    <w:p w14:paraId="1884EF8E" w14:textId="77777777" w:rsidR="00056846" w:rsidRPr="00925BCD" w:rsidRDefault="00E54725">
      <w:pPr>
        <w:pStyle w:val="Nagwek1"/>
        <w:numPr>
          <w:ilvl w:val="0"/>
          <w:numId w:val="9"/>
        </w:numPr>
        <w:jc w:val="both"/>
        <w:rPr>
          <w:i w:val="0"/>
          <w:sz w:val="22"/>
          <w:szCs w:val="22"/>
        </w:rPr>
      </w:pPr>
      <w:bookmarkStart w:id="106" w:name="_Toc341876079"/>
      <w:bookmarkStart w:id="107" w:name="_Toc301334597"/>
      <w:bookmarkStart w:id="108" w:name="_Toc300916208"/>
      <w:bookmarkStart w:id="109" w:name="_Toc341876112"/>
      <w:bookmarkStart w:id="110" w:name="_Toc161744899"/>
      <w:bookmarkEnd w:id="106"/>
      <w:bookmarkEnd w:id="107"/>
      <w:bookmarkEnd w:id="108"/>
      <w:r w:rsidRPr="00925BCD">
        <w:rPr>
          <w:i w:val="0"/>
          <w:sz w:val="22"/>
          <w:szCs w:val="22"/>
        </w:rPr>
        <w:t>Działanie 11. Analiza ryzyka związanego ze stosowaniem środków ochrony roślin</w:t>
      </w:r>
      <w:bookmarkEnd w:id="109"/>
      <w:bookmarkEnd w:id="110"/>
    </w:p>
    <w:p w14:paraId="3EE6EB22"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Prawidłowe ukierunkowanie działań regulacyjnych oraz kontrolnych w zakresie obrotu środkami ochrony roślin i stosowania środków ochrony roślin na obszary ryzyka, a także kreowanie polityki państwa w odniesieniu do tych środków, wymaga ustanowienia sprawnego systemu gromadzenia i analizy danych dotyczących ryzyka związanego ze stosowaniem środków ochrony roślin, a także kształtowania poziomu wiedzy o zachowaniach użytkowników tych środków. Działanie to służy osiągnięciu celów określonych w art. 15 dyrektywy 2009/128/WE.</w:t>
      </w:r>
    </w:p>
    <w:p w14:paraId="3BD75B4E"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w ramach krajowego planu działania przeprowadzane są kontrole i  monitoring oraz badania statystyczne, których celem jest uzyskanie informacji o wpływie środków ochrony roślin na środowisko. </w:t>
      </w:r>
    </w:p>
    <w:p w14:paraId="4FD6A503"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realizowane są następujące zadania szczegółowe. </w:t>
      </w:r>
    </w:p>
    <w:p w14:paraId="78855095" w14:textId="77777777" w:rsidR="00056846" w:rsidRPr="00925BCD" w:rsidRDefault="00E54725">
      <w:pPr>
        <w:pStyle w:val="Nagwek2"/>
        <w:jc w:val="both"/>
        <w:rPr>
          <w:i w:val="0"/>
          <w:sz w:val="20"/>
          <w:szCs w:val="20"/>
        </w:rPr>
      </w:pPr>
      <w:bookmarkStart w:id="111" w:name="_Toc161744900"/>
      <w:r w:rsidRPr="00925BCD">
        <w:rPr>
          <w:i w:val="0"/>
          <w:sz w:val="20"/>
          <w:szCs w:val="20"/>
        </w:rPr>
        <w:t>Zadanie 1. Badania statystyczne dotyczące środków ochrony roślin</w:t>
      </w:r>
      <w:bookmarkEnd w:id="111"/>
      <w:r w:rsidRPr="00925BCD">
        <w:rPr>
          <w:i w:val="0"/>
          <w:sz w:val="20"/>
          <w:szCs w:val="20"/>
        </w:rPr>
        <w:t xml:space="preserve"> </w:t>
      </w:r>
    </w:p>
    <w:p w14:paraId="7239E197" w14:textId="1E66EA88"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potrzeby realizacji krajowego planu działania są wykorzystywane dane pochodzące z badań statystycznych prowadzonych przez Główny Urząd Statystyczny na podstawie przepisów wydanych na podstawie art. 18 ust. 1 ustawy z dnia 29 czerwca 1995 r. o statystyce publicznej (Dz. U. z 2018 r. poz. 997, z późn. zm.), oraz dane pochodzące z badań ankietowych prowadzonych przez Ministerstwo Rolnictwa i Rozwoju Wsi. W ramach zadania były wykonywane następujące podzadania.</w:t>
      </w:r>
    </w:p>
    <w:p w14:paraId="3190439C"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12" w:name="_Toc161744901"/>
      <w:bookmarkStart w:id="113" w:name="_Hlk94705233"/>
      <w:r w:rsidRPr="00925BCD">
        <w:rPr>
          <w:i w:val="0"/>
          <w:sz w:val="20"/>
          <w:szCs w:val="20"/>
        </w:rPr>
        <w:t>Podzadanie 1. Prowadzenie badań statystycznych sprzedaży środków ochrony roślin</w:t>
      </w:r>
      <w:bookmarkEnd w:id="112"/>
      <w:r w:rsidRPr="00925BCD">
        <w:rPr>
          <w:i w:val="0"/>
          <w:sz w:val="20"/>
          <w:szCs w:val="20"/>
        </w:rPr>
        <w:t xml:space="preserve"> </w:t>
      </w:r>
    </w:p>
    <w:p w14:paraId="067E84ED" w14:textId="77777777" w:rsidR="00056846" w:rsidRPr="00925BCD" w:rsidRDefault="00E54725" w:rsidP="00E332A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statystyczne dotyczące sprzedaży środków ochrony roślin prowadzone są przez Główny </w:t>
      </w:r>
      <w:r w:rsidRPr="00925BCD">
        <w:rPr>
          <w:rFonts w:ascii="Arial" w:hAnsi="Arial" w:cs="Arial"/>
        </w:rPr>
        <w:lastRenderedPageBreak/>
        <w:t xml:space="preserve">Urząd Statystyczny we współpracy z Ministerstwem Rolnictwa i Rozwoju Wsi oraz Instytutem Ochrony Roślin – PIB. </w:t>
      </w:r>
    </w:p>
    <w:p w14:paraId="62350E60" w14:textId="29B0FDD7" w:rsidR="00786295" w:rsidRDefault="008A01D3" w:rsidP="0078629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Sprzedaż środków ochrony roślin </w:t>
      </w:r>
      <w:bookmarkStart w:id="114" w:name="_Hlk123045902"/>
      <w:r w:rsidRPr="00925BCD">
        <w:rPr>
          <w:rFonts w:ascii="Arial" w:hAnsi="Arial" w:cs="Arial"/>
        </w:rPr>
        <w:t xml:space="preserve">w przeliczeniu na substancje czynne </w:t>
      </w:r>
      <w:bookmarkEnd w:id="114"/>
      <w:r w:rsidRPr="00925BCD">
        <w:rPr>
          <w:rFonts w:ascii="Arial" w:hAnsi="Arial" w:cs="Arial"/>
        </w:rPr>
        <w:t>w 2018 r. była niższa o 7,5</w:t>
      </w:r>
      <w:r w:rsidR="0071531A">
        <w:rPr>
          <w:rFonts w:ascii="Arial" w:hAnsi="Arial" w:cs="Arial"/>
        </w:rPr>
        <w:t>6</w:t>
      </w:r>
      <w:r w:rsidRPr="00925BCD">
        <w:rPr>
          <w:rFonts w:ascii="Arial" w:hAnsi="Arial" w:cs="Arial"/>
        </w:rPr>
        <w:t>% w porównaniu do 2017 r. Sprzedaż środków ochrony roślin w przeliczeniu na substancje czynne w</w:t>
      </w:r>
      <w:r w:rsidR="00A675E3">
        <w:rPr>
          <w:rFonts w:ascii="Arial" w:hAnsi="Arial" w:cs="Arial"/>
        </w:rPr>
        <w:t> </w:t>
      </w:r>
      <w:r w:rsidRPr="00925BCD">
        <w:rPr>
          <w:rFonts w:ascii="Arial" w:hAnsi="Arial" w:cs="Arial"/>
        </w:rPr>
        <w:t>2019</w:t>
      </w:r>
      <w:r w:rsidR="00A675E3">
        <w:rPr>
          <w:rFonts w:ascii="Arial" w:hAnsi="Arial" w:cs="Arial"/>
        </w:rPr>
        <w:t> </w:t>
      </w:r>
      <w:r w:rsidRPr="00925BCD">
        <w:rPr>
          <w:rFonts w:ascii="Arial" w:hAnsi="Arial" w:cs="Arial"/>
        </w:rPr>
        <w:t xml:space="preserve">r. była wyższa o 4,76% w porównaniu do 2018 r. ale niższa o 3,17% w porównaniu do 2017 r. </w:t>
      </w:r>
      <w:r w:rsidR="00786295" w:rsidRPr="00786295">
        <w:rPr>
          <w:rFonts w:ascii="Arial" w:hAnsi="Arial" w:cs="Arial"/>
        </w:rPr>
        <w:t xml:space="preserve">W 2020 </w:t>
      </w:r>
      <w:r w:rsidR="00996919">
        <w:rPr>
          <w:rFonts w:ascii="Arial" w:hAnsi="Arial" w:cs="Arial"/>
        </w:rPr>
        <w:t xml:space="preserve">r. </w:t>
      </w:r>
      <w:r w:rsidR="00786295" w:rsidRPr="00786295">
        <w:rPr>
          <w:rFonts w:ascii="Arial" w:hAnsi="Arial" w:cs="Arial"/>
        </w:rPr>
        <w:t>nastąpił wzrost sprzedaży o 1,43% w</w:t>
      </w:r>
      <w:r w:rsidR="00786295">
        <w:rPr>
          <w:rFonts w:ascii="Arial" w:hAnsi="Arial" w:cs="Arial"/>
        </w:rPr>
        <w:t> </w:t>
      </w:r>
      <w:r w:rsidR="00786295" w:rsidRPr="00786295">
        <w:rPr>
          <w:rFonts w:ascii="Arial" w:hAnsi="Arial" w:cs="Arial"/>
        </w:rPr>
        <w:t>porównaniu do 2019</w:t>
      </w:r>
      <w:r w:rsidR="00763E6D">
        <w:rPr>
          <w:rFonts w:ascii="Arial" w:hAnsi="Arial" w:cs="Arial"/>
        </w:rPr>
        <w:t xml:space="preserve"> r</w:t>
      </w:r>
      <w:r w:rsidR="00786295" w:rsidRPr="00786295">
        <w:rPr>
          <w:rFonts w:ascii="Arial" w:hAnsi="Arial" w:cs="Arial"/>
        </w:rPr>
        <w:t xml:space="preserve">. Obserwowany do 2017 </w:t>
      </w:r>
      <w:r w:rsidR="00763E6D">
        <w:rPr>
          <w:rFonts w:ascii="Arial" w:hAnsi="Arial" w:cs="Arial"/>
        </w:rPr>
        <w:t xml:space="preserve">r. </w:t>
      </w:r>
      <w:r w:rsidR="00786295" w:rsidRPr="00786295">
        <w:rPr>
          <w:rFonts w:ascii="Arial" w:hAnsi="Arial" w:cs="Arial"/>
        </w:rPr>
        <w:t>wzrost sprzedaży, po korekcie w 2018</w:t>
      </w:r>
      <w:r w:rsidR="00A675E3">
        <w:rPr>
          <w:rFonts w:ascii="Arial" w:hAnsi="Arial" w:cs="Arial"/>
        </w:rPr>
        <w:t> </w:t>
      </w:r>
      <w:r w:rsidR="00A842FD">
        <w:rPr>
          <w:rFonts w:ascii="Arial" w:hAnsi="Arial" w:cs="Arial"/>
        </w:rPr>
        <w:t>r.</w:t>
      </w:r>
      <w:r w:rsidR="00786295" w:rsidRPr="00786295">
        <w:rPr>
          <w:rFonts w:ascii="Arial" w:hAnsi="Arial" w:cs="Arial"/>
        </w:rPr>
        <w:t xml:space="preserve"> powoli odbudow</w:t>
      </w:r>
      <w:r w:rsidR="00420F16">
        <w:rPr>
          <w:rFonts w:ascii="Arial" w:hAnsi="Arial" w:cs="Arial"/>
        </w:rPr>
        <w:t xml:space="preserve">ywał </w:t>
      </w:r>
      <w:r w:rsidR="00786295" w:rsidRPr="00786295">
        <w:rPr>
          <w:rFonts w:ascii="Arial" w:hAnsi="Arial" w:cs="Arial"/>
        </w:rPr>
        <w:t>się, jednak jej poziom nie przekroczył jeszcze wielkości z 2017</w:t>
      </w:r>
      <w:r w:rsidR="00763E6D">
        <w:rPr>
          <w:rFonts w:ascii="Arial" w:hAnsi="Arial" w:cs="Arial"/>
        </w:rPr>
        <w:t xml:space="preserve"> r.</w:t>
      </w:r>
      <w:r w:rsidR="0057609B">
        <w:rPr>
          <w:rFonts w:ascii="Arial" w:hAnsi="Arial" w:cs="Arial"/>
        </w:rPr>
        <w:t xml:space="preserve"> Wszystko zmieniło się w</w:t>
      </w:r>
      <w:r w:rsidR="00763E6D">
        <w:rPr>
          <w:rFonts w:ascii="Arial" w:hAnsi="Arial" w:cs="Arial"/>
        </w:rPr>
        <w:t> </w:t>
      </w:r>
      <w:r w:rsidR="0057609B">
        <w:rPr>
          <w:rFonts w:ascii="Arial" w:hAnsi="Arial" w:cs="Arial"/>
        </w:rPr>
        <w:t>2021</w:t>
      </w:r>
      <w:r w:rsidR="00A842FD">
        <w:rPr>
          <w:rFonts w:ascii="Arial" w:hAnsi="Arial" w:cs="Arial"/>
        </w:rPr>
        <w:t> </w:t>
      </w:r>
      <w:r w:rsidR="0057609B">
        <w:rPr>
          <w:rFonts w:ascii="Arial" w:hAnsi="Arial" w:cs="Arial"/>
        </w:rPr>
        <w:t xml:space="preserve">r. </w:t>
      </w:r>
      <w:r w:rsidR="00A2283C">
        <w:rPr>
          <w:rFonts w:ascii="Arial" w:hAnsi="Arial" w:cs="Arial"/>
        </w:rPr>
        <w:t xml:space="preserve">Sprzedaż środków ochrony roślin </w:t>
      </w:r>
      <w:r w:rsidR="00D260C8" w:rsidRPr="00925BCD">
        <w:rPr>
          <w:rFonts w:ascii="Arial" w:hAnsi="Arial" w:cs="Arial"/>
        </w:rPr>
        <w:t xml:space="preserve">w przeliczeniu na substancje czynne </w:t>
      </w:r>
      <w:r w:rsidR="00A2283C">
        <w:rPr>
          <w:rFonts w:ascii="Arial" w:hAnsi="Arial" w:cs="Arial"/>
        </w:rPr>
        <w:t>osiągnęła najwyższą wartość od 201</w:t>
      </w:r>
      <w:r w:rsidR="004914FD">
        <w:rPr>
          <w:rFonts w:ascii="Arial" w:hAnsi="Arial" w:cs="Arial"/>
        </w:rPr>
        <w:t>2</w:t>
      </w:r>
      <w:r w:rsidR="00A2283C">
        <w:rPr>
          <w:rFonts w:ascii="Arial" w:hAnsi="Arial" w:cs="Arial"/>
        </w:rPr>
        <w:t xml:space="preserve"> r. </w:t>
      </w:r>
      <w:r w:rsidR="00E8005E">
        <w:rPr>
          <w:rFonts w:ascii="Arial" w:hAnsi="Arial" w:cs="Arial"/>
        </w:rPr>
        <w:t>i wynosiła</w:t>
      </w:r>
      <w:r w:rsidR="00A2283C">
        <w:rPr>
          <w:rFonts w:ascii="Arial" w:hAnsi="Arial" w:cs="Arial"/>
        </w:rPr>
        <w:t xml:space="preserve"> </w:t>
      </w:r>
      <w:r w:rsidR="00D260C8">
        <w:rPr>
          <w:rFonts w:ascii="Arial" w:hAnsi="Arial" w:cs="Arial"/>
        </w:rPr>
        <w:t xml:space="preserve">26 973 t. </w:t>
      </w:r>
      <w:r w:rsidR="006E5BC9" w:rsidRPr="006E5BC9">
        <w:rPr>
          <w:rFonts w:ascii="Arial" w:hAnsi="Arial" w:cs="Arial"/>
        </w:rPr>
        <w:t xml:space="preserve">W 2022 </w:t>
      </w:r>
      <w:r w:rsidR="00420F16">
        <w:rPr>
          <w:rFonts w:ascii="Arial" w:hAnsi="Arial" w:cs="Arial"/>
        </w:rPr>
        <w:t xml:space="preserve">r. </w:t>
      </w:r>
      <w:r w:rsidR="006E5BC9" w:rsidRPr="006E5BC9">
        <w:rPr>
          <w:rFonts w:ascii="Arial" w:hAnsi="Arial" w:cs="Arial"/>
        </w:rPr>
        <w:t>sprzedaż spadła do 22</w:t>
      </w:r>
      <w:r w:rsidR="00F41267">
        <w:rPr>
          <w:rFonts w:ascii="Arial" w:hAnsi="Arial" w:cs="Arial"/>
        </w:rPr>
        <w:t> </w:t>
      </w:r>
      <w:r w:rsidR="006E5BC9" w:rsidRPr="006E5BC9">
        <w:rPr>
          <w:rFonts w:ascii="Arial" w:hAnsi="Arial" w:cs="Arial"/>
        </w:rPr>
        <w:t>320 t. i była o 17,25% mniejsza niż w</w:t>
      </w:r>
      <w:r w:rsidR="001D5398">
        <w:rPr>
          <w:rFonts w:ascii="Arial" w:hAnsi="Arial" w:cs="Arial"/>
        </w:rPr>
        <w:t xml:space="preserve"> </w:t>
      </w:r>
      <w:r w:rsidR="006E5BC9" w:rsidRPr="006E5BC9">
        <w:rPr>
          <w:rFonts w:ascii="Arial" w:hAnsi="Arial" w:cs="Arial"/>
        </w:rPr>
        <w:t>2021</w:t>
      </w:r>
      <w:r w:rsidR="001D5398">
        <w:rPr>
          <w:rFonts w:ascii="Arial" w:hAnsi="Arial" w:cs="Arial"/>
        </w:rPr>
        <w:t xml:space="preserve"> r</w:t>
      </w:r>
      <w:r w:rsidR="006E5BC9" w:rsidRPr="006E5BC9">
        <w:rPr>
          <w:rFonts w:ascii="Arial" w:hAnsi="Arial" w:cs="Arial"/>
        </w:rPr>
        <w:t>. Wzrost sprzedaży substancji czynnych pomiędzy 2022 r. i średnią z lat 2011–2013 wynosi 1,66%.</w:t>
      </w:r>
    </w:p>
    <w:p w14:paraId="763DD4B9" w14:textId="7D08DF4E" w:rsidR="004B606D" w:rsidRPr="004B606D" w:rsidRDefault="007757DB" w:rsidP="002C2375">
      <w:pPr>
        <w:pStyle w:val="NormalnyWeb"/>
        <w:tabs>
          <w:tab w:val="left" w:pos="284"/>
        </w:tabs>
        <w:spacing w:beforeAutospacing="0" w:after="240" w:afterAutospacing="0" w:line="360" w:lineRule="auto"/>
        <w:ind w:firstLine="284"/>
        <w:jc w:val="both"/>
        <w:rPr>
          <w:rFonts w:ascii="Arial" w:hAnsi="Arial" w:cs="Arial"/>
        </w:rPr>
      </w:pPr>
      <w:r>
        <w:rPr>
          <w:rFonts w:ascii="Arial" w:hAnsi="Arial" w:cs="Arial"/>
        </w:rPr>
        <w:t xml:space="preserve">W </w:t>
      </w:r>
      <w:r w:rsidR="004B606D" w:rsidRPr="004B606D">
        <w:rPr>
          <w:rFonts w:ascii="Arial" w:hAnsi="Arial" w:cs="Arial"/>
        </w:rPr>
        <w:t xml:space="preserve">tabeli </w:t>
      </w:r>
      <w:r>
        <w:rPr>
          <w:rFonts w:ascii="Arial" w:hAnsi="Arial" w:cs="Arial"/>
        </w:rPr>
        <w:t xml:space="preserve">poniżej </w:t>
      </w:r>
      <w:r w:rsidR="004B606D" w:rsidRPr="004B606D">
        <w:rPr>
          <w:rFonts w:ascii="Arial" w:hAnsi="Arial" w:cs="Arial"/>
        </w:rPr>
        <w:t xml:space="preserve">pokazano sprzedaż środków ochrony roślin w ostatnich latach w porównaniu do średniej sprzedaży z lat 2011-2013 (okres bazowy w Zharmonizowanym wskaźniku ryzyka pestycydowego 1 UE – HRI1). W 2021 </w:t>
      </w:r>
      <w:r w:rsidR="00DF6C50">
        <w:rPr>
          <w:rFonts w:ascii="Arial" w:hAnsi="Arial" w:cs="Arial"/>
        </w:rPr>
        <w:t xml:space="preserve">r. </w:t>
      </w:r>
      <w:r w:rsidR="004B606D" w:rsidRPr="004B606D">
        <w:rPr>
          <w:rFonts w:ascii="Arial" w:hAnsi="Arial" w:cs="Arial"/>
        </w:rPr>
        <w:t xml:space="preserve">nastąpił znaczący wzrost sprzedaży w stosunku do poprzednich lat (prawie 10% w porównaniu do poprzedniego roku). Wzrost sprzedaży substancji czynnych pomiędzy 2021 </w:t>
      </w:r>
      <w:r w:rsidR="003A4437">
        <w:rPr>
          <w:rFonts w:ascii="Arial" w:hAnsi="Arial" w:cs="Arial"/>
        </w:rPr>
        <w:t xml:space="preserve">r. </w:t>
      </w:r>
      <w:r w:rsidR="004B606D" w:rsidRPr="004B606D">
        <w:rPr>
          <w:rFonts w:ascii="Arial" w:hAnsi="Arial" w:cs="Arial"/>
        </w:rPr>
        <w:t>i średnią z lat 2011</w:t>
      </w:r>
      <w:r w:rsidR="003A4437" w:rsidRPr="004B606D">
        <w:rPr>
          <w:rFonts w:ascii="Arial" w:hAnsi="Arial" w:cs="Arial"/>
        </w:rPr>
        <w:t>–</w:t>
      </w:r>
      <w:r w:rsidR="004B606D" w:rsidRPr="004B606D">
        <w:rPr>
          <w:rFonts w:ascii="Arial" w:hAnsi="Arial" w:cs="Arial"/>
        </w:rPr>
        <w:t>2013 wynosi 22,85%</w:t>
      </w:r>
      <w:r w:rsidR="00206023">
        <w:rPr>
          <w:rFonts w:ascii="Arial" w:hAnsi="Arial" w:cs="Arial"/>
        </w:rPr>
        <w:t xml:space="preserve">, natomiast w 2022 r. tylko o </w:t>
      </w:r>
      <w:r w:rsidR="00D9597F">
        <w:rPr>
          <w:rFonts w:ascii="Arial" w:hAnsi="Arial" w:cs="Arial"/>
        </w:rPr>
        <w:t>1,66%</w:t>
      </w:r>
      <w:r w:rsidR="004B606D" w:rsidRPr="004B606D">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1696"/>
        <w:gridCol w:w="2269"/>
        <w:gridCol w:w="2409"/>
        <w:gridCol w:w="2688"/>
      </w:tblGrid>
      <w:tr w:rsidR="004B606D" w:rsidRPr="004B606D" w14:paraId="6A1494E4" w14:textId="77777777" w:rsidTr="0087442D">
        <w:trPr>
          <w:trHeight w:val="671"/>
        </w:trPr>
        <w:tc>
          <w:tcPr>
            <w:tcW w:w="936" w:type="pct"/>
            <w:tcBorders>
              <w:top w:val="single" w:sz="4" w:space="0" w:color="auto"/>
              <w:left w:val="single" w:sz="4" w:space="0" w:color="auto"/>
              <w:bottom w:val="single" w:sz="4" w:space="0" w:color="auto"/>
              <w:right w:val="single" w:sz="4" w:space="0" w:color="auto"/>
            </w:tcBorders>
            <w:vAlign w:val="center"/>
            <w:hideMark/>
          </w:tcPr>
          <w:p w14:paraId="28C9E0CB" w14:textId="77777777" w:rsidR="004B606D" w:rsidRPr="00101AE1" w:rsidRDefault="004B606D" w:rsidP="003A4437">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t>Rok</w:t>
            </w:r>
          </w:p>
        </w:tc>
        <w:tc>
          <w:tcPr>
            <w:tcW w:w="1252" w:type="pct"/>
            <w:tcBorders>
              <w:top w:val="single" w:sz="4" w:space="0" w:color="auto"/>
              <w:left w:val="nil"/>
              <w:bottom w:val="single" w:sz="4" w:space="0" w:color="auto"/>
              <w:right w:val="single" w:sz="4" w:space="0" w:color="auto"/>
            </w:tcBorders>
            <w:vAlign w:val="center"/>
            <w:hideMark/>
          </w:tcPr>
          <w:p w14:paraId="63C1A49C" w14:textId="77777777" w:rsidR="004B606D" w:rsidRPr="00101AE1" w:rsidRDefault="004B606D" w:rsidP="003A4437">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t>Sprzedaż substancji czynnych w [t]</w:t>
            </w:r>
          </w:p>
        </w:tc>
        <w:tc>
          <w:tcPr>
            <w:tcW w:w="1329" w:type="pct"/>
            <w:tcBorders>
              <w:top w:val="single" w:sz="4" w:space="0" w:color="auto"/>
              <w:left w:val="nil"/>
              <w:bottom w:val="single" w:sz="4" w:space="0" w:color="auto"/>
              <w:right w:val="single" w:sz="4" w:space="0" w:color="auto"/>
            </w:tcBorders>
            <w:vAlign w:val="center"/>
            <w:hideMark/>
          </w:tcPr>
          <w:p w14:paraId="16D4DED9" w14:textId="77777777" w:rsidR="004B606D" w:rsidRPr="00101AE1" w:rsidRDefault="004B606D" w:rsidP="002453BD">
            <w:pPr>
              <w:pStyle w:val="NormalnyWeb"/>
              <w:tabs>
                <w:tab w:val="left" w:pos="284"/>
              </w:tabs>
              <w:spacing w:before="100" w:after="100" w:line="360" w:lineRule="auto"/>
              <w:ind w:firstLine="284"/>
              <w:jc w:val="center"/>
              <w:rPr>
                <w:rFonts w:ascii="Arial" w:hAnsi="Arial" w:cs="Arial"/>
                <w:b/>
                <w:bCs/>
              </w:rPr>
            </w:pPr>
            <w:r w:rsidRPr="00101AE1">
              <w:rPr>
                <w:rFonts w:ascii="Arial" w:hAnsi="Arial" w:cs="Arial"/>
                <w:b/>
                <w:bCs/>
              </w:rPr>
              <w:t>Sprzedaż w odniesieniu do roku poprzedniego</w:t>
            </w:r>
          </w:p>
        </w:tc>
        <w:tc>
          <w:tcPr>
            <w:tcW w:w="1483" w:type="pct"/>
            <w:tcBorders>
              <w:top w:val="single" w:sz="4" w:space="0" w:color="auto"/>
              <w:left w:val="nil"/>
              <w:bottom w:val="single" w:sz="4" w:space="0" w:color="auto"/>
              <w:right w:val="single" w:sz="4" w:space="0" w:color="auto"/>
            </w:tcBorders>
            <w:vAlign w:val="center"/>
            <w:hideMark/>
          </w:tcPr>
          <w:p w14:paraId="7F75ED11" w14:textId="77777777" w:rsidR="004B606D" w:rsidRPr="00101AE1" w:rsidRDefault="004B606D" w:rsidP="0087442D">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t>Sprzedaż w odniesieniu do średniej z lat 2011-2013</w:t>
            </w:r>
          </w:p>
        </w:tc>
      </w:tr>
      <w:tr w:rsidR="004B606D" w:rsidRPr="004B606D" w14:paraId="1399A3C3" w14:textId="77777777" w:rsidTr="0087442D">
        <w:trPr>
          <w:trHeight w:val="397"/>
        </w:trPr>
        <w:tc>
          <w:tcPr>
            <w:tcW w:w="936" w:type="pct"/>
            <w:tcBorders>
              <w:top w:val="nil"/>
              <w:left w:val="single" w:sz="4" w:space="0" w:color="auto"/>
              <w:bottom w:val="single" w:sz="4" w:space="0" w:color="auto"/>
              <w:right w:val="single" w:sz="4" w:space="0" w:color="auto"/>
            </w:tcBorders>
            <w:vAlign w:val="center"/>
            <w:hideMark/>
          </w:tcPr>
          <w:p w14:paraId="32A0E870" w14:textId="69F5FF50" w:rsidR="004B606D" w:rsidRPr="004B606D" w:rsidRDefault="003A4437" w:rsidP="0087442D">
            <w:pPr>
              <w:pStyle w:val="NormalnyWeb"/>
              <w:tabs>
                <w:tab w:val="left" w:pos="284"/>
              </w:tabs>
              <w:spacing w:after="120" w:line="360" w:lineRule="auto"/>
              <w:ind w:firstLine="284"/>
              <w:jc w:val="center"/>
              <w:rPr>
                <w:rFonts w:ascii="Arial" w:hAnsi="Arial" w:cs="Arial"/>
              </w:rPr>
            </w:pPr>
            <w:r>
              <w:rPr>
                <w:rFonts w:ascii="Arial" w:hAnsi="Arial" w:cs="Arial"/>
              </w:rPr>
              <w:t>ś</w:t>
            </w:r>
            <w:r w:rsidR="004B606D" w:rsidRPr="004B606D">
              <w:rPr>
                <w:rFonts w:ascii="Arial" w:hAnsi="Arial" w:cs="Arial"/>
              </w:rPr>
              <w:t>rednia z lat 2011-2013</w:t>
            </w:r>
          </w:p>
        </w:tc>
        <w:tc>
          <w:tcPr>
            <w:tcW w:w="1252" w:type="pct"/>
            <w:tcBorders>
              <w:top w:val="nil"/>
              <w:left w:val="nil"/>
              <w:bottom w:val="single" w:sz="4" w:space="0" w:color="auto"/>
              <w:right w:val="single" w:sz="4" w:space="0" w:color="auto"/>
            </w:tcBorders>
            <w:vAlign w:val="bottom"/>
            <w:hideMark/>
          </w:tcPr>
          <w:p w14:paraId="6201E2F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21956</w:t>
            </w:r>
          </w:p>
        </w:tc>
        <w:tc>
          <w:tcPr>
            <w:tcW w:w="1329" w:type="pct"/>
            <w:tcBorders>
              <w:top w:val="nil"/>
              <w:left w:val="nil"/>
              <w:bottom w:val="single" w:sz="4" w:space="0" w:color="auto"/>
              <w:right w:val="single" w:sz="4" w:space="0" w:color="auto"/>
            </w:tcBorders>
            <w:vAlign w:val="bottom"/>
            <w:hideMark/>
          </w:tcPr>
          <w:p w14:paraId="7D6CBBC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c>
          <w:tcPr>
            <w:tcW w:w="1483" w:type="pct"/>
            <w:tcBorders>
              <w:top w:val="nil"/>
              <w:left w:val="nil"/>
              <w:bottom w:val="single" w:sz="4" w:space="0" w:color="auto"/>
              <w:right w:val="single" w:sz="4" w:space="0" w:color="auto"/>
            </w:tcBorders>
            <w:vAlign w:val="bottom"/>
            <w:hideMark/>
          </w:tcPr>
          <w:p w14:paraId="4F6C94E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r>
      <w:tr w:rsidR="004B606D" w:rsidRPr="004B606D" w14:paraId="746981BE"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82C1FA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2014</w:t>
            </w:r>
          </w:p>
        </w:tc>
        <w:tc>
          <w:tcPr>
            <w:tcW w:w="1252" w:type="pct"/>
            <w:tcBorders>
              <w:top w:val="nil"/>
              <w:left w:val="nil"/>
              <w:bottom w:val="single" w:sz="4" w:space="0" w:color="auto"/>
              <w:right w:val="single" w:sz="4" w:space="0" w:color="auto"/>
            </w:tcBorders>
            <w:vAlign w:val="bottom"/>
            <w:hideMark/>
          </w:tcPr>
          <w:p w14:paraId="1FC6D27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23557</w:t>
            </w:r>
          </w:p>
        </w:tc>
        <w:tc>
          <w:tcPr>
            <w:tcW w:w="1329" w:type="pct"/>
            <w:tcBorders>
              <w:top w:val="nil"/>
              <w:left w:val="nil"/>
              <w:bottom w:val="single" w:sz="4" w:space="0" w:color="auto"/>
              <w:right w:val="single" w:sz="4" w:space="0" w:color="auto"/>
            </w:tcBorders>
            <w:vAlign w:val="bottom"/>
            <w:hideMark/>
          </w:tcPr>
          <w:p w14:paraId="2983CFD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107,29%</w:t>
            </w:r>
          </w:p>
        </w:tc>
        <w:tc>
          <w:tcPr>
            <w:tcW w:w="1483" w:type="pct"/>
            <w:tcBorders>
              <w:top w:val="nil"/>
              <w:left w:val="nil"/>
              <w:bottom w:val="single" w:sz="4" w:space="0" w:color="auto"/>
              <w:right w:val="single" w:sz="4" w:space="0" w:color="auto"/>
            </w:tcBorders>
            <w:vAlign w:val="bottom"/>
            <w:hideMark/>
          </w:tcPr>
          <w:p w14:paraId="40C8DA3F"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107,29%</w:t>
            </w:r>
          </w:p>
        </w:tc>
      </w:tr>
      <w:tr w:rsidR="004B606D" w:rsidRPr="004B606D" w14:paraId="1118D823"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EA3549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2015</w:t>
            </w:r>
          </w:p>
        </w:tc>
        <w:tc>
          <w:tcPr>
            <w:tcW w:w="1252" w:type="pct"/>
            <w:tcBorders>
              <w:top w:val="nil"/>
              <w:left w:val="nil"/>
              <w:bottom w:val="single" w:sz="4" w:space="0" w:color="auto"/>
              <w:right w:val="single" w:sz="4" w:space="0" w:color="auto"/>
            </w:tcBorders>
            <w:vAlign w:val="bottom"/>
            <w:hideMark/>
          </w:tcPr>
          <w:p w14:paraId="2AF083A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24006</w:t>
            </w:r>
          </w:p>
        </w:tc>
        <w:tc>
          <w:tcPr>
            <w:tcW w:w="1329" w:type="pct"/>
            <w:tcBorders>
              <w:top w:val="nil"/>
              <w:left w:val="nil"/>
              <w:bottom w:val="single" w:sz="4" w:space="0" w:color="auto"/>
              <w:right w:val="single" w:sz="4" w:space="0" w:color="auto"/>
            </w:tcBorders>
            <w:vAlign w:val="bottom"/>
            <w:hideMark/>
          </w:tcPr>
          <w:p w14:paraId="67F7D8B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101,91%</w:t>
            </w:r>
          </w:p>
        </w:tc>
        <w:tc>
          <w:tcPr>
            <w:tcW w:w="1483" w:type="pct"/>
            <w:tcBorders>
              <w:top w:val="nil"/>
              <w:left w:val="nil"/>
              <w:bottom w:val="single" w:sz="4" w:space="0" w:color="auto"/>
              <w:right w:val="single" w:sz="4" w:space="0" w:color="auto"/>
            </w:tcBorders>
            <w:vAlign w:val="bottom"/>
            <w:hideMark/>
          </w:tcPr>
          <w:p w14:paraId="2A40C02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109,34%</w:t>
            </w:r>
          </w:p>
        </w:tc>
      </w:tr>
      <w:tr w:rsidR="004B606D" w:rsidRPr="004B606D" w14:paraId="1E426E73" w14:textId="77777777" w:rsidTr="00AD06FD">
        <w:trPr>
          <w:trHeight w:val="397"/>
        </w:trPr>
        <w:tc>
          <w:tcPr>
            <w:tcW w:w="936" w:type="pct"/>
            <w:tcBorders>
              <w:top w:val="nil"/>
              <w:left w:val="single" w:sz="4" w:space="0" w:color="auto"/>
              <w:bottom w:val="single" w:sz="4" w:space="0" w:color="auto"/>
              <w:right w:val="single" w:sz="4" w:space="0" w:color="auto"/>
            </w:tcBorders>
            <w:vAlign w:val="bottom"/>
            <w:hideMark/>
          </w:tcPr>
          <w:p w14:paraId="0128782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2016</w:t>
            </w:r>
          </w:p>
        </w:tc>
        <w:tc>
          <w:tcPr>
            <w:tcW w:w="1252" w:type="pct"/>
            <w:tcBorders>
              <w:top w:val="nil"/>
              <w:left w:val="nil"/>
              <w:bottom w:val="single" w:sz="4" w:space="0" w:color="auto"/>
              <w:right w:val="single" w:sz="4" w:space="0" w:color="auto"/>
            </w:tcBorders>
            <w:vAlign w:val="bottom"/>
            <w:hideMark/>
          </w:tcPr>
          <w:p w14:paraId="0895536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24463</w:t>
            </w:r>
          </w:p>
        </w:tc>
        <w:tc>
          <w:tcPr>
            <w:tcW w:w="1329" w:type="pct"/>
            <w:tcBorders>
              <w:top w:val="nil"/>
              <w:left w:val="nil"/>
              <w:bottom w:val="single" w:sz="4" w:space="0" w:color="auto"/>
              <w:right w:val="single" w:sz="4" w:space="0" w:color="auto"/>
            </w:tcBorders>
            <w:vAlign w:val="bottom"/>
            <w:hideMark/>
          </w:tcPr>
          <w:p w14:paraId="63AE0A0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101,90%</w:t>
            </w:r>
          </w:p>
        </w:tc>
        <w:tc>
          <w:tcPr>
            <w:tcW w:w="1483" w:type="pct"/>
            <w:tcBorders>
              <w:top w:val="nil"/>
              <w:left w:val="nil"/>
              <w:bottom w:val="single" w:sz="4" w:space="0" w:color="auto"/>
              <w:right w:val="single" w:sz="4" w:space="0" w:color="auto"/>
            </w:tcBorders>
            <w:vAlign w:val="bottom"/>
            <w:hideMark/>
          </w:tcPr>
          <w:p w14:paraId="26C2E7C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111,42%</w:t>
            </w:r>
          </w:p>
        </w:tc>
      </w:tr>
      <w:tr w:rsidR="004B606D" w:rsidRPr="004B606D" w14:paraId="6EBFC110"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7593EB3F"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2017</w:t>
            </w:r>
          </w:p>
        </w:tc>
        <w:tc>
          <w:tcPr>
            <w:tcW w:w="1252" w:type="pct"/>
            <w:tcBorders>
              <w:top w:val="single" w:sz="4" w:space="0" w:color="auto"/>
              <w:left w:val="nil"/>
              <w:bottom w:val="single" w:sz="4" w:space="0" w:color="auto"/>
              <w:right w:val="single" w:sz="4" w:space="0" w:color="auto"/>
            </w:tcBorders>
            <w:vAlign w:val="bottom"/>
            <w:hideMark/>
          </w:tcPr>
          <w:p w14:paraId="46B4B5F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25075</w:t>
            </w:r>
          </w:p>
        </w:tc>
        <w:tc>
          <w:tcPr>
            <w:tcW w:w="1329" w:type="pct"/>
            <w:tcBorders>
              <w:top w:val="single" w:sz="4" w:space="0" w:color="auto"/>
              <w:left w:val="nil"/>
              <w:bottom w:val="single" w:sz="4" w:space="0" w:color="auto"/>
              <w:right w:val="single" w:sz="4" w:space="0" w:color="auto"/>
            </w:tcBorders>
            <w:vAlign w:val="bottom"/>
            <w:hideMark/>
          </w:tcPr>
          <w:p w14:paraId="1DB4A15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102,50%</w:t>
            </w:r>
          </w:p>
        </w:tc>
        <w:tc>
          <w:tcPr>
            <w:tcW w:w="1483" w:type="pct"/>
            <w:tcBorders>
              <w:top w:val="single" w:sz="4" w:space="0" w:color="auto"/>
              <w:left w:val="nil"/>
              <w:bottom w:val="single" w:sz="4" w:space="0" w:color="auto"/>
              <w:right w:val="single" w:sz="4" w:space="0" w:color="auto"/>
            </w:tcBorders>
            <w:vAlign w:val="bottom"/>
            <w:hideMark/>
          </w:tcPr>
          <w:p w14:paraId="359D4DD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114,20%</w:t>
            </w:r>
          </w:p>
        </w:tc>
      </w:tr>
      <w:tr w:rsidR="004B606D" w:rsidRPr="004B606D" w14:paraId="75CE1D4A"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4D5E771A"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2018</w:t>
            </w:r>
          </w:p>
        </w:tc>
        <w:tc>
          <w:tcPr>
            <w:tcW w:w="1252" w:type="pct"/>
            <w:tcBorders>
              <w:top w:val="single" w:sz="4" w:space="0" w:color="auto"/>
              <w:left w:val="nil"/>
              <w:bottom w:val="single" w:sz="4" w:space="0" w:color="auto"/>
              <w:right w:val="single" w:sz="4" w:space="0" w:color="auto"/>
            </w:tcBorders>
            <w:vAlign w:val="bottom"/>
            <w:hideMark/>
          </w:tcPr>
          <w:p w14:paraId="3C0BF6B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23178</w:t>
            </w:r>
          </w:p>
        </w:tc>
        <w:tc>
          <w:tcPr>
            <w:tcW w:w="1329" w:type="pct"/>
            <w:tcBorders>
              <w:top w:val="single" w:sz="4" w:space="0" w:color="auto"/>
              <w:left w:val="nil"/>
              <w:bottom w:val="single" w:sz="4" w:space="0" w:color="auto"/>
              <w:right w:val="single" w:sz="4" w:space="0" w:color="auto"/>
            </w:tcBorders>
            <w:vAlign w:val="bottom"/>
            <w:hideMark/>
          </w:tcPr>
          <w:p w14:paraId="32039A66"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92,44%</w:t>
            </w:r>
          </w:p>
        </w:tc>
        <w:tc>
          <w:tcPr>
            <w:tcW w:w="1483" w:type="pct"/>
            <w:tcBorders>
              <w:top w:val="single" w:sz="4" w:space="0" w:color="auto"/>
              <w:left w:val="nil"/>
              <w:bottom w:val="single" w:sz="4" w:space="0" w:color="auto"/>
              <w:right w:val="single" w:sz="4" w:space="0" w:color="auto"/>
            </w:tcBorders>
            <w:vAlign w:val="bottom"/>
            <w:hideMark/>
          </w:tcPr>
          <w:p w14:paraId="4F471A70"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105,57%</w:t>
            </w:r>
          </w:p>
        </w:tc>
      </w:tr>
      <w:tr w:rsidR="004B606D" w:rsidRPr="004B606D" w14:paraId="07496823"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7F46A195"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2019</w:t>
            </w:r>
          </w:p>
        </w:tc>
        <w:tc>
          <w:tcPr>
            <w:tcW w:w="1252" w:type="pct"/>
            <w:tcBorders>
              <w:top w:val="single" w:sz="4" w:space="0" w:color="auto"/>
              <w:left w:val="nil"/>
              <w:bottom w:val="single" w:sz="4" w:space="0" w:color="auto"/>
              <w:right w:val="single" w:sz="4" w:space="0" w:color="auto"/>
            </w:tcBorders>
            <w:vAlign w:val="bottom"/>
            <w:hideMark/>
          </w:tcPr>
          <w:p w14:paraId="53B1BB27"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24281</w:t>
            </w:r>
          </w:p>
        </w:tc>
        <w:tc>
          <w:tcPr>
            <w:tcW w:w="1329" w:type="pct"/>
            <w:tcBorders>
              <w:top w:val="single" w:sz="4" w:space="0" w:color="auto"/>
              <w:left w:val="nil"/>
              <w:bottom w:val="single" w:sz="4" w:space="0" w:color="auto"/>
              <w:right w:val="single" w:sz="4" w:space="0" w:color="auto"/>
            </w:tcBorders>
            <w:vAlign w:val="bottom"/>
            <w:hideMark/>
          </w:tcPr>
          <w:p w14:paraId="6465A1E7"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104,76%</w:t>
            </w:r>
          </w:p>
        </w:tc>
        <w:tc>
          <w:tcPr>
            <w:tcW w:w="1483" w:type="pct"/>
            <w:tcBorders>
              <w:top w:val="single" w:sz="4" w:space="0" w:color="auto"/>
              <w:left w:val="nil"/>
              <w:bottom w:val="single" w:sz="4" w:space="0" w:color="auto"/>
              <w:right w:val="single" w:sz="4" w:space="0" w:color="auto"/>
            </w:tcBorders>
            <w:vAlign w:val="bottom"/>
            <w:hideMark/>
          </w:tcPr>
          <w:p w14:paraId="2A0119D9"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110,59%</w:t>
            </w:r>
          </w:p>
        </w:tc>
      </w:tr>
      <w:tr w:rsidR="004B606D" w:rsidRPr="004B606D" w14:paraId="4AB21BA6"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262CB313"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2020</w:t>
            </w:r>
          </w:p>
        </w:tc>
        <w:tc>
          <w:tcPr>
            <w:tcW w:w="1252" w:type="pct"/>
            <w:tcBorders>
              <w:top w:val="single" w:sz="4" w:space="0" w:color="auto"/>
              <w:left w:val="nil"/>
              <w:bottom w:val="single" w:sz="4" w:space="0" w:color="auto"/>
              <w:right w:val="single" w:sz="4" w:space="0" w:color="auto"/>
            </w:tcBorders>
            <w:vAlign w:val="bottom"/>
            <w:hideMark/>
          </w:tcPr>
          <w:p w14:paraId="1BDEA7C3"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24628</w:t>
            </w:r>
          </w:p>
        </w:tc>
        <w:tc>
          <w:tcPr>
            <w:tcW w:w="1329" w:type="pct"/>
            <w:tcBorders>
              <w:top w:val="single" w:sz="4" w:space="0" w:color="auto"/>
              <w:left w:val="nil"/>
              <w:bottom w:val="single" w:sz="4" w:space="0" w:color="auto"/>
              <w:right w:val="single" w:sz="4" w:space="0" w:color="auto"/>
            </w:tcBorders>
            <w:vAlign w:val="bottom"/>
            <w:hideMark/>
          </w:tcPr>
          <w:p w14:paraId="47D69EB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101,43%</w:t>
            </w:r>
          </w:p>
        </w:tc>
        <w:tc>
          <w:tcPr>
            <w:tcW w:w="1483" w:type="pct"/>
            <w:tcBorders>
              <w:top w:val="single" w:sz="4" w:space="0" w:color="auto"/>
              <w:left w:val="nil"/>
              <w:bottom w:val="single" w:sz="4" w:space="0" w:color="auto"/>
              <w:right w:val="single" w:sz="4" w:space="0" w:color="auto"/>
            </w:tcBorders>
            <w:vAlign w:val="bottom"/>
            <w:hideMark/>
          </w:tcPr>
          <w:p w14:paraId="0F94634C"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112,17%</w:t>
            </w:r>
          </w:p>
        </w:tc>
      </w:tr>
      <w:tr w:rsidR="004B606D" w:rsidRPr="004B606D" w14:paraId="1FCC7571" w14:textId="77777777" w:rsidTr="00AD06FD">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2DDB7C42"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2021</w:t>
            </w:r>
          </w:p>
        </w:tc>
        <w:tc>
          <w:tcPr>
            <w:tcW w:w="1252" w:type="pct"/>
            <w:tcBorders>
              <w:top w:val="single" w:sz="4" w:space="0" w:color="auto"/>
              <w:left w:val="nil"/>
              <w:bottom w:val="single" w:sz="4" w:space="0" w:color="auto"/>
              <w:right w:val="single" w:sz="4" w:space="0" w:color="auto"/>
            </w:tcBorders>
            <w:vAlign w:val="bottom"/>
            <w:hideMark/>
          </w:tcPr>
          <w:p w14:paraId="583AB85B"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26973</w:t>
            </w:r>
          </w:p>
        </w:tc>
        <w:tc>
          <w:tcPr>
            <w:tcW w:w="1329" w:type="pct"/>
            <w:tcBorders>
              <w:top w:val="single" w:sz="4" w:space="0" w:color="auto"/>
              <w:left w:val="nil"/>
              <w:bottom w:val="single" w:sz="4" w:space="0" w:color="auto"/>
              <w:right w:val="single" w:sz="4" w:space="0" w:color="auto"/>
            </w:tcBorders>
            <w:vAlign w:val="bottom"/>
            <w:hideMark/>
          </w:tcPr>
          <w:p w14:paraId="5FBF66BB" w14:textId="77777777" w:rsidR="004B606D" w:rsidRPr="004B606D" w:rsidRDefault="004B606D" w:rsidP="00AD06FD">
            <w:pPr>
              <w:pStyle w:val="NormalnyWeb"/>
              <w:tabs>
                <w:tab w:val="left" w:pos="284"/>
              </w:tabs>
              <w:spacing w:after="120" w:line="360" w:lineRule="auto"/>
              <w:ind w:firstLine="284"/>
              <w:jc w:val="center"/>
              <w:rPr>
                <w:rFonts w:ascii="Arial" w:hAnsi="Arial" w:cs="Arial"/>
              </w:rPr>
            </w:pPr>
            <w:r w:rsidRPr="004B606D">
              <w:rPr>
                <w:rFonts w:ascii="Arial" w:hAnsi="Arial" w:cs="Arial"/>
              </w:rPr>
              <w:t>109,52%</w:t>
            </w:r>
          </w:p>
        </w:tc>
        <w:tc>
          <w:tcPr>
            <w:tcW w:w="1483" w:type="pct"/>
            <w:tcBorders>
              <w:top w:val="single" w:sz="4" w:space="0" w:color="auto"/>
              <w:left w:val="nil"/>
              <w:bottom w:val="single" w:sz="4" w:space="0" w:color="auto"/>
              <w:right w:val="single" w:sz="4" w:space="0" w:color="auto"/>
            </w:tcBorders>
            <w:vAlign w:val="bottom"/>
            <w:hideMark/>
          </w:tcPr>
          <w:p w14:paraId="4CD4EE72" w14:textId="77777777" w:rsidR="004B606D" w:rsidRPr="004B606D" w:rsidRDefault="004B606D" w:rsidP="00AD06FD">
            <w:pPr>
              <w:pStyle w:val="NormalnyWeb"/>
              <w:tabs>
                <w:tab w:val="left" w:pos="284"/>
              </w:tabs>
              <w:spacing w:after="120" w:line="360" w:lineRule="auto"/>
              <w:ind w:firstLine="284"/>
              <w:jc w:val="center"/>
              <w:rPr>
                <w:rFonts w:ascii="Arial" w:hAnsi="Arial" w:cs="Arial"/>
                <w:b/>
              </w:rPr>
            </w:pPr>
            <w:r w:rsidRPr="004B606D">
              <w:rPr>
                <w:rFonts w:ascii="Arial" w:hAnsi="Arial" w:cs="Arial"/>
                <w:b/>
              </w:rPr>
              <w:t>122,85%</w:t>
            </w:r>
          </w:p>
        </w:tc>
      </w:tr>
      <w:tr w:rsidR="00786007" w:rsidRPr="004B606D" w14:paraId="2A5ADFF0" w14:textId="77777777" w:rsidTr="00786007">
        <w:trPr>
          <w:trHeight w:val="397"/>
        </w:trPr>
        <w:tc>
          <w:tcPr>
            <w:tcW w:w="936" w:type="pct"/>
            <w:tcBorders>
              <w:top w:val="single" w:sz="4" w:space="0" w:color="auto"/>
              <w:left w:val="single" w:sz="4" w:space="0" w:color="auto"/>
              <w:bottom w:val="single" w:sz="4" w:space="0" w:color="auto"/>
              <w:right w:val="single" w:sz="4" w:space="0" w:color="auto"/>
            </w:tcBorders>
            <w:vAlign w:val="bottom"/>
            <w:hideMark/>
          </w:tcPr>
          <w:p w14:paraId="71080A4E" w14:textId="77777777" w:rsidR="00786007" w:rsidRPr="004B606D" w:rsidRDefault="00786007" w:rsidP="00F841F4">
            <w:pPr>
              <w:pStyle w:val="NormalnyWeb"/>
              <w:tabs>
                <w:tab w:val="left" w:pos="284"/>
              </w:tabs>
              <w:spacing w:after="120" w:line="360" w:lineRule="auto"/>
              <w:ind w:firstLine="284"/>
              <w:jc w:val="center"/>
              <w:rPr>
                <w:rFonts w:ascii="Arial" w:hAnsi="Arial" w:cs="Arial"/>
              </w:rPr>
            </w:pPr>
            <w:r>
              <w:rPr>
                <w:rFonts w:ascii="Arial" w:hAnsi="Arial" w:cs="Arial"/>
              </w:rPr>
              <w:t>2022</w:t>
            </w:r>
          </w:p>
        </w:tc>
        <w:tc>
          <w:tcPr>
            <w:tcW w:w="1252" w:type="pct"/>
            <w:tcBorders>
              <w:top w:val="single" w:sz="4" w:space="0" w:color="auto"/>
              <w:left w:val="nil"/>
              <w:bottom w:val="single" w:sz="4" w:space="0" w:color="auto"/>
              <w:right w:val="single" w:sz="4" w:space="0" w:color="auto"/>
            </w:tcBorders>
            <w:vAlign w:val="bottom"/>
            <w:hideMark/>
          </w:tcPr>
          <w:p w14:paraId="5C804BCB" w14:textId="77777777" w:rsidR="00786007" w:rsidRPr="004B606D" w:rsidRDefault="00786007" w:rsidP="00F841F4">
            <w:pPr>
              <w:pStyle w:val="NormalnyWeb"/>
              <w:tabs>
                <w:tab w:val="left" w:pos="284"/>
              </w:tabs>
              <w:spacing w:after="120" w:line="360" w:lineRule="auto"/>
              <w:ind w:firstLine="284"/>
              <w:jc w:val="center"/>
              <w:rPr>
                <w:rFonts w:ascii="Arial" w:hAnsi="Arial" w:cs="Arial"/>
              </w:rPr>
            </w:pPr>
            <w:r>
              <w:rPr>
                <w:rFonts w:ascii="Arial" w:hAnsi="Arial" w:cs="Arial"/>
              </w:rPr>
              <w:t>22320</w:t>
            </w:r>
          </w:p>
        </w:tc>
        <w:tc>
          <w:tcPr>
            <w:tcW w:w="1329" w:type="pct"/>
            <w:tcBorders>
              <w:top w:val="single" w:sz="4" w:space="0" w:color="auto"/>
              <w:left w:val="nil"/>
              <w:bottom w:val="single" w:sz="4" w:space="0" w:color="auto"/>
              <w:right w:val="single" w:sz="4" w:space="0" w:color="auto"/>
            </w:tcBorders>
            <w:vAlign w:val="bottom"/>
            <w:hideMark/>
          </w:tcPr>
          <w:p w14:paraId="40E89585" w14:textId="77777777" w:rsidR="00786007" w:rsidRPr="004B606D" w:rsidRDefault="00786007" w:rsidP="00F841F4">
            <w:pPr>
              <w:pStyle w:val="NormalnyWeb"/>
              <w:tabs>
                <w:tab w:val="left" w:pos="284"/>
              </w:tabs>
              <w:spacing w:after="120" w:line="360" w:lineRule="auto"/>
              <w:ind w:firstLine="284"/>
              <w:jc w:val="center"/>
              <w:rPr>
                <w:rFonts w:ascii="Arial" w:hAnsi="Arial" w:cs="Arial"/>
              </w:rPr>
            </w:pPr>
            <w:r>
              <w:rPr>
                <w:rFonts w:ascii="Arial" w:hAnsi="Arial" w:cs="Arial"/>
              </w:rPr>
              <w:t>82,75%</w:t>
            </w:r>
          </w:p>
        </w:tc>
        <w:tc>
          <w:tcPr>
            <w:tcW w:w="1483" w:type="pct"/>
            <w:tcBorders>
              <w:top w:val="single" w:sz="4" w:space="0" w:color="auto"/>
              <w:left w:val="nil"/>
              <w:bottom w:val="single" w:sz="4" w:space="0" w:color="auto"/>
              <w:right w:val="single" w:sz="4" w:space="0" w:color="auto"/>
            </w:tcBorders>
            <w:vAlign w:val="bottom"/>
            <w:hideMark/>
          </w:tcPr>
          <w:p w14:paraId="35BCE2F0" w14:textId="77777777" w:rsidR="00786007" w:rsidRPr="004B606D" w:rsidRDefault="00786007" w:rsidP="00F841F4">
            <w:pPr>
              <w:pStyle w:val="NormalnyWeb"/>
              <w:tabs>
                <w:tab w:val="left" w:pos="284"/>
              </w:tabs>
              <w:spacing w:after="120" w:line="360" w:lineRule="auto"/>
              <w:ind w:firstLine="284"/>
              <w:jc w:val="center"/>
              <w:rPr>
                <w:rFonts w:ascii="Arial" w:hAnsi="Arial" w:cs="Arial"/>
                <w:b/>
              </w:rPr>
            </w:pPr>
            <w:r>
              <w:rPr>
                <w:rFonts w:ascii="Arial" w:hAnsi="Arial" w:cs="Arial"/>
                <w:b/>
              </w:rPr>
              <w:t>101,66%</w:t>
            </w:r>
          </w:p>
        </w:tc>
      </w:tr>
    </w:tbl>
    <w:p w14:paraId="01C2245B" w14:textId="7F431AC1" w:rsidR="004B606D" w:rsidRPr="004B606D" w:rsidRDefault="004B606D" w:rsidP="004B606D">
      <w:pPr>
        <w:pStyle w:val="NormalnyWeb"/>
        <w:tabs>
          <w:tab w:val="left" w:pos="284"/>
        </w:tabs>
        <w:spacing w:beforeAutospacing="0" w:after="120" w:afterAutospacing="0" w:line="360" w:lineRule="auto"/>
        <w:ind w:firstLine="284"/>
        <w:jc w:val="both"/>
        <w:rPr>
          <w:rFonts w:ascii="Arial" w:hAnsi="Arial" w:cs="Arial"/>
        </w:rPr>
      </w:pPr>
    </w:p>
    <w:p w14:paraId="74DBD25F" w14:textId="3FE4ADD6" w:rsidR="002C2375" w:rsidRPr="004B606D" w:rsidRDefault="003225E4" w:rsidP="003225E4">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P</w:t>
      </w:r>
      <w:r w:rsidR="004B606D" w:rsidRPr="004B606D">
        <w:rPr>
          <w:rFonts w:ascii="Arial" w:hAnsi="Arial" w:cs="Arial"/>
        </w:rPr>
        <w:t xml:space="preserve">orównanie sprzedaży środków ochrony roślin w 2021 </w:t>
      </w:r>
      <w:r w:rsidR="00A842FD">
        <w:rPr>
          <w:rFonts w:ascii="Arial" w:hAnsi="Arial" w:cs="Arial"/>
        </w:rPr>
        <w:t xml:space="preserve">r. </w:t>
      </w:r>
      <w:r w:rsidR="004B606D" w:rsidRPr="004B606D">
        <w:rPr>
          <w:rFonts w:ascii="Arial" w:hAnsi="Arial" w:cs="Arial"/>
        </w:rPr>
        <w:t>do średniej ze sprzedaży z lat 2015-2017 (okres bazowy dla strategii Od pola do stołu)</w:t>
      </w:r>
      <w:r w:rsidR="00C241BA">
        <w:rPr>
          <w:rFonts w:ascii="Arial" w:hAnsi="Arial" w:cs="Arial"/>
        </w:rPr>
        <w:t xml:space="preserve"> przedstawia kolejna </w:t>
      </w:r>
      <w:r w:rsidR="00FE3D95">
        <w:rPr>
          <w:rFonts w:ascii="Arial" w:hAnsi="Arial" w:cs="Arial"/>
        </w:rPr>
        <w:t>tabela</w:t>
      </w:r>
      <w:r w:rsidR="004B606D" w:rsidRPr="004B606D">
        <w:rPr>
          <w:rFonts w:ascii="Arial" w:hAnsi="Arial" w:cs="Arial"/>
        </w:rPr>
        <w:t>. Sprzedaż substancji czynnych w 2021</w:t>
      </w:r>
      <w:r w:rsidR="00FE3D95">
        <w:rPr>
          <w:rFonts w:ascii="Arial" w:hAnsi="Arial" w:cs="Arial"/>
        </w:rPr>
        <w:t xml:space="preserve"> r.</w:t>
      </w:r>
      <w:r w:rsidR="004B606D" w:rsidRPr="004B606D">
        <w:rPr>
          <w:rFonts w:ascii="Arial" w:hAnsi="Arial" w:cs="Arial"/>
        </w:rPr>
        <w:t xml:space="preserve"> była na poziomie o około 10% wyższym od wartości średniej z lat 2015-2017</w:t>
      </w:r>
      <w:r w:rsidR="006224F7">
        <w:rPr>
          <w:rFonts w:ascii="Arial" w:hAnsi="Arial" w:cs="Arial"/>
        </w:rPr>
        <w:t>, natom</w:t>
      </w:r>
      <w:r w:rsidR="00331CC5">
        <w:rPr>
          <w:rFonts w:ascii="Arial" w:hAnsi="Arial" w:cs="Arial"/>
        </w:rPr>
        <w:t xml:space="preserve">iast </w:t>
      </w:r>
      <w:r w:rsidR="001C01C5" w:rsidRPr="001C01C5">
        <w:rPr>
          <w:rFonts w:ascii="Arial" w:hAnsi="Arial" w:cs="Arial"/>
        </w:rPr>
        <w:t>w</w:t>
      </w:r>
      <w:r w:rsidR="00594F65">
        <w:rPr>
          <w:rFonts w:ascii="Arial" w:hAnsi="Arial" w:cs="Arial"/>
        </w:rPr>
        <w:t> </w:t>
      </w:r>
      <w:r w:rsidR="001C01C5" w:rsidRPr="001C01C5">
        <w:rPr>
          <w:rFonts w:ascii="Arial" w:hAnsi="Arial" w:cs="Arial"/>
        </w:rPr>
        <w:t>2022 r. była na poziomie o około 9% niższym od wartości średniej z lat 2015-2017.</w:t>
      </w:r>
    </w:p>
    <w:tbl>
      <w:tblPr>
        <w:tblW w:w="3625" w:type="pct"/>
        <w:jc w:val="center"/>
        <w:tblCellMar>
          <w:left w:w="70" w:type="dxa"/>
          <w:right w:w="70" w:type="dxa"/>
        </w:tblCellMar>
        <w:tblLook w:val="04A0" w:firstRow="1" w:lastRow="0" w:firstColumn="1" w:lastColumn="0" w:noHBand="0" w:noVBand="1"/>
      </w:tblPr>
      <w:tblGrid>
        <w:gridCol w:w="1712"/>
        <w:gridCol w:w="2292"/>
        <w:gridCol w:w="2566"/>
      </w:tblGrid>
      <w:tr w:rsidR="004B606D" w:rsidRPr="004B606D" w14:paraId="38BE7429" w14:textId="77777777" w:rsidTr="000570C1">
        <w:trPr>
          <w:trHeight w:val="722"/>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B45EE78" w14:textId="77777777" w:rsidR="004B606D" w:rsidRPr="00101AE1" w:rsidRDefault="004B606D" w:rsidP="00FE3D95">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lastRenderedPageBreak/>
              <w:t>Rok</w:t>
            </w:r>
          </w:p>
        </w:tc>
        <w:tc>
          <w:tcPr>
            <w:tcW w:w="1744" w:type="pct"/>
            <w:tcBorders>
              <w:top w:val="single" w:sz="4" w:space="0" w:color="auto"/>
              <w:left w:val="nil"/>
              <w:bottom w:val="single" w:sz="4" w:space="0" w:color="auto"/>
              <w:right w:val="single" w:sz="4" w:space="0" w:color="auto"/>
            </w:tcBorders>
            <w:vAlign w:val="center"/>
            <w:hideMark/>
          </w:tcPr>
          <w:p w14:paraId="54DA5A6B" w14:textId="77777777" w:rsidR="004B606D" w:rsidRPr="00101AE1" w:rsidRDefault="004B606D" w:rsidP="00FE3D95">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t>Sprzedaż substancji czynnych w [t]</w:t>
            </w:r>
          </w:p>
        </w:tc>
        <w:tc>
          <w:tcPr>
            <w:tcW w:w="1954" w:type="pct"/>
            <w:tcBorders>
              <w:top w:val="single" w:sz="4" w:space="0" w:color="auto"/>
              <w:left w:val="nil"/>
              <w:bottom w:val="single" w:sz="4" w:space="0" w:color="auto"/>
              <w:right w:val="single" w:sz="4" w:space="0" w:color="auto"/>
            </w:tcBorders>
            <w:vAlign w:val="center"/>
            <w:hideMark/>
          </w:tcPr>
          <w:p w14:paraId="57CB9921" w14:textId="77777777" w:rsidR="004B606D" w:rsidRPr="00101AE1" w:rsidRDefault="004B606D" w:rsidP="00FE3D95">
            <w:pPr>
              <w:pStyle w:val="NormalnyWeb"/>
              <w:tabs>
                <w:tab w:val="left" w:pos="284"/>
              </w:tabs>
              <w:spacing w:after="120" w:line="360" w:lineRule="auto"/>
              <w:ind w:firstLine="284"/>
              <w:jc w:val="center"/>
              <w:rPr>
                <w:rFonts w:ascii="Arial" w:hAnsi="Arial" w:cs="Arial"/>
                <w:b/>
                <w:bCs/>
              </w:rPr>
            </w:pPr>
            <w:r w:rsidRPr="00101AE1">
              <w:rPr>
                <w:rFonts w:ascii="Arial" w:hAnsi="Arial" w:cs="Arial"/>
                <w:b/>
                <w:bCs/>
              </w:rPr>
              <w:t>Sprzedaż w odniesieniu do średniej z lat 2015-2017</w:t>
            </w:r>
          </w:p>
        </w:tc>
      </w:tr>
      <w:tr w:rsidR="004B606D" w:rsidRPr="004B606D" w14:paraId="1F5294ED" w14:textId="77777777" w:rsidTr="000570C1">
        <w:trPr>
          <w:trHeight w:val="427"/>
          <w:jc w:val="center"/>
        </w:trPr>
        <w:tc>
          <w:tcPr>
            <w:tcW w:w="1303" w:type="pct"/>
            <w:tcBorders>
              <w:top w:val="nil"/>
              <w:left w:val="single" w:sz="4" w:space="0" w:color="auto"/>
              <w:bottom w:val="single" w:sz="4" w:space="0" w:color="auto"/>
              <w:right w:val="single" w:sz="4" w:space="0" w:color="auto"/>
            </w:tcBorders>
            <w:vAlign w:val="center"/>
            <w:hideMark/>
          </w:tcPr>
          <w:p w14:paraId="7D7B1551" w14:textId="20EF7B59" w:rsidR="004B606D" w:rsidRPr="004B606D" w:rsidRDefault="00455E98" w:rsidP="00FE3D95">
            <w:pPr>
              <w:pStyle w:val="NormalnyWeb"/>
              <w:tabs>
                <w:tab w:val="left" w:pos="284"/>
              </w:tabs>
              <w:spacing w:after="120" w:line="360" w:lineRule="auto"/>
              <w:ind w:firstLine="284"/>
              <w:jc w:val="center"/>
              <w:rPr>
                <w:rFonts w:ascii="Arial" w:hAnsi="Arial" w:cs="Arial"/>
              </w:rPr>
            </w:pPr>
            <w:r>
              <w:rPr>
                <w:rFonts w:ascii="Arial" w:hAnsi="Arial" w:cs="Arial"/>
              </w:rPr>
              <w:t>ś</w:t>
            </w:r>
            <w:r w:rsidR="00594F65">
              <w:rPr>
                <w:rFonts w:ascii="Arial" w:hAnsi="Arial" w:cs="Arial"/>
              </w:rPr>
              <w:t>r</w:t>
            </w:r>
            <w:r w:rsidR="004B606D" w:rsidRPr="004B606D">
              <w:rPr>
                <w:rFonts w:ascii="Arial" w:hAnsi="Arial" w:cs="Arial"/>
              </w:rPr>
              <w:t>ednia z lat 2015-2017</w:t>
            </w:r>
          </w:p>
        </w:tc>
        <w:tc>
          <w:tcPr>
            <w:tcW w:w="1744" w:type="pct"/>
            <w:tcBorders>
              <w:top w:val="nil"/>
              <w:left w:val="nil"/>
              <w:bottom w:val="single" w:sz="4" w:space="0" w:color="auto"/>
              <w:right w:val="single" w:sz="4" w:space="0" w:color="auto"/>
            </w:tcBorders>
            <w:vAlign w:val="center"/>
            <w:hideMark/>
          </w:tcPr>
          <w:p w14:paraId="75EDCF1D"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24515</w:t>
            </w:r>
          </w:p>
        </w:tc>
        <w:tc>
          <w:tcPr>
            <w:tcW w:w="1954" w:type="pct"/>
            <w:tcBorders>
              <w:top w:val="nil"/>
              <w:left w:val="nil"/>
              <w:bottom w:val="single" w:sz="4" w:space="0" w:color="auto"/>
              <w:right w:val="single" w:sz="4" w:space="0" w:color="auto"/>
            </w:tcBorders>
            <w:vAlign w:val="center"/>
            <w:hideMark/>
          </w:tcPr>
          <w:p w14:paraId="3F2F942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w:t>
            </w:r>
          </w:p>
        </w:tc>
      </w:tr>
      <w:tr w:rsidR="004B606D" w:rsidRPr="004B606D" w14:paraId="71D33BDD" w14:textId="77777777" w:rsidTr="000570C1">
        <w:trPr>
          <w:trHeight w:val="42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3E2800E5"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2018</w:t>
            </w:r>
          </w:p>
        </w:tc>
        <w:tc>
          <w:tcPr>
            <w:tcW w:w="1744" w:type="pct"/>
            <w:tcBorders>
              <w:top w:val="single" w:sz="4" w:space="0" w:color="auto"/>
              <w:left w:val="nil"/>
              <w:bottom w:val="single" w:sz="4" w:space="0" w:color="auto"/>
              <w:right w:val="single" w:sz="4" w:space="0" w:color="auto"/>
            </w:tcBorders>
            <w:vAlign w:val="center"/>
            <w:hideMark/>
          </w:tcPr>
          <w:p w14:paraId="1FB71EE5"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23178</w:t>
            </w:r>
          </w:p>
        </w:tc>
        <w:tc>
          <w:tcPr>
            <w:tcW w:w="1954" w:type="pct"/>
            <w:tcBorders>
              <w:top w:val="single" w:sz="4" w:space="0" w:color="auto"/>
              <w:left w:val="nil"/>
              <w:bottom w:val="single" w:sz="4" w:space="0" w:color="auto"/>
              <w:right w:val="single" w:sz="4" w:space="0" w:color="auto"/>
            </w:tcBorders>
            <w:vAlign w:val="center"/>
            <w:hideMark/>
          </w:tcPr>
          <w:p w14:paraId="4F28F887"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94,55%</w:t>
            </w:r>
          </w:p>
        </w:tc>
      </w:tr>
      <w:tr w:rsidR="004B606D" w:rsidRPr="004B606D" w14:paraId="4C3FF6C9" w14:textId="77777777" w:rsidTr="000570C1">
        <w:trPr>
          <w:trHeight w:val="42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FAC91E8"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2019</w:t>
            </w:r>
          </w:p>
        </w:tc>
        <w:tc>
          <w:tcPr>
            <w:tcW w:w="1744" w:type="pct"/>
            <w:tcBorders>
              <w:top w:val="single" w:sz="4" w:space="0" w:color="auto"/>
              <w:left w:val="nil"/>
              <w:bottom w:val="single" w:sz="4" w:space="0" w:color="auto"/>
              <w:right w:val="single" w:sz="4" w:space="0" w:color="auto"/>
            </w:tcBorders>
            <w:vAlign w:val="center"/>
            <w:hideMark/>
          </w:tcPr>
          <w:p w14:paraId="2A665E9A"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24281</w:t>
            </w:r>
          </w:p>
        </w:tc>
        <w:tc>
          <w:tcPr>
            <w:tcW w:w="1954" w:type="pct"/>
            <w:tcBorders>
              <w:top w:val="single" w:sz="4" w:space="0" w:color="auto"/>
              <w:left w:val="nil"/>
              <w:bottom w:val="single" w:sz="4" w:space="0" w:color="auto"/>
              <w:right w:val="single" w:sz="4" w:space="0" w:color="auto"/>
            </w:tcBorders>
            <w:vAlign w:val="center"/>
            <w:hideMark/>
          </w:tcPr>
          <w:p w14:paraId="3448144F"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99,04%</w:t>
            </w:r>
          </w:p>
        </w:tc>
      </w:tr>
      <w:tr w:rsidR="004B606D" w:rsidRPr="004B606D" w14:paraId="2907B695" w14:textId="77777777" w:rsidTr="000570C1">
        <w:trPr>
          <w:trHeight w:val="42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4CEB5FED"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2020</w:t>
            </w:r>
          </w:p>
        </w:tc>
        <w:tc>
          <w:tcPr>
            <w:tcW w:w="1744" w:type="pct"/>
            <w:tcBorders>
              <w:top w:val="single" w:sz="4" w:space="0" w:color="auto"/>
              <w:left w:val="nil"/>
              <w:bottom w:val="single" w:sz="4" w:space="0" w:color="auto"/>
              <w:right w:val="single" w:sz="4" w:space="0" w:color="auto"/>
            </w:tcBorders>
            <w:vAlign w:val="center"/>
            <w:hideMark/>
          </w:tcPr>
          <w:p w14:paraId="7CCBD7F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24628</w:t>
            </w:r>
          </w:p>
        </w:tc>
        <w:tc>
          <w:tcPr>
            <w:tcW w:w="1954" w:type="pct"/>
            <w:tcBorders>
              <w:top w:val="single" w:sz="4" w:space="0" w:color="auto"/>
              <w:left w:val="nil"/>
              <w:bottom w:val="single" w:sz="4" w:space="0" w:color="auto"/>
              <w:right w:val="single" w:sz="4" w:space="0" w:color="auto"/>
            </w:tcBorders>
            <w:vAlign w:val="center"/>
            <w:hideMark/>
          </w:tcPr>
          <w:p w14:paraId="33283861"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100,46%</w:t>
            </w:r>
          </w:p>
        </w:tc>
      </w:tr>
      <w:tr w:rsidR="004B606D" w:rsidRPr="004B606D" w14:paraId="7AB69BE2" w14:textId="77777777" w:rsidTr="000570C1">
        <w:trPr>
          <w:trHeight w:val="42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27F447B3"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2021</w:t>
            </w:r>
          </w:p>
        </w:tc>
        <w:tc>
          <w:tcPr>
            <w:tcW w:w="1744" w:type="pct"/>
            <w:tcBorders>
              <w:top w:val="single" w:sz="4" w:space="0" w:color="auto"/>
              <w:left w:val="nil"/>
              <w:bottom w:val="single" w:sz="4" w:space="0" w:color="auto"/>
              <w:right w:val="single" w:sz="4" w:space="0" w:color="auto"/>
            </w:tcBorders>
            <w:vAlign w:val="center"/>
            <w:hideMark/>
          </w:tcPr>
          <w:p w14:paraId="616F6223" w14:textId="77777777" w:rsidR="004B606D" w:rsidRPr="004B606D" w:rsidRDefault="004B606D" w:rsidP="00FE3D95">
            <w:pPr>
              <w:pStyle w:val="NormalnyWeb"/>
              <w:tabs>
                <w:tab w:val="left" w:pos="284"/>
              </w:tabs>
              <w:spacing w:after="120" w:line="360" w:lineRule="auto"/>
              <w:ind w:firstLine="284"/>
              <w:jc w:val="center"/>
              <w:rPr>
                <w:rFonts w:ascii="Arial" w:hAnsi="Arial" w:cs="Arial"/>
              </w:rPr>
            </w:pPr>
            <w:r w:rsidRPr="004B606D">
              <w:rPr>
                <w:rFonts w:ascii="Arial" w:hAnsi="Arial" w:cs="Arial"/>
              </w:rPr>
              <w:t>26973</w:t>
            </w:r>
          </w:p>
        </w:tc>
        <w:tc>
          <w:tcPr>
            <w:tcW w:w="1954" w:type="pct"/>
            <w:tcBorders>
              <w:top w:val="single" w:sz="4" w:space="0" w:color="auto"/>
              <w:left w:val="nil"/>
              <w:bottom w:val="single" w:sz="4" w:space="0" w:color="auto"/>
              <w:right w:val="single" w:sz="4" w:space="0" w:color="auto"/>
            </w:tcBorders>
            <w:vAlign w:val="center"/>
            <w:hideMark/>
          </w:tcPr>
          <w:p w14:paraId="0914B6D4" w14:textId="77777777" w:rsidR="004B606D" w:rsidRPr="004B606D" w:rsidRDefault="004B606D" w:rsidP="00FE3D95">
            <w:pPr>
              <w:pStyle w:val="NormalnyWeb"/>
              <w:tabs>
                <w:tab w:val="left" w:pos="284"/>
              </w:tabs>
              <w:spacing w:after="120" w:line="360" w:lineRule="auto"/>
              <w:ind w:firstLine="284"/>
              <w:jc w:val="center"/>
              <w:rPr>
                <w:rFonts w:ascii="Arial" w:hAnsi="Arial" w:cs="Arial"/>
                <w:b/>
              </w:rPr>
            </w:pPr>
            <w:r w:rsidRPr="004B606D">
              <w:rPr>
                <w:rFonts w:ascii="Arial" w:hAnsi="Arial" w:cs="Arial"/>
                <w:b/>
              </w:rPr>
              <w:t>110,03%</w:t>
            </w:r>
          </w:p>
        </w:tc>
      </w:tr>
      <w:tr w:rsidR="00594F65" w:rsidRPr="004B606D" w14:paraId="17D12D16" w14:textId="77777777" w:rsidTr="000570C1">
        <w:trPr>
          <w:trHeight w:val="427"/>
          <w:jc w:val="center"/>
        </w:trPr>
        <w:tc>
          <w:tcPr>
            <w:tcW w:w="1303" w:type="pct"/>
            <w:tcBorders>
              <w:top w:val="single" w:sz="4" w:space="0" w:color="auto"/>
              <w:left w:val="single" w:sz="4" w:space="0" w:color="auto"/>
              <w:bottom w:val="single" w:sz="4" w:space="0" w:color="auto"/>
              <w:right w:val="single" w:sz="4" w:space="0" w:color="auto"/>
            </w:tcBorders>
            <w:vAlign w:val="center"/>
            <w:hideMark/>
          </w:tcPr>
          <w:p w14:paraId="64217284" w14:textId="77777777" w:rsidR="00594F65" w:rsidRPr="004B606D" w:rsidRDefault="00594F65" w:rsidP="00F841F4">
            <w:pPr>
              <w:pStyle w:val="NormalnyWeb"/>
              <w:tabs>
                <w:tab w:val="left" w:pos="284"/>
              </w:tabs>
              <w:spacing w:after="120" w:line="360" w:lineRule="auto"/>
              <w:ind w:firstLine="284"/>
              <w:jc w:val="center"/>
              <w:rPr>
                <w:rFonts w:ascii="Arial" w:hAnsi="Arial" w:cs="Arial"/>
              </w:rPr>
            </w:pPr>
            <w:r>
              <w:rPr>
                <w:rFonts w:ascii="Arial" w:hAnsi="Arial" w:cs="Arial"/>
              </w:rPr>
              <w:t>2022</w:t>
            </w:r>
          </w:p>
        </w:tc>
        <w:tc>
          <w:tcPr>
            <w:tcW w:w="1744" w:type="pct"/>
            <w:tcBorders>
              <w:top w:val="single" w:sz="4" w:space="0" w:color="auto"/>
              <w:left w:val="nil"/>
              <w:bottom w:val="single" w:sz="4" w:space="0" w:color="auto"/>
              <w:right w:val="single" w:sz="4" w:space="0" w:color="auto"/>
            </w:tcBorders>
            <w:vAlign w:val="center"/>
            <w:hideMark/>
          </w:tcPr>
          <w:p w14:paraId="723326B0" w14:textId="77777777" w:rsidR="00594F65" w:rsidRPr="004B606D" w:rsidRDefault="00594F65" w:rsidP="00F841F4">
            <w:pPr>
              <w:pStyle w:val="NormalnyWeb"/>
              <w:tabs>
                <w:tab w:val="left" w:pos="284"/>
              </w:tabs>
              <w:spacing w:after="120" w:line="360" w:lineRule="auto"/>
              <w:ind w:firstLine="284"/>
              <w:jc w:val="center"/>
              <w:rPr>
                <w:rFonts w:ascii="Arial" w:hAnsi="Arial" w:cs="Arial"/>
              </w:rPr>
            </w:pPr>
            <w:r>
              <w:rPr>
                <w:rFonts w:ascii="Arial" w:hAnsi="Arial" w:cs="Arial"/>
              </w:rPr>
              <w:t>22320</w:t>
            </w:r>
          </w:p>
        </w:tc>
        <w:tc>
          <w:tcPr>
            <w:tcW w:w="1954" w:type="pct"/>
            <w:tcBorders>
              <w:top w:val="single" w:sz="4" w:space="0" w:color="auto"/>
              <w:left w:val="nil"/>
              <w:bottom w:val="single" w:sz="4" w:space="0" w:color="auto"/>
              <w:right w:val="single" w:sz="4" w:space="0" w:color="auto"/>
            </w:tcBorders>
            <w:vAlign w:val="center"/>
            <w:hideMark/>
          </w:tcPr>
          <w:p w14:paraId="2F602DFE" w14:textId="77777777" w:rsidR="00594F65" w:rsidRPr="004B606D" w:rsidRDefault="00594F65" w:rsidP="00F841F4">
            <w:pPr>
              <w:pStyle w:val="NormalnyWeb"/>
              <w:tabs>
                <w:tab w:val="left" w:pos="284"/>
              </w:tabs>
              <w:spacing w:after="120" w:line="360" w:lineRule="auto"/>
              <w:ind w:firstLine="284"/>
              <w:jc w:val="center"/>
              <w:rPr>
                <w:rFonts w:ascii="Arial" w:hAnsi="Arial" w:cs="Arial"/>
                <w:b/>
              </w:rPr>
            </w:pPr>
            <w:r>
              <w:rPr>
                <w:rFonts w:ascii="Arial" w:hAnsi="Arial" w:cs="Arial"/>
                <w:b/>
              </w:rPr>
              <w:t>91,05%</w:t>
            </w:r>
          </w:p>
        </w:tc>
      </w:tr>
    </w:tbl>
    <w:p w14:paraId="03B1A62F" w14:textId="62B0ABFC" w:rsidR="002918E0" w:rsidRDefault="002918E0">
      <w:pPr>
        <w:spacing w:after="0" w:line="240" w:lineRule="auto"/>
        <w:rPr>
          <w:rFonts w:ascii="Arial" w:eastAsia="Times New Roman" w:hAnsi="Arial" w:cs="Arial"/>
          <w:sz w:val="20"/>
          <w:szCs w:val="20"/>
          <w:lang w:eastAsia="pl-PL"/>
        </w:rPr>
      </w:pPr>
    </w:p>
    <w:p w14:paraId="05A3CDF0" w14:textId="77777777" w:rsidR="0011487A" w:rsidRDefault="0011487A" w:rsidP="00786295">
      <w:pPr>
        <w:pStyle w:val="NormalnyWeb"/>
        <w:tabs>
          <w:tab w:val="left" w:pos="284"/>
        </w:tabs>
        <w:spacing w:beforeAutospacing="0" w:after="120" w:afterAutospacing="0" w:line="360" w:lineRule="auto"/>
        <w:ind w:firstLine="284"/>
        <w:jc w:val="both"/>
        <w:rPr>
          <w:rFonts w:ascii="Arial" w:hAnsi="Arial" w:cs="Arial"/>
        </w:rPr>
      </w:pPr>
    </w:p>
    <w:p w14:paraId="5707AAB5" w14:textId="6D325FD6" w:rsidR="0045242F" w:rsidRDefault="0045242F" w:rsidP="0045242F">
      <w:pPr>
        <w:widowControl w:val="0"/>
        <w:tabs>
          <w:tab w:val="left" w:pos="284"/>
        </w:tabs>
        <w:spacing w:before="280" w:after="120" w:line="360" w:lineRule="auto"/>
        <w:jc w:val="both"/>
        <w:rPr>
          <w:rFonts w:ascii="Arial" w:eastAsia="Times New Roman" w:hAnsi="Arial" w:cs="Arial"/>
          <w:b/>
          <w:sz w:val="20"/>
          <w:szCs w:val="20"/>
          <w:lang w:eastAsia="pl-PL"/>
        </w:rPr>
      </w:pPr>
      <w:r w:rsidRPr="00786295">
        <w:rPr>
          <w:rFonts w:ascii="Arial" w:eastAsia="Times New Roman" w:hAnsi="Arial" w:cs="Arial"/>
          <w:b/>
          <w:sz w:val="20"/>
          <w:szCs w:val="20"/>
          <w:lang w:eastAsia="pl-PL"/>
        </w:rPr>
        <w:t>Wykres</w:t>
      </w:r>
      <w:r>
        <w:rPr>
          <w:rFonts w:ascii="Arial" w:eastAsia="Times New Roman" w:hAnsi="Arial" w:cs="Arial"/>
          <w:b/>
          <w:sz w:val="20"/>
          <w:szCs w:val="20"/>
          <w:lang w:eastAsia="pl-PL"/>
        </w:rPr>
        <w:t xml:space="preserve"> 4</w:t>
      </w:r>
      <w:r w:rsidRPr="00786295">
        <w:rPr>
          <w:rFonts w:ascii="Arial" w:eastAsia="Times New Roman" w:hAnsi="Arial" w:cs="Arial"/>
          <w:b/>
          <w:sz w:val="20"/>
          <w:szCs w:val="20"/>
          <w:lang w:eastAsia="pl-PL"/>
        </w:rPr>
        <w:t xml:space="preserve"> – Sprzedaż substancji czynnych środków ochrony roślin [w tonach] wraz z linią trendu </w:t>
      </w:r>
    </w:p>
    <w:p w14:paraId="5C2CD465" w14:textId="77777777" w:rsidR="0045242F" w:rsidRPr="00786295" w:rsidRDefault="0045242F" w:rsidP="0045242F">
      <w:pPr>
        <w:widowControl w:val="0"/>
        <w:tabs>
          <w:tab w:val="left" w:pos="284"/>
        </w:tabs>
        <w:spacing w:before="280" w:after="120" w:line="360" w:lineRule="auto"/>
        <w:jc w:val="both"/>
        <w:rPr>
          <w:rFonts w:ascii="Arial" w:eastAsia="Times New Roman" w:hAnsi="Arial" w:cs="Arial"/>
          <w:b/>
          <w:sz w:val="20"/>
          <w:szCs w:val="20"/>
          <w:lang w:eastAsia="pl-PL"/>
        </w:rPr>
      </w:pPr>
      <w:r w:rsidRPr="00043653">
        <w:rPr>
          <w:rFonts w:ascii="Arial" w:hAnsi="Arial" w:cs="Arial"/>
          <w:noProof/>
          <w:sz w:val="16"/>
          <w:highlight w:val="yellow"/>
          <w:lang w:eastAsia="pl-PL"/>
        </w:rPr>
        <w:drawing>
          <wp:inline distT="0" distB="0" distL="0" distR="0" wp14:anchorId="3EDCFD16" wp14:editId="40E5DC2B">
            <wp:extent cx="5804453" cy="3061252"/>
            <wp:effectExtent l="0" t="0" r="6350" b="6350"/>
            <wp:docPr id="82661016" name="Wykres 82661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A38182" w14:textId="2097B422" w:rsidR="00A16004" w:rsidRDefault="00A16004" w:rsidP="00A16004">
      <w:pPr>
        <w:widowControl w:val="0"/>
        <w:tabs>
          <w:tab w:val="left" w:pos="284"/>
        </w:tabs>
        <w:spacing w:after="120" w:line="360" w:lineRule="auto"/>
        <w:ind w:firstLine="284"/>
        <w:jc w:val="both"/>
        <w:rPr>
          <w:rFonts w:ascii="Arial" w:eastAsia="Times New Roman" w:hAnsi="Arial" w:cs="Arial"/>
          <w:sz w:val="20"/>
          <w:szCs w:val="20"/>
          <w:lang w:eastAsia="pl-PL"/>
        </w:rPr>
      </w:pPr>
      <w:r w:rsidRPr="00A16004">
        <w:rPr>
          <w:rFonts w:ascii="Arial" w:eastAsia="Times New Roman" w:hAnsi="Arial" w:cs="Arial"/>
          <w:sz w:val="20"/>
          <w:szCs w:val="20"/>
          <w:lang w:eastAsia="pl-PL"/>
        </w:rPr>
        <w:t>Dokładna analiza danych w 2018</w:t>
      </w:r>
      <w:r w:rsidR="00E854EB">
        <w:rPr>
          <w:rFonts w:ascii="Arial" w:eastAsia="Times New Roman" w:hAnsi="Arial" w:cs="Arial"/>
          <w:sz w:val="20"/>
          <w:szCs w:val="20"/>
          <w:lang w:eastAsia="pl-PL"/>
        </w:rPr>
        <w:t> </w:t>
      </w:r>
      <w:r w:rsidRPr="00A16004">
        <w:rPr>
          <w:rFonts w:ascii="Arial" w:eastAsia="Times New Roman" w:hAnsi="Arial" w:cs="Arial"/>
          <w:sz w:val="20"/>
          <w:szCs w:val="20"/>
          <w:lang w:eastAsia="pl-PL"/>
        </w:rPr>
        <w:t>r. wskazała na znaczny spadek sprzedaży herbicydów fosforoorganicznych (o 29%) oraz regulatorów wzrostu roślin (o 25%), o 15% wzrosła natomiast sprzedaż fungicydów. W 2019 r. nastąpił wzrost sprzedaży środków owadobójczych o 55%. W 2020</w:t>
      </w:r>
      <w:r>
        <w:rPr>
          <w:rFonts w:ascii="Arial" w:eastAsia="Times New Roman" w:hAnsi="Arial" w:cs="Arial"/>
          <w:sz w:val="20"/>
          <w:szCs w:val="20"/>
          <w:lang w:eastAsia="pl-PL"/>
        </w:rPr>
        <w:t xml:space="preserve"> r</w:t>
      </w:r>
      <w:r w:rsidRPr="00A16004">
        <w:rPr>
          <w:rFonts w:ascii="Arial" w:eastAsia="Times New Roman" w:hAnsi="Arial" w:cs="Arial"/>
          <w:sz w:val="20"/>
          <w:szCs w:val="20"/>
          <w:lang w:eastAsia="pl-PL"/>
        </w:rPr>
        <w:t xml:space="preserve"> wzrosła sprzedaży fungicydów i herbicydów, a spadła sprzedaż insektycydów i regulatorów wzrostu roślin. </w:t>
      </w:r>
      <w:r w:rsidR="00780291" w:rsidRPr="00780291">
        <w:rPr>
          <w:rFonts w:ascii="Arial" w:eastAsia="Times New Roman" w:hAnsi="Arial" w:cs="Arial"/>
          <w:sz w:val="20"/>
          <w:szCs w:val="20"/>
          <w:lang w:eastAsia="pl-PL"/>
        </w:rPr>
        <w:t xml:space="preserve">W 2021 </w:t>
      </w:r>
      <w:r w:rsidR="003E6281">
        <w:rPr>
          <w:rFonts w:ascii="Arial" w:eastAsia="Times New Roman" w:hAnsi="Arial" w:cs="Arial"/>
          <w:sz w:val="20"/>
          <w:szCs w:val="20"/>
          <w:lang w:eastAsia="pl-PL"/>
        </w:rPr>
        <w:t xml:space="preserve">r. </w:t>
      </w:r>
      <w:r w:rsidR="00780291" w:rsidRPr="00780291">
        <w:rPr>
          <w:rFonts w:ascii="Arial" w:eastAsia="Times New Roman" w:hAnsi="Arial" w:cs="Arial"/>
          <w:sz w:val="20"/>
          <w:szCs w:val="20"/>
          <w:lang w:eastAsia="pl-PL"/>
        </w:rPr>
        <w:t>zanotowano dalszy wzrost sprzedaży fungicydów i herbicydów (odpowiednio o 8% i</w:t>
      </w:r>
      <w:r w:rsidR="00DF7F27">
        <w:rPr>
          <w:rFonts w:ascii="Arial" w:eastAsia="Times New Roman" w:hAnsi="Arial" w:cs="Arial"/>
          <w:sz w:val="20"/>
          <w:szCs w:val="20"/>
          <w:lang w:eastAsia="pl-PL"/>
        </w:rPr>
        <w:t> </w:t>
      </w:r>
      <w:r w:rsidR="00780291" w:rsidRPr="00780291">
        <w:rPr>
          <w:rFonts w:ascii="Arial" w:eastAsia="Times New Roman" w:hAnsi="Arial" w:cs="Arial"/>
          <w:sz w:val="20"/>
          <w:szCs w:val="20"/>
          <w:lang w:eastAsia="pl-PL"/>
        </w:rPr>
        <w:t>12% w porównaniu do 2020</w:t>
      </w:r>
      <w:r w:rsidR="00A842FD">
        <w:rPr>
          <w:rFonts w:ascii="Arial" w:eastAsia="Times New Roman" w:hAnsi="Arial" w:cs="Arial"/>
          <w:sz w:val="20"/>
          <w:szCs w:val="20"/>
          <w:lang w:eastAsia="pl-PL"/>
        </w:rPr>
        <w:t xml:space="preserve"> r.</w:t>
      </w:r>
      <w:r w:rsidR="00780291" w:rsidRPr="00780291">
        <w:rPr>
          <w:rFonts w:ascii="Arial" w:eastAsia="Times New Roman" w:hAnsi="Arial" w:cs="Arial"/>
          <w:sz w:val="20"/>
          <w:szCs w:val="20"/>
          <w:lang w:eastAsia="pl-PL"/>
        </w:rPr>
        <w:t>).</w:t>
      </w:r>
      <w:r w:rsidR="00473527" w:rsidRPr="00473527">
        <w:rPr>
          <w:rFonts w:ascii="Arial" w:eastAsia="Times New Roman" w:hAnsi="Arial" w:cs="Arial"/>
          <w:sz w:val="20"/>
          <w:szCs w:val="20"/>
          <w:lang w:eastAsia="pl-PL"/>
        </w:rPr>
        <w:t xml:space="preserve"> W 2022</w:t>
      </w:r>
      <w:r w:rsidR="00B02D82">
        <w:rPr>
          <w:rFonts w:ascii="Arial" w:eastAsia="Times New Roman" w:hAnsi="Arial" w:cs="Arial"/>
          <w:sz w:val="20"/>
          <w:szCs w:val="20"/>
          <w:lang w:eastAsia="pl-PL"/>
        </w:rPr>
        <w:t xml:space="preserve"> r. trend się zmienił, bowiem</w:t>
      </w:r>
      <w:r w:rsidR="00473527" w:rsidRPr="00473527">
        <w:rPr>
          <w:rFonts w:ascii="Arial" w:eastAsia="Times New Roman" w:hAnsi="Arial" w:cs="Arial"/>
          <w:sz w:val="20"/>
          <w:szCs w:val="20"/>
          <w:lang w:eastAsia="pl-PL"/>
        </w:rPr>
        <w:t xml:space="preserve"> nastąpił wyraźny spadek sprzedaży fungicydów i herbicydów (odpowiednio o 30% i 15% w porównaniu do 2021</w:t>
      </w:r>
      <w:r w:rsidR="002453BD">
        <w:rPr>
          <w:rFonts w:ascii="Arial" w:eastAsia="Times New Roman" w:hAnsi="Arial" w:cs="Arial"/>
          <w:sz w:val="20"/>
          <w:szCs w:val="20"/>
          <w:lang w:eastAsia="pl-PL"/>
        </w:rPr>
        <w:t xml:space="preserve"> r.</w:t>
      </w:r>
      <w:r w:rsidR="00473527" w:rsidRPr="00473527">
        <w:rPr>
          <w:rFonts w:ascii="Arial" w:eastAsia="Times New Roman" w:hAnsi="Arial" w:cs="Arial"/>
          <w:sz w:val="20"/>
          <w:szCs w:val="20"/>
          <w:lang w:eastAsia="pl-PL"/>
        </w:rPr>
        <w:t>).</w:t>
      </w:r>
    </w:p>
    <w:p w14:paraId="719419AE" w14:textId="77777777" w:rsidR="000570C1" w:rsidRDefault="000570C1" w:rsidP="00A16004">
      <w:pPr>
        <w:spacing w:after="0" w:line="240" w:lineRule="auto"/>
        <w:ind w:left="1134" w:hanging="1134"/>
        <w:rPr>
          <w:rFonts w:ascii="Arial" w:eastAsia="Times New Roman" w:hAnsi="Arial" w:cs="Arial"/>
          <w:b/>
          <w:sz w:val="20"/>
          <w:szCs w:val="20"/>
          <w:lang w:eastAsia="pl-PL"/>
        </w:rPr>
      </w:pPr>
    </w:p>
    <w:p w14:paraId="2DA57991" w14:textId="77777777" w:rsidR="000570C1" w:rsidRDefault="000570C1" w:rsidP="00A16004">
      <w:pPr>
        <w:spacing w:after="0" w:line="240" w:lineRule="auto"/>
        <w:ind w:left="1134" w:hanging="1134"/>
        <w:rPr>
          <w:rFonts w:ascii="Arial" w:eastAsia="Times New Roman" w:hAnsi="Arial" w:cs="Arial"/>
          <w:b/>
          <w:sz w:val="20"/>
          <w:szCs w:val="20"/>
          <w:lang w:eastAsia="pl-PL"/>
        </w:rPr>
      </w:pPr>
    </w:p>
    <w:p w14:paraId="270E0F88" w14:textId="77777777" w:rsidR="000570C1" w:rsidRDefault="000570C1" w:rsidP="00A16004">
      <w:pPr>
        <w:spacing w:after="0" w:line="240" w:lineRule="auto"/>
        <w:ind w:left="1134" w:hanging="1134"/>
        <w:rPr>
          <w:rFonts w:ascii="Arial" w:eastAsia="Times New Roman" w:hAnsi="Arial" w:cs="Arial"/>
          <w:b/>
          <w:sz w:val="20"/>
          <w:szCs w:val="20"/>
          <w:lang w:eastAsia="pl-PL"/>
        </w:rPr>
      </w:pPr>
    </w:p>
    <w:p w14:paraId="1F192130" w14:textId="77777777" w:rsidR="000570C1" w:rsidRDefault="000570C1" w:rsidP="00A16004">
      <w:pPr>
        <w:spacing w:after="0" w:line="240" w:lineRule="auto"/>
        <w:ind w:left="1134" w:hanging="1134"/>
        <w:rPr>
          <w:rFonts w:ascii="Arial" w:eastAsia="Times New Roman" w:hAnsi="Arial" w:cs="Arial"/>
          <w:b/>
          <w:sz w:val="20"/>
          <w:szCs w:val="20"/>
          <w:lang w:eastAsia="pl-PL"/>
        </w:rPr>
      </w:pPr>
    </w:p>
    <w:p w14:paraId="49080669" w14:textId="2892B43C" w:rsidR="00A16004" w:rsidRPr="00A16004" w:rsidRDefault="00A16004" w:rsidP="00A16004">
      <w:pPr>
        <w:spacing w:after="0" w:line="240" w:lineRule="auto"/>
        <w:ind w:left="1134" w:hanging="1134"/>
        <w:rPr>
          <w:rFonts w:ascii="Arial" w:eastAsia="Times New Roman" w:hAnsi="Arial" w:cs="Arial"/>
          <w:b/>
          <w:sz w:val="20"/>
          <w:szCs w:val="20"/>
          <w:lang w:eastAsia="pl-PL"/>
        </w:rPr>
      </w:pPr>
      <w:r w:rsidRPr="00A16004">
        <w:rPr>
          <w:rFonts w:ascii="Arial" w:eastAsia="Times New Roman" w:hAnsi="Arial" w:cs="Arial"/>
          <w:b/>
          <w:sz w:val="20"/>
          <w:szCs w:val="20"/>
          <w:lang w:eastAsia="pl-PL"/>
        </w:rPr>
        <w:lastRenderedPageBreak/>
        <w:t>Wykres</w:t>
      </w:r>
      <w:r w:rsidR="00843034">
        <w:rPr>
          <w:rFonts w:ascii="Arial" w:eastAsia="Times New Roman" w:hAnsi="Arial" w:cs="Arial"/>
          <w:b/>
          <w:sz w:val="20"/>
          <w:szCs w:val="20"/>
          <w:lang w:eastAsia="pl-PL"/>
        </w:rPr>
        <w:t xml:space="preserve"> 5</w:t>
      </w:r>
      <w:r w:rsidRPr="00A16004">
        <w:rPr>
          <w:rFonts w:ascii="Arial" w:eastAsia="Times New Roman" w:hAnsi="Arial" w:cs="Arial"/>
          <w:b/>
          <w:sz w:val="20"/>
          <w:szCs w:val="20"/>
          <w:lang w:eastAsia="pl-PL"/>
        </w:rPr>
        <w:t xml:space="preserve"> – Sprzedaż substancji czynnych środków ochrony roślin w podziale na grupy [w tonach]</w:t>
      </w:r>
    </w:p>
    <w:p w14:paraId="0E1F1724" w14:textId="2FB9EFEC" w:rsidR="00743253" w:rsidRDefault="00743253" w:rsidP="0030409F">
      <w:pPr>
        <w:pStyle w:val="NormalnyWeb"/>
        <w:tabs>
          <w:tab w:val="left" w:pos="284"/>
        </w:tabs>
        <w:spacing w:beforeAutospacing="0" w:after="120" w:afterAutospacing="0" w:line="360" w:lineRule="auto"/>
        <w:jc w:val="center"/>
        <w:rPr>
          <w:rFonts w:ascii="Arial" w:hAnsi="Arial" w:cs="Arial"/>
        </w:rPr>
      </w:pPr>
    </w:p>
    <w:p w14:paraId="3B3EF34E" w14:textId="3F0D4A3B" w:rsidR="00FC329B" w:rsidRDefault="00970352" w:rsidP="006B370D">
      <w:pPr>
        <w:widowControl w:val="0"/>
        <w:tabs>
          <w:tab w:val="left" w:pos="284"/>
        </w:tabs>
        <w:spacing w:after="120" w:line="360" w:lineRule="auto"/>
        <w:ind w:firstLine="284"/>
        <w:jc w:val="both"/>
        <w:rPr>
          <w:rFonts w:ascii="Arial" w:eastAsia="Times New Roman" w:hAnsi="Arial" w:cs="Arial"/>
          <w:sz w:val="20"/>
          <w:szCs w:val="20"/>
          <w:lang w:eastAsia="pl-PL"/>
        </w:rPr>
      </w:pPr>
      <w:r>
        <w:rPr>
          <w:rFonts w:ascii="Arial" w:eastAsia="Times New Roman" w:hAnsi="Arial" w:cs="Arial"/>
          <w:noProof/>
          <w:sz w:val="20"/>
          <w:szCs w:val="20"/>
          <w:lang w:eastAsia="pl-PL"/>
        </w:rPr>
        <w:drawing>
          <wp:inline distT="0" distB="0" distL="0" distR="0" wp14:anchorId="1BDE4C14" wp14:editId="76F4BAD3">
            <wp:extent cx="5267325" cy="2964463"/>
            <wp:effectExtent l="0" t="0" r="0" b="7620"/>
            <wp:docPr id="4090290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04501" cy="2985386"/>
                    </a:xfrm>
                    <a:prstGeom prst="rect">
                      <a:avLst/>
                    </a:prstGeom>
                    <a:noFill/>
                  </pic:spPr>
                </pic:pic>
              </a:graphicData>
            </a:graphic>
          </wp:inline>
        </w:drawing>
      </w:r>
    </w:p>
    <w:p w14:paraId="692116B5" w14:textId="77777777" w:rsidR="00C21E0A" w:rsidRDefault="00C21E0A" w:rsidP="00C21E0A">
      <w:pPr>
        <w:widowControl w:val="0"/>
        <w:tabs>
          <w:tab w:val="left" w:pos="284"/>
        </w:tabs>
        <w:spacing w:after="120" w:line="360" w:lineRule="auto"/>
        <w:ind w:firstLine="284"/>
        <w:jc w:val="both"/>
        <w:rPr>
          <w:rFonts w:ascii="Arial" w:eastAsia="Times New Roman" w:hAnsi="Arial" w:cs="Arial"/>
          <w:sz w:val="20"/>
          <w:szCs w:val="20"/>
          <w:lang w:eastAsia="pl-PL"/>
        </w:rPr>
      </w:pPr>
      <w:r w:rsidRPr="00CD5321">
        <w:rPr>
          <w:rFonts w:ascii="Arial" w:eastAsia="Times New Roman" w:hAnsi="Arial" w:cs="Arial"/>
          <w:sz w:val="20"/>
          <w:szCs w:val="20"/>
          <w:lang w:eastAsia="pl-PL"/>
        </w:rPr>
        <w:t>Tabela poniżej zawiera wyniki sprzedaży środków ochrony roślin w przeliczeniu na substancje czynne w podziale na grupy w 2022 r. w porównaniu do średniej z lat 2015-2017 oraz poprzedniego roku. Pomiędzy 2022 r. i latami 2015-2017 największy spadek sprzedaży zanotowano w grupie insektycydów (978 ton).</w:t>
      </w:r>
    </w:p>
    <w:tbl>
      <w:tblPr>
        <w:tblStyle w:val="Tabela-Siatka"/>
        <w:tblW w:w="9062" w:type="dxa"/>
        <w:tblLayout w:type="fixed"/>
        <w:tblLook w:val="0600" w:firstRow="0" w:lastRow="0" w:firstColumn="0" w:lastColumn="0" w:noHBand="1" w:noVBand="1"/>
      </w:tblPr>
      <w:tblGrid>
        <w:gridCol w:w="2972"/>
        <w:gridCol w:w="1276"/>
        <w:gridCol w:w="992"/>
        <w:gridCol w:w="992"/>
        <w:gridCol w:w="1415"/>
        <w:gridCol w:w="1415"/>
      </w:tblGrid>
      <w:tr w:rsidR="00CA5C2C" w:rsidRPr="00610702" w14:paraId="4B08C793" w14:textId="77777777" w:rsidTr="007A0E17">
        <w:trPr>
          <w:trHeight w:val="1055"/>
        </w:trPr>
        <w:tc>
          <w:tcPr>
            <w:tcW w:w="2972" w:type="dxa"/>
            <w:vMerge w:val="restart"/>
            <w:vAlign w:val="center"/>
            <w:hideMark/>
          </w:tcPr>
          <w:p w14:paraId="503E6D84"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Grupa środków ochrony roślin</w:t>
            </w:r>
          </w:p>
        </w:tc>
        <w:tc>
          <w:tcPr>
            <w:tcW w:w="3260" w:type="dxa"/>
            <w:gridSpan w:val="3"/>
            <w:vAlign w:val="center"/>
          </w:tcPr>
          <w:p w14:paraId="05FC436A"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 xml:space="preserve">Sprzedaż w przeliczeniu na substancje czynne </w:t>
            </w:r>
          </w:p>
          <w:p w14:paraId="39B2E08C"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[w tonach]]</w:t>
            </w:r>
          </w:p>
        </w:tc>
        <w:tc>
          <w:tcPr>
            <w:tcW w:w="1415" w:type="dxa"/>
            <w:vMerge w:val="restart"/>
            <w:vAlign w:val="center"/>
          </w:tcPr>
          <w:p w14:paraId="1E5D26B0"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2022/</w:t>
            </w:r>
          </w:p>
          <w:p w14:paraId="76A200E1"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2021</w:t>
            </w:r>
          </w:p>
        </w:tc>
        <w:tc>
          <w:tcPr>
            <w:tcW w:w="1415" w:type="dxa"/>
            <w:vMerge w:val="restart"/>
            <w:vAlign w:val="center"/>
          </w:tcPr>
          <w:p w14:paraId="4008BADD"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2022/</w:t>
            </w:r>
          </w:p>
          <w:p w14:paraId="29F58555" w14:textId="77777777" w:rsidR="00CA5C2C" w:rsidRPr="007A0E17" w:rsidRDefault="00CA5C2C" w:rsidP="00F841F4">
            <w:pPr>
              <w:spacing w:line="240" w:lineRule="auto"/>
              <w:jc w:val="center"/>
              <w:rPr>
                <w:rFonts w:ascii="Arial" w:hAnsi="Arial" w:cs="Arial"/>
                <w:b/>
                <w:bCs/>
                <w:sz w:val="20"/>
                <w:szCs w:val="20"/>
              </w:rPr>
            </w:pPr>
            <w:r w:rsidRPr="007A0E17">
              <w:rPr>
                <w:rFonts w:ascii="Arial" w:hAnsi="Arial" w:cs="Arial"/>
                <w:b/>
                <w:bCs/>
                <w:sz w:val="20"/>
                <w:szCs w:val="20"/>
              </w:rPr>
              <w:t>(średnia 2015-2017)</w:t>
            </w:r>
          </w:p>
        </w:tc>
      </w:tr>
      <w:tr w:rsidR="00CA5C2C" w:rsidRPr="00610702" w14:paraId="34033881" w14:textId="77777777" w:rsidTr="00F841F4">
        <w:trPr>
          <w:trHeight w:val="397"/>
        </w:trPr>
        <w:tc>
          <w:tcPr>
            <w:tcW w:w="2972" w:type="dxa"/>
            <w:vMerge/>
            <w:vAlign w:val="center"/>
            <w:hideMark/>
          </w:tcPr>
          <w:p w14:paraId="2ADD26FF" w14:textId="77777777" w:rsidR="00CA5C2C" w:rsidRPr="00E238F0" w:rsidRDefault="00CA5C2C" w:rsidP="00F841F4">
            <w:pPr>
              <w:spacing w:line="240" w:lineRule="auto"/>
              <w:jc w:val="center"/>
              <w:rPr>
                <w:rFonts w:ascii="Arial" w:hAnsi="Arial" w:cs="Arial"/>
                <w:sz w:val="20"/>
                <w:szCs w:val="20"/>
              </w:rPr>
            </w:pPr>
          </w:p>
        </w:tc>
        <w:tc>
          <w:tcPr>
            <w:tcW w:w="1276" w:type="dxa"/>
            <w:vAlign w:val="center"/>
          </w:tcPr>
          <w:p w14:paraId="012DE141"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Średnia 2015-2017</w:t>
            </w:r>
          </w:p>
        </w:tc>
        <w:tc>
          <w:tcPr>
            <w:tcW w:w="992" w:type="dxa"/>
            <w:vAlign w:val="center"/>
          </w:tcPr>
          <w:p w14:paraId="58271B35"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2021</w:t>
            </w:r>
          </w:p>
        </w:tc>
        <w:tc>
          <w:tcPr>
            <w:tcW w:w="992" w:type="dxa"/>
            <w:vAlign w:val="center"/>
          </w:tcPr>
          <w:p w14:paraId="6F4B9A9E"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2022</w:t>
            </w:r>
          </w:p>
        </w:tc>
        <w:tc>
          <w:tcPr>
            <w:tcW w:w="1415" w:type="dxa"/>
            <w:vMerge/>
            <w:vAlign w:val="center"/>
          </w:tcPr>
          <w:p w14:paraId="427786F3" w14:textId="77777777" w:rsidR="00CA5C2C" w:rsidRPr="00E238F0" w:rsidRDefault="00CA5C2C" w:rsidP="00F841F4">
            <w:pPr>
              <w:spacing w:line="240" w:lineRule="auto"/>
              <w:jc w:val="center"/>
              <w:rPr>
                <w:rFonts w:ascii="Arial" w:hAnsi="Arial" w:cs="Arial"/>
                <w:sz w:val="20"/>
                <w:szCs w:val="20"/>
              </w:rPr>
            </w:pPr>
          </w:p>
        </w:tc>
        <w:tc>
          <w:tcPr>
            <w:tcW w:w="1415" w:type="dxa"/>
            <w:vMerge/>
          </w:tcPr>
          <w:p w14:paraId="7E80F350" w14:textId="77777777" w:rsidR="00CA5C2C" w:rsidRPr="00E238F0" w:rsidRDefault="00CA5C2C" w:rsidP="00F841F4">
            <w:pPr>
              <w:spacing w:line="240" w:lineRule="auto"/>
              <w:jc w:val="center"/>
              <w:rPr>
                <w:rFonts w:ascii="Arial" w:hAnsi="Arial" w:cs="Arial"/>
                <w:sz w:val="20"/>
                <w:szCs w:val="20"/>
              </w:rPr>
            </w:pPr>
          </w:p>
        </w:tc>
      </w:tr>
      <w:tr w:rsidR="00CA5C2C" w:rsidRPr="00610702" w14:paraId="2113E51B" w14:textId="77777777" w:rsidTr="00F841F4">
        <w:trPr>
          <w:trHeight w:val="397"/>
        </w:trPr>
        <w:tc>
          <w:tcPr>
            <w:tcW w:w="2972" w:type="dxa"/>
            <w:vAlign w:val="center"/>
            <w:hideMark/>
          </w:tcPr>
          <w:p w14:paraId="7A9B6AD3"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Fungicydy i bakteriocydy</w:t>
            </w:r>
          </w:p>
        </w:tc>
        <w:tc>
          <w:tcPr>
            <w:tcW w:w="1276" w:type="dxa"/>
            <w:vAlign w:val="center"/>
          </w:tcPr>
          <w:p w14:paraId="375E292C"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7 400</w:t>
            </w:r>
          </w:p>
        </w:tc>
        <w:tc>
          <w:tcPr>
            <w:tcW w:w="992" w:type="dxa"/>
            <w:vAlign w:val="center"/>
          </w:tcPr>
          <w:p w14:paraId="325E5507"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10 055</w:t>
            </w:r>
          </w:p>
        </w:tc>
        <w:tc>
          <w:tcPr>
            <w:tcW w:w="992" w:type="dxa"/>
            <w:vAlign w:val="center"/>
          </w:tcPr>
          <w:p w14:paraId="67F0B16D"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7 085</w:t>
            </w:r>
          </w:p>
        </w:tc>
        <w:tc>
          <w:tcPr>
            <w:tcW w:w="1415" w:type="dxa"/>
            <w:vAlign w:val="center"/>
          </w:tcPr>
          <w:p w14:paraId="17D3922B"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70%</w:t>
            </w:r>
          </w:p>
        </w:tc>
        <w:tc>
          <w:tcPr>
            <w:tcW w:w="1415" w:type="dxa"/>
            <w:vAlign w:val="center"/>
          </w:tcPr>
          <w:p w14:paraId="2A9B40DB"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96%</w:t>
            </w:r>
          </w:p>
        </w:tc>
      </w:tr>
      <w:tr w:rsidR="00CA5C2C" w:rsidRPr="00610702" w14:paraId="1E12393C" w14:textId="77777777" w:rsidTr="00F841F4">
        <w:trPr>
          <w:trHeight w:val="397"/>
        </w:trPr>
        <w:tc>
          <w:tcPr>
            <w:tcW w:w="2972" w:type="dxa"/>
            <w:vAlign w:val="center"/>
            <w:hideMark/>
          </w:tcPr>
          <w:p w14:paraId="13490498"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Herbicydy, związki ograniczające rozwój łodyg i związki mchobójcze</w:t>
            </w:r>
          </w:p>
        </w:tc>
        <w:tc>
          <w:tcPr>
            <w:tcW w:w="1276" w:type="dxa"/>
            <w:vAlign w:val="center"/>
          </w:tcPr>
          <w:p w14:paraId="7341EF24"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12 846</w:t>
            </w:r>
          </w:p>
        </w:tc>
        <w:tc>
          <w:tcPr>
            <w:tcW w:w="992" w:type="dxa"/>
            <w:vAlign w:val="center"/>
          </w:tcPr>
          <w:p w14:paraId="4380338F"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14 354</w:t>
            </w:r>
          </w:p>
        </w:tc>
        <w:tc>
          <w:tcPr>
            <w:tcW w:w="992" w:type="dxa"/>
            <w:vAlign w:val="center"/>
          </w:tcPr>
          <w:p w14:paraId="2846DBFA"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12 239</w:t>
            </w:r>
          </w:p>
        </w:tc>
        <w:tc>
          <w:tcPr>
            <w:tcW w:w="1415" w:type="dxa"/>
            <w:vAlign w:val="center"/>
          </w:tcPr>
          <w:p w14:paraId="4171D64B"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85%</w:t>
            </w:r>
          </w:p>
        </w:tc>
        <w:tc>
          <w:tcPr>
            <w:tcW w:w="1415" w:type="dxa"/>
            <w:vAlign w:val="center"/>
          </w:tcPr>
          <w:p w14:paraId="4736D83B"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95%</w:t>
            </w:r>
          </w:p>
        </w:tc>
      </w:tr>
      <w:tr w:rsidR="00CA5C2C" w:rsidRPr="00610702" w14:paraId="39350AC5" w14:textId="77777777" w:rsidTr="00F841F4">
        <w:trPr>
          <w:trHeight w:val="397"/>
        </w:trPr>
        <w:tc>
          <w:tcPr>
            <w:tcW w:w="2972" w:type="dxa"/>
            <w:vAlign w:val="center"/>
            <w:hideMark/>
          </w:tcPr>
          <w:p w14:paraId="3C2A788E"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Insektycydy i akarycydy</w:t>
            </w:r>
          </w:p>
        </w:tc>
        <w:tc>
          <w:tcPr>
            <w:tcW w:w="1276" w:type="dxa"/>
            <w:vAlign w:val="center"/>
          </w:tcPr>
          <w:p w14:paraId="445FBD8C"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1 615</w:t>
            </w:r>
          </w:p>
        </w:tc>
        <w:tc>
          <w:tcPr>
            <w:tcW w:w="992" w:type="dxa"/>
            <w:vAlign w:val="center"/>
          </w:tcPr>
          <w:p w14:paraId="27F77529"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662</w:t>
            </w:r>
          </w:p>
        </w:tc>
        <w:tc>
          <w:tcPr>
            <w:tcW w:w="992" w:type="dxa"/>
            <w:vAlign w:val="center"/>
          </w:tcPr>
          <w:p w14:paraId="5B565C71"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637</w:t>
            </w:r>
          </w:p>
        </w:tc>
        <w:tc>
          <w:tcPr>
            <w:tcW w:w="1415" w:type="dxa"/>
            <w:vAlign w:val="center"/>
          </w:tcPr>
          <w:p w14:paraId="1B253DE2"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96%</w:t>
            </w:r>
          </w:p>
        </w:tc>
        <w:tc>
          <w:tcPr>
            <w:tcW w:w="1415" w:type="dxa"/>
            <w:vAlign w:val="center"/>
          </w:tcPr>
          <w:p w14:paraId="7EC3D0FA"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39%</w:t>
            </w:r>
          </w:p>
        </w:tc>
      </w:tr>
      <w:tr w:rsidR="00CA5C2C" w:rsidRPr="00610702" w14:paraId="059C0115" w14:textId="77777777" w:rsidTr="00F841F4">
        <w:trPr>
          <w:trHeight w:val="397"/>
        </w:trPr>
        <w:tc>
          <w:tcPr>
            <w:tcW w:w="2972" w:type="dxa"/>
            <w:vAlign w:val="center"/>
            <w:hideMark/>
          </w:tcPr>
          <w:p w14:paraId="42EAFC76"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Moluskocydy</w:t>
            </w:r>
          </w:p>
        </w:tc>
        <w:tc>
          <w:tcPr>
            <w:tcW w:w="1276" w:type="dxa"/>
            <w:vAlign w:val="center"/>
          </w:tcPr>
          <w:p w14:paraId="4BE40CFD"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8</w:t>
            </w:r>
          </w:p>
        </w:tc>
        <w:tc>
          <w:tcPr>
            <w:tcW w:w="992" w:type="dxa"/>
            <w:vAlign w:val="center"/>
          </w:tcPr>
          <w:p w14:paraId="06D322C0"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28</w:t>
            </w:r>
          </w:p>
        </w:tc>
        <w:tc>
          <w:tcPr>
            <w:tcW w:w="992" w:type="dxa"/>
            <w:vAlign w:val="center"/>
          </w:tcPr>
          <w:p w14:paraId="6CE8D53F"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50</w:t>
            </w:r>
          </w:p>
        </w:tc>
        <w:tc>
          <w:tcPr>
            <w:tcW w:w="1415" w:type="dxa"/>
            <w:vAlign w:val="center"/>
          </w:tcPr>
          <w:p w14:paraId="3B49C640"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179%</w:t>
            </w:r>
          </w:p>
        </w:tc>
        <w:tc>
          <w:tcPr>
            <w:tcW w:w="1415" w:type="dxa"/>
            <w:vAlign w:val="center"/>
          </w:tcPr>
          <w:p w14:paraId="1847628A"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610%</w:t>
            </w:r>
          </w:p>
        </w:tc>
      </w:tr>
      <w:tr w:rsidR="00CA5C2C" w:rsidRPr="00610702" w14:paraId="23D94497" w14:textId="77777777" w:rsidTr="00F841F4">
        <w:trPr>
          <w:trHeight w:val="397"/>
        </w:trPr>
        <w:tc>
          <w:tcPr>
            <w:tcW w:w="2972" w:type="dxa"/>
            <w:vAlign w:val="center"/>
            <w:hideMark/>
          </w:tcPr>
          <w:p w14:paraId="4CE237E7"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Regulatory wzrostu</w:t>
            </w:r>
          </w:p>
        </w:tc>
        <w:tc>
          <w:tcPr>
            <w:tcW w:w="1276" w:type="dxa"/>
            <w:vAlign w:val="center"/>
          </w:tcPr>
          <w:p w14:paraId="1D877861"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2 163</w:t>
            </w:r>
          </w:p>
        </w:tc>
        <w:tc>
          <w:tcPr>
            <w:tcW w:w="992" w:type="dxa"/>
            <w:vAlign w:val="center"/>
          </w:tcPr>
          <w:p w14:paraId="7121E472"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1 365</w:t>
            </w:r>
          </w:p>
        </w:tc>
        <w:tc>
          <w:tcPr>
            <w:tcW w:w="992" w:type="dxa"/>
            <w:vAlign w:val="center"/>
          </w:tcPr>
          <w:p w14:paraId="3C45E6FF"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1 818</w:t>
            </w:r>
          </w:p>
        </w:tc>
        <w:tc>
          <w:tcPr>
            <w:tcW w:w="1415" w:type="dxa"/>
            <w:vAlign w:val="center"/>
          </w:tcPr>
          <w:p w14:paraId="60BB8898"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133%</w:t>
            </w:r>
          </w:p>
        </w:tc>
        <w:tc>
          <w:tcPr>
            <w:tcW w:w="1415" w:type="dxa"/>
            <w:vAlign w:val="center"/>
          </w:tcPr>
          <w:p w14:paraId="157425C2"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84%</w:t>
            </w:r>
          </w:p>
        </w:tc>
      </w:tr>
      <w:tr w:rsidR="00CA5C2C" w:rsidRPr="00610702" w14:paraId="7C4CE7DB" w14:textId="77777777" w:rsidTr="00F841F4">
        <w:trPr>
          <w:trHeight w:val="397"/>
        </w:trPr>
        <w:tc>
          <w:tcPr>
            <w:tcW w:w="2972" w:type="dxa"/>
            <w:vAlign w:val="center"/>
            <w:hideMark/>
          </w:tcPr>
          <w:p w14:paraId="612928C6"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Inne środki ochrony roślin</w:t>
            </w:r>
          </w:p>
        </w:tc>
        <w:tc>
          <w:tcPr>
            <w:tcW w:w="1276" w:type="dxa"/>
            <w:vAlign w:val="center"/>
          </w:tcPr>
          <w:p w14:paraId="030E1E8F"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482</w:t>
            </w:r>
          </w:p>
        </w:tc>
        <w:tc>
          <w:tcPr>
            <w:tcW w:w="992" w:type="dxa"/>
            <w:vAlign w:val="center"/>
          </w:tcPr>
          <w:p w14:paraId="4FB6F345"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509</w:t>
            </w:r>
          </w:p>
        </w:tc>
        <w:tc>
          <w:tcPr>
            <w:tcW w:w="992" w:type="dxa"/>
            <w:vAlign w:val="center"/>
          </w:tcPr>
          <w:p w14:paraId="389F7510"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491</w:t>
            </w:r>
          </w:p>
        </w:tc>
        <w:tc>
          <w:tcPr>
            <w:tcW w:w="1415" w:type="dxa"/>
            <w:vAlign w:val="center"/>
          </w:tcPr>
          <w:p w14:paraId="585AACDF"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97%</w:t>
            </w:r>
          </w:p>
        </w:tc>
        <w:tc>
          <w:tcPr>
            <w:tcW w:w="1415" w:type="dxa"/>
            <w:vAlign w:val="center"/>
          </w:tcPr>
          <w:p w14:paraId="29A6BA7C"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102%</w:t>
            </w:r>
          </w:p>
        </w:tc>
      </w:tr>
      <w:tr w:rsidR="00CA5C2C" w:rsidRPr="00610702" w14:paraId="7235CDC3" w14:textId="77777777" w:rsidTr="00F841F4">
        <w:trPr>
          <w:trHeight w:val="397"/>
        </w:trPr>
        <w:tc>
          <w:tcPr>
            <w:tcW w:w="2972" w:type="dxa"/>
            <w:vAlign w:val="center"/>
            <w:hideMark/>
          </w:tcPr>
          <w:p w14:paraId="2D67C155" w14:textId="77777777" w:rsidR="00CA5C2C" w:rsidRPr="00E238F0" w:rsidRDefault="00CA5C2C" w:rsidP="00F841F4">
            <w:pPr>
              <w:spacing w:line="240" w:lineRule="auto"/>
              <w:rPr>
                <w:rFonts w:ascii="Arial" w:hAnsi="Arial" w:cs="Arial"/>
                <w:sz w:val="20"/>
                <w:szCs w:val="20"/>
              </w:rPr>
            </w:pPr>
            <w:r w:rsidRPr="00E238F0">
              <w:rPr>
                <w:rFonts w:ascii="Arial" w:hAnsi="Arial" w:cs="Arial"/>
                <w:sz w:val="20"/>
                <w:szCs w:val="20"/>
              </w:rPr>
              <w:t>Suma</w:t>
            </w:r>
          </w:p>
        </w:tc>
        <w:tc>
          <w:tcPr>
            <w:tcW w:w="1276" w:type="dxa"/>
            <w:vAlign w:val="center"/>
          </w:tcPr>
          <w:p w14:paraId="0070AEA1"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24 515</w:t>
            </w:r>
          </w:p>
        </w:tc>
        <w:tc>
          <w:tcPr>
            <w:tcW w:w="992" w:type="dxa"/>
            <w:vAlign w:val="center"/>
          </w:tcPr>
          <w:p w14:paraId="7DE7F44E"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26 973</w:t>
            </w:r>
          </w:p>
        </w:tc>
        <w:tc>
          <w:tcPr>
            <w:tcW w:w="992" w:type="dxa"/>
            <w:vAlign w:val="center"/>
          </w:tcPr>
          <w:p w14:paraId="46945FC7" w14:textId="77777777" w:rsidR="00CA5C2C" w:rsidRPr="00E238F0" w:rsidRDefault="00CA5C2C" w:rsidP="00F841F4">
            <w:pPr>
              <w:spacing w:line="240" w:lineRule="auto"/>
              <w:jc w:val="center"/>
              <w:rPr>
                <w:rFonts w:ascii="Arial" w:hAnsi="Arial" w:cs="Arial"/>
                <w:sz w:val="20"/>
                <w:szCs w:val="20"/>
              </w:rPr>
            </w:pPr>
            <w:r w:rsidRPr="00E238F0">
              <w:rPr>
                <w:rFonts w:ascii="Arial" w:hAnsi="Arial" w:cs="Arial"/>
                <w:sz w:val="20"/>
                <w:szCs w:val="20"/>
              </w:rPr>
              <w:t>22 320</w:t>
            </w:r>
          </w:p>
        </w:tc>
        <w:tc>
          <w:tcPr>
            <w:tcW w:w="1415" w:type="dxa"/>
            <w:vAlign w:val="center"/>
          </w:tcPr>
          <w:p w14:paraId="452B3C05" w14:textId="77777777" w:rsidR="00CA5C2C" w:rsidRPr="00E238F0" w:rsidRDefault="00CA5C2C" w:rsidP="00F841F4">
            <w:pPr>
              <w:spacing w:line="240" w:lineRule="auto"/>
              <w:jc w:val="center"/>
              <w:rPr>
                <w:rFonts w:ascii="Arial" w:hAnsi="Arial" w:cs="Arial"/>
                <w:b/>
                <w:sz w:val="20"/>
                <w:szCs w:val="20"/>
              </w:rPr>
            </w:pPr>
            <w:r w:rsidRPr="00E238F0">
              <w:rPr>
                <w:rFonts w:ascii="Arial" w:hAnsi="Arial" w:cs="Arial"/>
                <w:b/>
                <w:sz w:val="20"/>
                <w:szCs w:val="20"/>
              </w:rPr>
              <w:t>83%</w:t>
            </w:r>
          </w:p>
        </w:tc>
        <w:tc>
          <w:tcPr>
            <w:tcW w:w="1415" w:type="dxa"/>
            <w:vAlign w:val="center"/>
          </w:tcPr>
          <w:p w14:paraId="26AA66C8" w14:textId="77777777" w:rsidR="00CA5C2C" w:rsidRPr="00E238F0" w:rsidRDefault="00CA5C2C" w:rsidP="00F841F4">
            <w:pPr>
              <w:spacing w:line="240" w:lineRule="auto"/>
              <w:jc w:val="center"/>
              <w:rPr>
                <w:rFonts w:ascii="Arial" w:hAnsi="Arial" w:cs="Arial"/>
                <w:b/>
                <w:sz w:val="20"/>
                <w:szCs w:val="20"/>
              </w:rPr>
            </w:pPr>
            <w:r w:rsidRPr="00E238F0">
              <w:rPr>
                <w:rFonts w:ascii="Arial" w:hAnsi="Arial" w:cs="Arial"/>
                <w:b/>
                <w:sz w:val="20"/>
                <w:szCs w:val="20"/>
              </w:rPr>
              <w:t>91%</w:t>
            </w:r>
          </w:p>
        </w:tc>
      </w:tr>
    </w:tbl>
    <w:p w14:paraId="5BDA9417" w14:textId="6B7BE661" w:rsidR="00056846" w:rsidRPr="00925BCD" w:rsidRDefault="00E54725" w:rsidP="002C2375">
      <w:pPr>
        <w:pStyle w:val="Nagwek3"/>
        <w:numPr>
          <w:ilvl w:val="0"/>
          <w:numId w:val="0"/>
        </w:numPr>
        <w:tabs>
          <w:tab w:val="left" w:pos="2410"/>
        </w:tabs>
        <w:spacing w:before="360" w:after="120" w:line="360" w:lineRule="auto"/>
        <w:ind w:left="709"/>
        <w:rPr>
          <w:i w:val="0"/>
          <w:sz w:val="20"/>
          <w:szCs w:val="20"/>
        </w:rPr>
      </w:pPr>
      <w:bookmarkStart w:id="115" w:name="_Toc161744902"/>
      <w:bookmarkStart w:id="116" w:name="_Hlk94705418"/>
      <w:bookmarkEnd w:id="113"/>
      <w:r w:rsidRPr="00925BCD">
        <w:rPr>
          <w:i w:val="0"/>
          <w:sz w:val="20"/>
          <w:szCs w:val="20"/>
        </w:rPr>
        <w:t>Podzadanie 2. Prowadzenie badań statystycznych zużycia środków ochrony roślin</w:t>
      </w:r>
      <w:bookmarkEnd w:id="115"/>
    </w:p>
    <w:p w14:paraId="6B700F2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jest realizowane w ramach badań statystycznych zgodnie z metodologią określoną </w:t>
      </w:r>
      <w:r w:rsidRPr="00925BCD">
        <w:rPr>
          <w:rFonts w:ascii="Arial" w:hAnsi="Arial" w:cs="Arial"/>
        </w:rPr>
        <w:lastRenderedPageBreak/>
        <w:t xml:space="preserve">w przepisach rozporządzenia Parlamentu Europejskiego i Rady (WE) nr 1185/2009 z dnia 25 listopada 2009 r. w sprawie statystyk dotyczących pestycydów (Dz. Urz. UE L 324 z 10.12.2009, str. 1) przez Główny Urząd Statystyczny we współpracy z Państwową Inspekcją Ochrony Roślin i Nasiennictwa, Ministerstwem Rolnictwa i Rozwoju Wsi oraz Instytutem Ochrony Roślin – PIB. </w:t>
      </w:r>
    </w:p>
    <w:p w14:paraId="4501E1A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Celem badania jest określenie przeciętnego zużycia substancji czynnej wyrażonego w kg/ha powierzchni dla poszczególnych gatunków roślin uprawnych. Badanie jest prowadzone z uwzględnieniem struktury upraw i wielkości produkcji oraz danych dotyczących sprzedaży środków ochrony roślin w losowo wytypowanych gospodarstwach. </w:t>
      </w:r>
    </w:p>
    <w:p w14:paraId="743A63A9" w14:textId="6BE44D1A"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Dane dotyczące zużycia środków ochrony roślin są zbierane przez inspektorów Państwowej Inspekcji Ochrony Roślin i Nasiennictwa</w:t>
      </w:r>
      <w:r w:rsidR="00C328B5">
        <w:rPr>
          <w:rFonts w:ascii="Arial" w:hAnsi="Arial" w:cs="Arial"/>
        </w:rPr>
        <w:t>,</w:t>
      </w:r>
      <w:r w:rsidRPr="00925BCD">
        <w:rPr>
          <w:rFonts w:ascii="Arial" w:hAnsi="Arial" w:cs="Arial"/>
        </w:rPr>
        <w:t xml:space="preserve"> a ich pozyskiwanie opiera się na prowadzonej przez rolnika ewidencji wykonywanych zabiegów ochrony roślin. Badania te prowadzone są w cyklach 5-letnich.</w:t>
      </w:r>
    </w:p>
    <w:p w14:paraId="142E770D" w14:textId="1B79EFE0" w:rsidR="0020084E" w:rsidRPr="0020084E" w:rsidRDefault="0020084E" w:rsidP="0020084E">
      <w:pPr>
        <w:widowControl w:val="0"/>
        <w:tabs>
          <w:tab w:val="left" w:pos="284"/>
        </w:tabs>
        <w:spacing w:after="120" w:line="360" w:lineRule="auto"/>
        <w:ind w:firstLine="284"/>
        <w:jc w:val="both"/>
        <w:rPr>
          <w:rFonts w:ascii="Arial" w:eastAsia="Times New Roman" w:hAnsi="Arial" w:cs="Arial"/>
          <w:sz w:val="20"/>
          <w:szCs w:val="20"/>
          <w:lang w:eastAsia="pl-PL"/>
        </w:rPr>
      </w:pPr>
      <w:r w:rsidRPr="0020084E">
        <w:rPr>
          <w:rFonts w:ascii="Arial" w:eastAsia="Times New Roman" w:hAnsi="Arial" w:cs="Arial"/>
          <w:sz w:val="20"/>
          <w:szCs w:val="20"/>
          <w:lang w:eastAsia="pl-PL"/>
        </w:rPr>
        <w:t>W latach 2018–2020 realizowany był cykl badania obejmujący lata 2015–2019. W 2018 r. badaniami objęto uprawy (zbierane dane dotyczyły 2017 r.): ogórka gruntowego, ogórka pod osłonami, pomidora gruntowego, pomidora pod osłonami, pszenicy ozimej, truskawki, ziemniaka i żyta. W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badano uprawy jabłoni, jęczmienia jarego, maliny, rzepaku ozimego i wiśni (zbierane dane dotyczyły 2018 r.)</w:t>
      </w:r>
      <w:r>
        <w:rPr>
          <w:rFonts w:ascii="Arial" w:eastAsia="Times New Roman" w:hAnsi="Arial" w:cs="Arial"/>
          <w:sz w:val="20"/>
          <w:szCs w:val="20"/>
          <w:lang w:eastAsia="pl-PL"/>
        </w:rPr>
        <w:t>, natomiast w</w:t>
      </w:r>
      <w:r w:rsidRPr="0020084E">
        <w:rPr>
          <w:rFonts w:ascii="Arial" w:eastAsia="Times New Roman" w:hAnsi="Arial" w:cs="Arial"/>
          <w:sz w:val="20"/>
          <w:szCs w:val="20"/>
          <w:lang w:eastAsia="pl-PL"/>
        </w:rPr>
        <w:t xml:space="preserve"> 2020 </w:t>
      </w:r>
      <w:r>
        <w:rPr>
          <w:rFonts w:ascii="Arial" w:eastAsia="Times New Roman" w:hAnsi="Arial" w:cs="Arial"/>
          <w:sz w:val="20"/>
          <w:szCs w:val="20"/>
          <w:lang w:eastAsia="pl-PL"/>
        </w:rPr>
        <w:t xml:space="preserve">r. </w:t>
      </w:r>
      <w:r w:rsidRPr="0020084E">
        <w:rPr>
          <w:rFonts w:ascii="Arial" w:eastAsia="Times New Roman" w:hAnsi="Arial" w:cs="Arial"/>
          <w:sz w:val="20"/>
          <w:szCs w:val="20"/>
          <w:lang w:eastAsia="pl-PL"/>
        </w:rPr>
        <w:t>zebrano dane dotyczące zużycia środków ochrony roślin za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dla kapusty głowiastej, owsa, porzeczki, pszenicy jarej i śliwy.</w:t>
      </w:r>
    </w:p>
    <w:p w14:paraId="30C9CE37" w14:textId="77777777" w:rsidR="0020084E" w:rsidRPr="0020084E" w:rsidRDefault="0020084E" w:rsidP="002C2375">
      <w:pPr>
        <w:widowControl w:val="0"/>
        <w:tabs>
          <w:tab w:val="left" w:pos="284"/>
        </w:tabs>
        <w:spacing w:before="120" w:after="12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Tabela – Średni wskaźnik zużycia s.cz. w kg/ha w badanych uprawach</w:t>
      </w:r>
    </w:p>
    <w:tbl>
      <w:tblPr>
        <w:tblW w:w="6717" w:type="dxa"/>
        <w:jc w:val="center"/>
        <w:tblCellMar>
          <w:left w:w="70" w:type="dxa"/>
          <w:right w:w="70" w:type="dxa"/>
        </w:tblCellMar>
        <w:tblLook w:val="04A0" w:firstRow="1" w:lastRow="0" w:firstColumn="1" w:lastColumn="0" w:noHBand="0" w:noVBand="1"/>
      </w:tblPr>
      <w:tblGrid>
        <w:gridCol w:w="2906"/>
        <w:gridCol w:w="3811"/>
      </w:tblGrid>
      <w:tr w:rsidR="0020084E" w:rsidRPr="0020084E" w14:paraId="4B0A2232" w14:textId="77777777" w:rsidTr="002C2375">
        <w:trPr>
          <w:trHeight w:val="603"/>
          <w:jc w:val="center"/>
        </w:trPr>
        <w:tc>
          <w:tcPr>
            <w:tcW w:w="2906" w:type="dxa"/>
            <w:tcBorders>
              <w:top w:val="single" w:sz="4" w:space="0" w:color="000000"/>
              <w:left w:val="single" w:sz="4" w:space="0" w:color="000000"/>
              <w:bottom w:val="single" w:sz="4" w:space="0" w:color="000000"/>
              <w:right w:val="single" w:sz="4" w:space="0" w:color="000000"/>
            </w:tcBorders>
            <w:vAlign w:val="center"/>
          </w:tcPr>
          <w:p w14:paraId="48F8F251" w14:textId="77777777" w:rsidR="0020084E" w:rsidRPr="0020084E" w:rsidRDefault="0020084E" w:rsidP="0020084E">
            <w:pPr>
              <w:widowControl w:val="0"/>
              <w:tabs>
                <w:tab w:val="left" w:pos="284"/>
              </w:tabs>
              <w:spacing w:after="0" w:line="360" w:lineRule="auto"/>
              <w:ind w:firstLine="284"/>
              <w:rPr>
                <w:rFonts w:ascii="Arial" w:eastAsia="Times New Roman" w:hAnsi="Arial" w:cs="Arial"/>
                <w:b/>
                <w:sz w:val="20"/>
                <w:szCs w:val="20"/>
                <w:lang w:eastAsia="pl-PL"/>
              </w:rPr>
            </w:pPr>
            <w:r w:rsidRPr="0020084E">
              <w:rPr>
                <w:rFonts w:ascii="Arial" w:eastAsia="Times New Roman" w:hAnsi="Arial" w:cs="Arial"/>
                <w:b/>
                <w:sz w:val="20"/>
                <w:szCs w:val="20"/>
                <w:lang w:eastAsia="pl-PL"/>
              </w:rPr>
              <w:t>Uprawa</w:t>
            </w:r>
          </w:p>
        </w:tc>
        <w:tc>
          <w:tcPr>
            <w:tcW w:w="3811" w:type="dxa"/>
            <w:tcBorders>
              <w:top w:val="single" w:sz="4" w:space="0" w:color="000000"/>
              <w:left w:val="single" w:sz="4" w:space="0" w:color="000000"/>
              <w:bottom w:val="single" w:sz="4" w:space="0" w:color="000000"/>
              <w:right w:val="single" w:sz="4" w:space="0" w:color="000000"/>
            </w:tcBorders>
            <w:vAlign w:val="center"/>
          </w:tcPr>
          <w:p w14:paraId="1174DB34" w14:textId="77777777" w:rsidR="0020084E" w:rsidRPr="0020084E" w:rsidRDefault="0020084E" w:rsidP="0020084E">
            <w:pPr>
              <w:widowControl w:val="0"/>
              <w:tabs>
                <w:tab w:val="left" w:pos="284"/>
              </w:tabs>
              <w:spacing w:after="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Średni wskaźnik zużycia s.cz. [kg/ha]</w:t>
            </w:r>
          </w:p>
        </w:tc>
      </w:tr>
      <w:tr w:rsidR="0020084E" w:rsidRPr="0020084E" w14:paraId="292A06CF"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ECEB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gruntowy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C306F4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3,85</w:t>
            </w:r>
          </w:p>
        </w:tc>
      </w:tr>
      <w:tr w:rsidR="0020084E" w:rsidRPr="0020084E" w14:paraId="2D09615E"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C53EB0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pod osłonami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A6C0505"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2,977</w:t>
            </w:r>
          </w:p>
        </w:tc>
      </w:tr>
      <w:tr w:rsidR="0020084E" w:rsidRPr="0020084E" w14:paraId="4230B7BD"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BE910BD"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gruntowy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734085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7,241</w:t>
            </w:r>
          </w:p>
        </w:tc>
      </w:tr>
      <w:tr w:rsidR="0020084E" w:rsidRPr="0020084E" w14:paraId="63A1DF7F"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205A81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pod osłonami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E0EAA24"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2,597</w:t>
            </w:r>
          </w:p>
        </w:tc>
      </w:tr>
      <w:tr w:rsidR="0020084E" w:rsidRPr="0020084E" w14:paraId="5FCC1DC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0802B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ozima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25D492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1,322</w:t>
            </w:r>
          </w:p>
        </w:tc>
      </w:tr>
      <w:tr w:rsidR="0020084E" w:rsidRPr="0020084E" w14:paraId="57544A4E"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49E64FB"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Truskawka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B94D24B"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2,743</w:t>
            </w:r>
          </w:p>
        </w:tc>
      </w:tr>
      <w:tr w:rsidR="0020084E" w:rsidRPr="0020084E" w14:paraId="192F1364"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7B381FA"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Ziemniaki</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8E4663"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3,485</w:t>
            </w:r>
          </w:p>
        </w:tc>
      </w:tr>
      <w:tr w:rsidR="0020084E" w:rsidRPr="0020084E" w14:paraId="11BC347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E07AB7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Żyto</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74A8AD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0,314</w:t>
            </w:r>
          </w:p>
        </w:tc>
      </w:tr>
      <w:tr w:rsidR="0020084E" w:rsidRPr="0020084E" w14:paraId="3965FBF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C34959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Jabłoń</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5B80B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10,464</w:t>
            </w:r>
          </w:p>
        </w:tc>
      </w:tr>
      <w:tr w:rsidR="0020084E" w:rsidRPr="0020084E" w14:paraId="7F207C61"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8802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Jęczmień jary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45F6F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0,621</w:t>
            </w:r>
          </w:p>
        </w:tc>
      </w:tr>
      <w:tr w:rsidR="0020084E" w:rsidRPr="0020084E" w14:paraId="168C54B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5091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Malina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9F7E80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1,333</w:t>
            </w:r>
          </w:p>
        </w:tc>
      </w:tr>
      <w:tr w:rsidR="0020084E" w:rsidRPr="0020084E" w14:paraId="78F7967A"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09ACEF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Rzepak ozimy</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E02B57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1,739</w:t>
            </w:r>
          </w:p>
        </w:tc>
      </w:tr>
      <w:tr w:rsidR="0020084E" w:rsidRPr="0020084E" w14:paraId="0606F8E2"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54AB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lastRenderedPageBreak/>
              <w:t>Wiśnia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451827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5,602</w:t>
            </w:r>
          </w:p>
        </w:tc>
      </w:tr>
      <w:tr w:rsidR="0020084E" w:rsidRPr="0020084E" w14:paraId="0421F3BD"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86ADE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Kapusta głowiasta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CB1CF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1,084</w:t>
            </w:r>
          </w:p>
        </w:tc>
      </w:tr>
      <w:tr w:rsidR="0020084E" w:rsidRPr="0020084E" w14:paraId="4052CB9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5905741"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Owies</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D7017EE"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0,439</w:t>
            </w:r>
          </w:p>
        </w:tc>
      </w:tr>
      <w:tr w:rsidR="0020084E" w:rsidRPr="0020084E" w14:paraId="1B505AC7"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35960A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Porzeczka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6DDF01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2,973</w:t>
            </w:r>
          </w:p>
        </w:tc>
      </w:tr>
      <w:tr w:rsidR="0020084E" w:rsidRPr="0020084E" w14:paraId="3608FE38"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4B75583"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jara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8587EE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0,744</w:t>
            </w:r>
          </w:p>
        </w:tc>
      </w:tr>
      <w:tr w:rsidR="0020084E" w:rsidRPr="0020084E" w14:paraId="2EB75472" w14:textId="77777777" w:rsidTr="002C2375">
        <w:trPr>
          <w:trHeight w:val="503"/>
          <w:jc w:val="center"/>
        </w:trPr>
        <w:tc>
          <w:tcPr>
            <w:tcW w:w="290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20D7AD2"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Śliwa</w:t>
            </w:r>
          </w:p>
        </w:tc>
        <w:tc>
          <w:tcPr>
            <w:tcW w:w="3811"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A2D80E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1,524</w:t>
            </w:r>
          </w:p>
        </w:tc>
      </w:tr>
      <w:bookmarkEnd w:id="116"/>
    </w:tbl>
    <w:p w14:paraId="5D9988D3" w14:textId="5D513807" w:rsidR="00C51AD6" w:rsidRDefault="00C51AD6" w:rsidP="00C51AD6">
      <w:pPr>
        <w:spacing w:line="360" w:lineRule="auto"/>
        <w:rPr>
          <w:rFonts w:ascii="Arial" w:hAnsi="Arial" w:cs="Arial"/>
        </w:rPr>
      </w:pPr>
    </w:p>
    <w:p w14:paraId="390BD907" w14:textId="77777777" w:rsidR="003054D1" w:rsidRDefault="003054D1" w:rsidP="003054D1">
      <w:pPr>
        <w:pStyle w:val="NormalnyWeb"/>
        <w:tabs>
          <w:tab w:val="left" w:pos="284"/>
        </w:tabs>
        <w:spacing w:beforeAutospacing="0" w:after="120" w:afterAutospacing="0" w:line="360" w:lineRule="auto"/>
        <w:ind w:firstLine="284"/>
        <w:jc w:val="both"/>
        <w:rPr>
          <w:rFonts w:ascii="Arial" w:hAnsi="Arial" w:cs="Arial"/>
        </w:rPr>
      </w:pPr>
      <w:r w:rsidRPr="00B9474A">
        <w:rPr>
          <w:rFonts w:ascii="Arial" w:hAnsi="Arial" w:cs="Arial"/>
        </w:rPr>
        <w:t>W latach 2021 i 2022 przeprowadzono badanie zużycia środków ochrony roślin dla 12 upraw referencyjnych za rok 2020</w:t>
      </w:r>
      <w:r>
        <w:rPr>
          <w:rFonts w:ascii="Arial" w:hAnsi="Arial" w:cs="Arial"/>
        </w:rPr>
        <w:t xml:space="preserve"> zgodnie z wytycznymi EUROSTAT</w:t>
      </w:r>
      <w:r w:rsidRPr="00B9474A">
        <w:rPr>
          <w:rFonts w:ascii="Arial" w:hAnsi="Arial" w:cs="Arial"/>
        </w:rPr>
        <w:t>. Badanie objęło uprawy: buraka cukrowego, cebuli, jabłoni, jęczmienia jarego, kapusty głowiastej, kukurydzy na ziarno, marchwi, pomidora gruntowego, pszenicy ozimej, rzepaku ozimego, truskawki i ziemniaków. Badanie przeprowadzono w ramach kolejnego cyklu badania zużycia środków ochrony roślin obejmującego lata 2020-2024 r.</w:t>
      </w:r>
    </w:p>
    <w:p w14:paraId="2F991F14" w14:textId="77777777" w:rsidR="00277306" w:rsidRDefault="00277306" w:rsidP="003054D1">
      <w:pPr>
        <w:pStyle w:val="NormalnyWeb"/>
        <w:tabs>
          <w:tab w:val="left" w:pos="284"/>
        </w:tabs>
        <w:spacing w:beforeAutospacing="0" w:after="120" w:afterAutospacing="0" w:line="360" w:lineRule="auto"/>
        <w:ind w:firstLine="284"/>
        <w:jc w:val="both"/>
        <w:rPr>
          <w:rFonts w:ascii="Arial" w:hAnsi="Arial" w:cs="Arial"/>
        </w:rPr>
      </w:pPr>
    </w:p>
    <w:p w14:paraId="16DF5D4F" w14:textId="10479960" w:rsidR="000E4AC0" w:rsidRDefault="000E4AC0" w:rsidP="003054D1">
      <w:pPr>
        <w:pStyle w:val="NormalnyWeb"/>
        <w:tabs>
          <w:tab w:val="left" w:pos="284"/>
        </w:tabs>
        <w:spacing w:beforeAutospacing="0" w:after="120" w:afterAutospacing="0" w:line="360" w:lineRule="auto"/>
        <w:ind w:firstLine="284"/>
        <w:jc w:val="both"/>
        <w:rPr>
          <w:rFonts w:ascii="Arial" w:hAnsi="Arial" w:cs="Arial"/>
        </w:rPr>
      </w:pPr>
      <w:r w:rsidRPr="0020084E">
        <w:rPr>
          <w:rFonts w:ascii="Arial" w:hAnsi="Arial" w:cs="Arial"/>
          <w:b/>
        </w:rPr>
        <w:t>Tabela – Średni wskaźnik zużycia s.cz. w kg/ha w badanych uprawach</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3472"/>
        <w:gridCol w:w="3048"/>
      </w:tblGrid>
      <w:tr w:rsidR="00CE2571" w:rsidRPr="00B9474A" w14:paraId="458F470E" w14:textId="77777777" w:rsidTr="00F841F4">
        <w:trPr>
          <w:trHeight w:val="28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437D740" w14:textId="77777777" w:rsidR="00CE2571" w:rsidRPr="00B9474A" w:rsidRDefault="00CE2571" w:rsidP="00F841F4">
            <w:pPr>
              <w:spacing w:before="40" w:after="40"/>
              <w:jc w:val="center"/>
              <w:rPr>
                <w:rFonts w:ascii="Arial" w:eastAsia="Times New Roman" w:hAnsi="Arial" w:cs="Arial"/>
                <w:b/>
                <w:bCs/>
                <w:color w:val="000000"/>
                <w:sz w:val="20"/>
                <w:szCs w:val="20"/>
                <w:lang w:eastAsia="pl-PL"/>
              </w:rPr>
            </w:pPr>
            <w:r w:rsidRPr="00B9474A">
              <w:rPr>
                <w:rFonts w:ascii="Arial" w:eastAsia="Times New Roman" w:hAnsi="Arial" w:cs="Arial"/>
                <w:b/>
                <w:bCs/>
                <w:color w:val="000000"/>
                <w:sz w:val="20"/>
                <w:szCs w:val="20"/>
                <w:lang w:eastAsia="pl-PL"/>
              </w:rPr>
              <w:t>Uprawa</w:t>
            </w:r>
          </w:p>
        </w:tc>
        <w:tc>
          <w:tcPr>
            <w:tcW w:w="3472" w:type="dxa"/>
            <w:tcBorders>
              <w:top w:val="single" w:sz="4" w:space="0" w:color="auto"/>
              <w:left w:val="single" w:sz="4" w:space="0" w:color="auto"/>
              <w:bottom w:val="single" w:sz="4" w:space="0" w:color="auto"/>
              <w:right w:val="single" w:sz="4" w:space="0" w:color="auto"/>
            </w:tcBorders>
            <w:noWrap/>
            <w:vAlign w:val="center"/>
            <w:hideMark/>
          </w:tcPr>
          <w:p w14:paraId="7D499A8C" w14:textId="77777777" w:rsidR="00CE2571" w:rsidRPr="00B9474A" w:rsidRDefault="00CE2571" w:rsidP="00F841F4">
            <w:pPr>
              <w:spacing w:before="40" w:after="40"/>
              <w:jc w:val="center"/>
              <w:rPr>
                <w:rFonts w:ascii="Arial" w:eastAsia="Times New Roman" w:hAnsi="Arial" w:cs="Arial"/>
                <w:b/>
                <w:bCs/>
                <w:color w:val="000000"/>
                <w:sz w:val="20"/>
                <w:szCs w:val="20"/>
                <w:lang w:eastAsia="pl-PL"/>
              </w:rPr>
            </w:pPr>
            <w:r w:rsidRPr="00B9474A">
              <w:rPr>
                <w:rFonts w:ascii="Arial" w:eastAsia="Times New Roman" w:hAnsi="Arial" w:cs="Arial"/>
                <w:b/>
                <w:bCs/>
                <w:color w:val="000000"/>
                <w:sz w:val="20"/>
                <w:szCs w:val="20"/>
                <w:lang w:eastAsia="pl-PL"/>
              </w:rPr>
              <w:t>Średni wskaźnik zużycia s.cz. [kg/ha]</w:t>
            </w:r>
          </w:p>
        </w:tc>
        <w:tc>
          <w:tcPr>
            <w:tcW w:w="3048" w:type="dxa"/>
            <w:tcBorders>
              <w:top w:val="single" w:sz="4" w:space="0" w:color="auto"/>
              <w:left w:val="single" w:sz="4" w:space="0" w:color="auto"/>
              <w:bottom w:val="single" w:sz="4" w:space="0" w:color="auto"/>
              <w:right w:val="single" w:sz="4" w:space="0" w:color="auto"/>
            </w:tcBorders>
            <w:vAlign w:val="center"/>
            <w:hideMark/>
          </w:tcPr>
          <w:p w14:paraId="0BBAE712" w14:textId="77777777" w:rsidR="00CE2571" w:rsidRPr="00B9474A" w:rsidRDefault="00CE2571" w:rsidP="00F841F4">
            <w:pPr>
              <w:spacing w:before="40" w:after="40"/>
              <w:jc w:val="center"/>
              <w:rPr>
                <w:rFonts w:ascii="Arial" w:eastAsia="Times New Roman" w:hAnsi="Arial" w:cs="Arial"/>
                <w:b/>
                <w:bCs/>
                <w:color w:val="000000"/>
                <w:sz w:val="20"/>
                <w:szCs w:val="20"/>
                <w:lang w:eastAsia="pl-PL"/>
              </w:rPr>
            </w:pPr>
            <w:r w:rsidRPr="00B9474A">
              <w:rPr>
                <w:rFonts w:ascii="Arial" w:eastAsia="Times New Roman" w:hAnsi="Arial" w:cs="Arial"/>
                <w:b/>
                <w:bCs/>
                <w:color w:val="000000"/>
                <w:sz w:val="20"/>
                <w:szCs w:val="20"/>
                <w:lang w:eastAsia="pl-PL"/>
              </w:rPr>
              <w:t>Średni wskaźnik zużycia s.cz.</w:t>
            </w:r>
          </w:p>
          <w:p w14:paraId="1C3F5AE8" w14:textId="77777777" w:rsidR="00CE2571" w:rsidRPr="00B9474A" w:rsidRDefault="00CE2571" w:rsidP="00F841F4">
            <w:pPr>
              <w:spacing w:before="40" w:after="40"/>
              <w:jc w:val="center"/>
              <w:rPr>
                <w:rFonts w:ascii="Arial" w:eastAsia="Times New Roman" w:hAnsi="Arial" w:cs="Arial"/>
                <w:b/>
                <w:bCs/>
                <w:color w:val="000000"/>
                <w:sz w:val="20"/>
                <w:szCs w:val="20"/>
                <w:lang w:eastAsia="pl-PL"/>
              </w:rPr>
            </w:pPr>
            <w:r w:rsidRPr="00B9474A">
              <w:rPr>
                <w:rFonts w:ascii="Arial" w:eastAsia="Times New Roman" w:hAnsi="Arial" w:cs="Arial"/>
                <w:b/>
                <w:bCs/>
                <w:color w:val="000000"/>
                <w:sz w:val="20"/>
                <w:szCs w:val="20"/>
                <w:lang w:eastAsia="pl-PL"/>
              </w:rPr>
              <w:t>na powierzchnię chronioną [kg/ha]</w:t>
            </w:r>
          </w:p>
        </w:tc>
      </w:tr>
      <w:tr w:rsidR="00CE2571" w:rsidRPr="00B9474A" w14:paraId="6CEB655B" w14:textId="77777777" w:rsidTr="00F841F4">
        <w:tblPrEx>
          <w:jc w:val="left"/>
        </w:tblPrEx>
        <w:trPr>
          <w:trHeight w:val="340"/>
        </w:trPr>
        <w:tc>
          <w:tcPr>
            <w:tcW w:w="1980" w:type="dxa"/>
            <w:shd w:val="clear" w:color="auto" w:fill="auto"/>
            <w:noWrap/>
            <w:tcMar>
              <w:top w:w="28" w:type="dxa"/>
              <w:left w:w="68" w:type="dxa"/>
              <w:bottom w:w="28" w:type="dxa"/>
              <w:right w:w="68" w:type="dxa"/>
            </w:tcMar>
            <w:vAlign w:val="center"/>
          </w:tcPr>
          <w:p w14:paraId="24A5B695"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Burak cukrowy</w:t>
            </w:r>
          </w:p>
        </w:tc>
        <w:tc>
          <w:tcPr>
            <w:tcW w:w="3472" w:type="dxa"/>
            <w:shd w:val="clear" w:color="auto" w:fill="auto"/>
            <w:noWrap/>
            <w:tcMar>
              <w:top w:w="28" w:type="dxa"/>
              <w:left w:w="68" w:type="dxa"/>
              <w:bottom w:w="28" w:type="dxa"/>
              <w:right w:w="68" w:type="dxa"/>
            </w:tcMar>
            <w:vAlign w:val="center"/>
          </w:tcPr>
          <w:p w14:paraId="045A4B73"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2,813</w:t>
            </w:r>
          </w:p>
        </w:tc>
        <w:tc>
          <w:tcPr>
            <w:tcW w:w="3048" w:type="dxa"/>
            <w:vAlign w:val="center"/>
          </w:tcPr>
          <w:p w14:paraId="170D1BAC"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2,813</w:t>
            </w:r>
          </w:p>
        </w:tc>
      </w:tr>
      <w:tr w:rsidR="00CE2571" w:rsidRPr="00B9474A" w14:paraId="1EEB1C47"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1D9C4607"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Cebula</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0F3738A9"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4,338</w:t>
            </w:r>
          </w:p>
        </w:tc>
        <w:tc>
          <w:tcPr>
            <w:tcW w:w="3048" w:type="dxa"/>
            <w:tcBorders>
              <w:top w:val="single" w:sz="4" w:space="0" w:color="auto"/>
              <w:left w:val="single" w:sz="4" w:space="0" w:color="auto"/>
              <w:bottom w:val="single" w:sz="4" w:space="0" w:color="auto"/>
              <w:right w:val="single" w:sz="4" w:space="0" w:color="auto"/>
            </w:tcBorders>
            <w:vAlign w:val="center"/>
          </w:tcPr>
          <w:p w14:paraId="5485751F"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4,346</w:t>
            </w:r>
          </w:p>
        </w:tc>
      </w:tr>
      <w:tr w:rsidR="00CE2571" w:rsidRPr="00B9474A" w14:paraId="27B62CAB"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3CA8867E"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Jabłoń</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283C5A2E"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12,834</w:t>
            </w:r>
          </w:p>
        </w:tc>
        <w:tc>
          <w:tcPr>
            <w:tcW w:w="3048" w:type="dxa"/>
            <w:tcBorders>
              <w:top w:val="single" w:sz="4" w:space="0" w:color="auto"/>
              <w:left w:val="single" w:sz="4" w:space="0" w:color="auto"/>
              <w:bottom w:val="single" w:sz="4" w:space="0" w:color="auto"/>
              <w:right w:val="single" w:sz="4" w:space="0" w:color="auto"/>
            </w:tcBorders>
            <w:vAlign w:val="center"/>
          </w:tcPr>
          <w:p w14:paraId="2E5C5859"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14,092</w:t>
            </w:r>
          </w:p>
        </w:tc>
      </w:tr>
      <w:tr w:rsidR="00CE2571" w:rsidRPr="00B9474A" w14:paraId="1F6748C3"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12DC69E6"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Jęczmień jary</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2CD764DD"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0,564</w:t>
            </w:r>
          </w:p>
        </w:tc>
        <w:tc>
          <w:tcPr>
            <w:tcW w:w="3048" w:type="dxa"/>
            <w:tcBorders>
              <w:top w:val="single" w:sz="4" w:space="0" w:color="auto"/>
              <w:left w:val="single" w:sz="4" w:space="0" w:color="auto"/>
              <w:bottom w:val="single" w:sz="4" w:space="0" w:color="auto"/>
              <w:right w:val="single" w:sz="4" w:space="0" w:color="auto"/>
            </w:tcBorders>
            <w:vAlign w:val="center"/>
          </w:tcPr>
          <w:p w14:paraId="5E4530A0"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0,576</w:t>
            </w:r>
          </w:p>
        </w:tc>
      </w:tr>
      <w:tr w:rsidR="00CE2571" w:rsidRPr="00B9474A" w14:paraId="1A9103F8"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585F2420"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Kapusta głowiasta</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54F9BDCF"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1,18</w:t>
            </w:r>
          </w:p>
        </w:tc>
        <w:tc>
          <w:tcPr>
            <w:tcW w:w="3048" w:type="dxa"/>
            <w:tcBorders>
              <w:top w:val="single" w:sz="4" w:space="0" w:color="auto"/>
              <w:left w:val="single" w:sz="4" w:space="0" w:color="auto"/>
              <w:bottom w:val="single" w:sz="4" w:space="0" w:color="auto"/>
              <w:right w:val="single" w:sz="4" w:space="0" w:color="auto"/>
            </w:tcBorders>
            <w:vAlign w:val="center"/>
          </w:tcPr>
          <w:p w14:paraId="0BF39468"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1,206</w:t>
            </w:r>
          </w:p>
        </w:tc>
      </w:tr>
      <w:tr w:rsidR="00CE2571" w:rsidRPr="00B9474A" w14:paraId="706D5DD3"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851FEAF"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Kukurydza na ziarno</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0CA46541"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0,606</w:t>
            </w:r>
          </w:p>
        </w:tc>
        <w:tc>
          <w:tcPr>
            <w:tcW w:w="3048" w:type="dxa"/>
            <w:tcBorders>
              <w:top w:val="single" w:sz="4" w:space="0" w:color="auto"/>
              <w:left w:val="single" w:sz="4" w:space="0" w:color="auto"/>
              <w:bottom w:val="single" w:sz="4" w:space="0" w:color="auto"/>
              <w:right w:val="single" w:sz="4" w:space="0" w:color="auto"/>
            </w:tcBorders>
            <w:vAlign w:val="center"/>
            <w:hideMark/>
          </w:tcPr>
          <w:p w14:paraId="19CD34C0"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0,613</w:t>
            </w:r>
          </w:p>
        </w:tc>
      </w:tr>
      <w:tr w:rsidR="00CE2571" w:rsidRPr="00B9474A" w14:paraId="2FF34FEF"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2EB54AB5"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Marchew</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7BFFE0AF"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1,942</w:t>
            </w:r>
          </w:p>
        </w:tc>
        <w:tc>
          <w:tcPr>
            <w:tcW w:w="3048" w:type="dxa"/>
            <w:tcBorders>
              <w:top w:val="single" w:sz="4" w:space="0" w:color="auto"/>
              <w:left w:val="single" w:sz="4" w:space="0" w:color="auto"/>
              <w:bottom w:val="single" w:sz="4" w:space="0" w:color="auto"/>
              <w:right w:val="single" w:sz="4" w:space="0" w:color="auto"/>
            </w:tcBorders>
            <w:vAlign w:val="center"/>
            <w:hideMark/>
          </w:tcPr>
          <w:p w14:paraId="225B9F19"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2,015</w:t>
            </w:r>
          </w:p>
        </w:tc>
      </w:tr>
      <w:tr w:rsidR="00CE2571" w:rsidRPr="00B9474A" w14:paraId="1EF7B355"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244E531A"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Pomidor gruntowy</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6BD6C6AA"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4,961</w:t>
            </w:r>
          </w:p>
        </w:tc>
        <w:tc>
          <w:tcPr>
            <w:tcW w:w="3048" w:type="dxa"/>
            <w:tcBorders>
              <w:top w:val="single" w:sz="4" w:space="0" w:color="auto"/>
              <w:left w:val="single" w:sz="4" w:space="0" w:color="auto"/>
              <w:bottom w:val="single" w:sz="4" w:space="0" w:color="auto"/>
              <w:right w:val="single" w:sz="4" w:space="0" w:color="auto"/>
            </w:tcBorders>
            <w:vAlign w:val="center"/>
            <w:hideMark/>
          </w:tcPr>
          <w:p w14:paraId="299046C5"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6,633</w:t>
            </w:r>
          </w:p>
        </w:tc>
      </w:tr>
      <w:tr w:rsidR="00CE2571" w:rsidRPr="00B9474A" w14:paraId="3AA31432"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1FA78D76"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Pszenica ozima</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79EAA993"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1,239</w:t>
            </w:r>
          </w:p>
        </w:tc>
        <w:tc>
          <w:tcPr>
            <w:tcW w:w="3048" w:type="dxa"/>
            <w:tcBorders>
              <w:top w:val="single" w:sz="4" w:space="0" w:color="auto"/>
              <w:left w:val="single" w:sz="4" w:space="0" w:color="auto"/>
              <w:bottom w:val="single" w:sz="4" w:space="0" w:color="auto"/>
              <w:right w:val="single" w:sz="4" w:space="0" w:color="auto"/>
            </w:tcBorders>
            <w:vAlign w:val="center"/>
          </w:tcPr>
          <w:p w14:paraId="3A787812"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1,262</w:t>
            </w:r>
          </w:p>
        </w:tc>
      </w:tr>
      <w:tr w:rsidR="00CE2571" w:rsidRPr="00B9474A" w14:paraId="6012512F"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1D4A8AD9"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Rzepak ozimy</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4FBD61A6"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1,673</w:t>
            </w:r>
          </w:p>
        </w:tc>
        <w:tc>
          <w:tcPr>
            <w:tcW w:w="3048" w:type="dxa"/>
            <w:tcBorders>
              <w:top w:val="single" w:sz="4" w:space="0" w:color="auto"/>
              <w:left w:val="single" w:sz="4" w:space="0" w:color="auto"/>
              <w:bottom w:val="single" w:sz="4" w:space="0" w:color="auto"/>
              <w:right w:val="single" w:sz="4" w:space="0" w:color="auto"/>
            </w:tcBorders>
            <w:vAlign w:val="center"/>
            <w:hideMark/>
          </w:tcPr>
          <w:p w14:paraId="2F580DB3"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1,687</w:t>
            </w:r>
          </w:p>
        </w:tc>
      </w:tr>
      <w:tr w:rsidR="00CE2571" w:rsidRPr="00B9474A" w14:paraId="4BAD9919"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39C16B04"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Truskawka</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tcPr>
          <w:p w14:paraId="4C33445B"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2,503</w:t>
            </w:r>
          </w:p>
        </w:tc>
        <w:tc>
          <w:tcPr>
            <w:tcW w:w="3048" w:type="dxa"/>
            <w:tcBorders>
              <w:top w:val="single" w:sz="4" w:space="0" w:color="auto"/>
              <w:left w:val="single" w:sz="4" w:space="0" w:color="auto"/>
              <w:bottom w:val="single" w:sz="4" w:space="0" w:color="auto"/>
              <w:right w:val="single" w:sz="4" w:space="0" w:color="auto"/>
            </w:tcBorders>
            <w:vAlign w:val="center"/>
          </w:tcPr>
          <w:p w14:paraId="65D230F8" w14:textId="77777777" w:rsidR="00CE2571" w:rsidRPr="00B9474A" w:rsidRDefault="00CE2571" w:rsidP="00F841F4">
            <w:pPr>
              <w:spacing w:line="240" w:lineRule="auto"/>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2,756</w:t>
            </w:r>
          </w:p>
        </w:tc>
      </w:tr>
      <w:tr w:rsidR="00CE2571" w:rsidRPr="00271C1A" w14:paraId="679664D7" w14:textId="77777777" w:rsidTr="00F841F4">
        <w:trPr>
          <w:jc w:val="center"/>
        </w:trPr>
        <w:tc>
          <w:tcPr>
            <w:tcW w:w="1980"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5DD72959"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Ziemniaki</w:t>
            </w:r>
          </w:p>
        </w:tc>
        <w:tc>
          <w:tcPr>
            <w:tcW w:w="3472"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vAlign w:val="center"/>
            <w:hideMark/>
          </w:tcPr>
          <w:p w14:paraId="225A304C" w14:textId="77777777" w:rsidR="00CE2571" w:rsidRPr="00B9474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3,670</w:t>
            </w:r>
          </w:p>
        </w:tc>
        <w:tc>
          <w:tcPr>
            <w:tcW w:w="3048" w:type="dxa"/>
            <w:tcBorders>
              <w:top w:val="single" w:sz="4" w:space="0" w:color="auto"/>
              <w:left w:val="single" w:sz="4" w:space="0" w:color="auto"/>
              <w:bottom w:val="single" w:sz="4" w:space="0" w:color="auto"/>
              <w:right w:val="single" w:sz="4" w:space="0" w:color="auto"/>
            </w:tcBorders>
            <w:vAlign w:val="center"/>
            <w:hideMark/>
          </w:tcPr>
          <w:p w14:paraId="78FB9BD6" w14:textId="77777777" w:rsidR="00CE2571" w:rsidRPr="00271C1A" w:rsidRDefault="00CE2571" w:rsidP="00F841F4">
            <w:pPr>
              <w:jc w:val="center"/>
              <w:rPr>
                <w:rFonts w:ascii="Arial" w:eastAsia="Times New Roman" w:hAnsi="Arial" w:cs="Arial"/>
                <w:color w:val="000000"/>
                <w:sz w:val="20"/>
                <w:szCs w:val="20"/>
                <w:lang w:eastAsia="pl-PL"/>
              </w:rPr>
            </w:pPr>
            <w:r w:rsidRPr="00B9474A">
              <w:rPr>
                <w:rFonts w:ascii="Arial" w:eastAsia="Times New Roman" w:hAnsi="Arial" w:cs="Arial"/>
                <w:color w:val="000000"/>
                <w:sz w:val="20"/>
                <w:szCs w:val="20"/>
                <w:lang w:eastAsia="pl-PL"/>
              </w:rPr>
              <w:t>3,96</w:t>
            </w:r>
          </w:p>
        </w:tc>
      </w:tr>
    </w:tbl>
    <w:p w14:paraId="1FC76CBD"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17" w:name="_Toc161744903"/>
      <w:r w:rsidRPr="00925BCD">
        <w:rPr>
          <w:i w:val="0"/>
          <w:sz w:val="20"/>
          <w:szCs w:val="20"/>
        </w:rPr>
        <w:lastRenderedPageBreak/>
        <w:t>Podzadanie 3. Prowadzenie badań dotyczących integrowanej ochrony roślin</w:t>
      </w:r>
      <w:bookmarkEnd w:id="117"/>
      <w:r w:rsidRPr="00925BCD">
        <w:rPr>
          <w:i w:val="0"/>
          <w:sz w:val="20"/>
          <w:szCs w:val="20"/>
        </w:rPr>
        <w:t xml:space="preserve"> </w:t>
      </w:r>
    </w:p>
    <w:p w14:paraId="40A34F06" w14:textId="4600E89A"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Dla prawidłowego zobrazowania efektywności działań krajowego planu działania są </w:t>
      </w:r>
      <w:r w:rsidR="00A50CDD">
        <w:rPr>
          <w:rFonts w:ascii="Arial" w:hAnsi="Arial" w:cs="Arial"/>
        </w:rPr>
        <w:t>niezbędn</w:t>
      </w:r>
      <w:r w:rsidR="002A3066">
        <w:rPr>
          <w:rFonts w:ascii="Arial" w:hAnsi="Arial" w:cs="Arial"/>
        </w:rPr>
        <w:t>e</w:t>
      </w:r>
      <w:r w:rsidRPr="00925BCD">
        <w:rPr>
          <w:rFonts w:ascii="Arial" w:hAnsi="Arial" w:cs="Arial"/>
        </w:rPr>
        <w:t xml:space="preserve"> aktualne dane dotyczące znajomości przez rolników zasad integrowanej ochrony roślin oraz prawidłowości zachowań podczas przygotowywania zabiegu ochrony roślin, stosowania środka ochrony roślin, a także bezpośrednio po zabiegu. Dane te są zbierane w ramach badań realizowanych przez Główny Urząd Statystyczny.</w:t>
      </w:r>
    </w:p>
    <w:p w14:paraId="186E5A03" w14:textId="605A5E7D" w:rsidR="00635299" w:rsidRPr="007866B2" w:rsidRDefault="00E54725" w:rsidP="0063529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w:t>
      </w:r>
      <w:r w:rsidR="00D043DB">
        <w:rPr>
          <w:rFonts w:ascii="Arial" w:hAnsi="Arial" w:cs="Arial"/>
        </w:rPr>
        <w:t>ń prowadzonych</w:t>
      </w:r>
      <w:r w:rsidRPr="00925BCD">
        <w:rPr>
          <w:rFonts w:ascii="Arial" w:hAnsi="Arial" w:cs="Arial"/>
        </w:rPr>
        <w:t xml:space="preserve"> przez Główny Urząd Statystyczny w </w:t>
      </w:r>
      <w:r w:rsidR="00FE5D99">
        <w:rPr>
          <w:rFonts w:ascii="Arial" w:hAnsi="Arial" w:cs="Arial"/>
        </w:rPr>
        <w:t xml:space="preserve">latach </w:t>
      </w:r>
      <w:r w:rsidRPr="00925BCD">
        <w:rPr>
          <w:rFonts w:ascii="Arial" w:hAnsi="Arial" w:cs="Arial"/>
        </w:rPr>
        <w:t>2018</w:t>
      </w:r>
      <w:r w:rsidR="00FE5D99" w:rsidRPr="00925BCD">
        <w:rPr>
          <w:rFonts w:ascii="Arial" w:hAnsi="Arial" w:cs="Arial"/>
        </w:rPr>
        <w:t>–</w:t>
      </w:r>
      <w:r w:rsidR="007A2948">
        <w:rPr>
          <w:rFonts w:ascii="Arial" w:hAnsi="Arial" w:cs="Arial"/>
        </w:rPr>
        <w:t>2020</w:t>
      </w:r>
      <w:r w:rsidR="00C13DEE">
        <w:rPr>
          <w:rFonts w:ascii="Arial" w:hAnsi="Arial" w:cs="Arial"/>
        </w:rPr>
        <w:t xml:space="preserve"> </w:t>
      </w:r>
      <w:r w:rsidRPr="00925BCD">
        <w:rPr>
          <w:rFonts w:ascii="Arial" w:hAnsi="Arial" w:cs="Arial"/>
        </w:rPr>
        <w:t>wykazują</w:t>
      </w:r>
      <w:r w:rsidR="00C13DEE">
        <w:rPr>
          <w:rFonts w:ascii="Arial" w:hAnsi="Arial" w:cs="Arial"/>
        </w:rPr>
        <w:t xml:space="preserve"> kolejno</w:t>
      </w:r>
      <w:r w:rsidRPr="00925BCD">
        <w:rPr>
          <w:rFonts w:ascii="Arial" w:hAnsi="Arial" w:cs="Arial"/>
        </w:rPr>
        <w:t xml:space="preserve">, </w:t>
      </w:r>
      <w:r w:rsidRPr="00A917DC">
        <w:rPr>
          <w:rFonts w:ascii="Arial" w:hAnsi="Arial" w:cs="Arial"/>
        </w:rPr>
        <w:t xml:space="preserve">że w populacji liczącej </w:t>
      </w:r>
      <w:r w:rsidR="00711838" w:rsidRPr="00A917DC">
        <w:rPr>
          <w:rFonts w:ascii="Arial" w:hAnsi="Arial" w:cs="Arial"/>
        </w:rPr>
        <w:t xml:space="preserve">kolejno </w:t>
      </w:r>
      <w:r w:rsidRPr="007866B2">
        <w:rPr>
          <w:rFonts w:ascii="Arial" w:hAnsi="Arial" w:cs="Arial"/>
        </w:rPr>
        <w:t>1 42</w:t>
      </w:r>
      <w:r w:rsidR="00C13DEE" w:rsidRPr="007866B2">
        <w:rPr>
          <w:rFonts w:ascii="Arial" w:hAnsi="Arial" w:cs="Arial"/>
        </w:rPr>
        <w:t>8</w:t>
      </w:r>
      <w:r w:rsidR="00711838" w:rsidRPr="007866B2">
        <w:rPr>
          <w:rFonts w:ascii="Arial" w:hAnsi="Arial" w:cs="Arial"/>
        </w:rPr>
        <w:t> </w:t>
      </w:r>
      <w:r w:rsidR="00C13DEE" w:rsidRPr="007866B2">
        <w:rPr>
          <w:rFonts w:ascii="Arial" w:hAnsi="Arial" w:cs="Arial"/>
        </w:rPr>
        <w:t>781</w:t>
      </w:r>
      <w:r w:rsidR="00711838" w:rsidRPr="007866B2">
        <w:rPr>
          <w:rFonts w:ascii="Arial" w:hAnsi="Arial" w:cs="Arial"/>
        </w:rPr>
        <w:t>, 1 409 3789 i 1 317 400</w:t>
      </w:r>
      <w:r w:rsidRPr="007866B2">
        <w:rPr>
          <w:rFonts w:ascii="Arial" w:hAnsi="Arial" w:cs="Arial"/>
        </w:rPr>
        <w:t xml:space="preserve"> gospodarstw, w 955 995</w:t>
      </w:r>
      <w:r w:rsidR="005F4A60" w:rsidRPr="007866B2">
        <w:rPr>
          <w:rFonts w:ascii="Arial" w:hAnsi="Arial" w:cs="Arial"/>
        </w:rPr>
        <w:t>, 905 021 i 905 </w:t>
      </w:r>
      <w:r w:rsidR="00C601D7">
        <w:rPr>
          <w:rFonts w:ascii="Arial" w:hAnsi="Arial" w:cs="Arial"/>
        </w:rPr>
        <w:t>377</w:t>
      </w:r>
      <w:r w:rsidR="005F4A60" w:rsidRPr="007866B2">
        <w:rPr>
          <w:rFonts w:ascii="Arial" w:hAnsi="Arial" w:cs="Arial"/>
        </w:rPr>
        <w:t xml:space="preserve"> </w:t>
      </w:r>
      <w:r w:rsidRPr="007866B2">
        <w:rPr>
          <w:rFonts w:ascii="Arial" w:hAnsi="Arial" w:cs="Arial"/>
        </w:rPr>
        <w:t>przypadkach użytkownicy stosowali środki ochrony roślin, w tym</w:t>
      </w:r>
      <w:r w:rsidR="00101B45" w:rsidRPr="007866B2">
        <w:rPr>
          <w:rFonts w:ascii="Arial" w:hAnsi="Arial" w:cs="Arial"/>
        </w:rPr>
        <w:t xml:space="preserve"> w tabeli poniżej podano </w:t>
      </w:r>
      <w:r w:rsidR="00635299" w:rsidRPr="007866B2">
        <w:rPr>
          <w:rFonts w:ascii="Arial" w:hAnsi="Arial" w:cs="Arial"/>
        </w:rPr>
        <w:t>liczbę:</w:t>
      </w:r>
    </w:p>
    <w:p w14:paraId="3C43768D" w14:textId="55C54F59" w:rsidR="00056846" w:rsidRPr="00A917DC" w:rsidRDefault="00E54725" w:rsidP="00A917DC">
      <w:pPr>
        <w:pStyle w:val="NormalnyWeb"/>
        <w:numPr>
          <w:ilvl w:val="0"/>
          <w:numId w:val="25"/>
        </w:numPr>
        <w:tabs>
          <w:tab w:val="left" w:pos="284"/>
        </w:tabs>
        <w:spacing w:beforeAutospacing="0" w:after="120" w:afterAutospacing="0" w:line="360" w:lineRule="auto"/>
        <w:jc w:val="both"/>
        <w:rPr>
          <w:rFonts w:ascii="Arial" w:hAnsi="Arial" w:cs="Arial"/>
        </w:rPr>
      </w:pPr>
      <w:r w:rsidRPr="007866B2">
        <w:rPr>
          <w:rFonts w:ascii="Arial" w:hAnsi="Arial" w:cs="Arial"/>
        </w:rPr>
        <w:t>użytkowników gospodarstw</w:t>
      </w:r>
      <w:r w:rsidR="00635299" w:rsidRPr="007866B2">
        <w:rPr>
          <w:rFonts w:ascii="Arial" w:hAnsi="Arial" w:cs="Arial"/>
        </w:rPr>
        <w:t xml:space="preserve">, którzy </w:t>
      </w:r>
      <w:r w:rsidRPr="007866B2">
        <w:rPr>
          <w:rFonts w:ascii="Arial" w:hAnsi="Arial" w:cs="Arial"/>
        </w:rPr>
        <w:t xml:space="preserve">podejmując decyzję o konieczności zastosowania środków ochrony roślin korzystało z personalnego doradztwa rolniczego w Ośrodkach Doradztwa Rolniczego, Państwowej Inspekcji Ochrony Roślin i Nasiennictwa, Instytutach </w:t>
      </w:r>
      <w:r w:rsidRPr="00A917DC">
        <w:rPr>
          <w:rFonts w:ascii="Arial" w:hAnsi="Arial" w:cs="Arial"/>
        </w:rPr>
        <w:t>a także w ramach doradztwa prywatnego</w:t>
      </w:r>
      <w:r w:rsidR="00A917DC" w:rsidRPr="00A917DC">
        <w:rPr>
          <w:rFonts w:ascii="Arial" w:hAnsi="Arial" w:cs="Arial"/>
        </w:rPr>
        <w:t>,</w:t>
      </w:r>
      <w:r w:rsidRPr="00A917DC">
        <w:rPr>
          <w:rFonts w:ascii="Arial" w:hAnsi="Arial" w:cs="Arial"/>
        </w:rPr>
        <w:t xml:space="preserve"> </w:t>
      </w:r>
    </w:p>
    <w:p w14:paraId="0327C12A" w14:textId="277FE4B6"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A917DC">
        <w:rPr>
          <w:rFonts w:ascii="Arial" w:hAnsi="Arial" w:cs="Arial"/>
        </w:rPr>
        <w:t>użytkowników gospodarstw</w:t>
      </w:r>
      <w:r w:rsidR="00A917DC">
        <w:rPr>
          <w:rFonts w:ascii="Arial" w:hAnsi="Arial" w:cs="Arial"/>
        </w:rPr>
        <w:t>, którzy</w:t>
      </w:r>
      <w:r w:rsidRPr="00A917DC">
        <w:rPr>
          <w:rFonts w:ascii="Arial" w:hAnsi="Arial" w:cs="Arial"/>
        </w:rPr>
        <w:t xml:space="preserve"> podejmując decyzję o konieczności zastosowania</w:t>
      </w:r>
      <w:r w:rsidRPr="00925BCD">
        <w:rPr>
          <w:rFonts w:ascii="Arial" w:hAnsi="Arial" w:cs="Arial"/>
        </w:rPr>
        <w:t xml:space="preserve"> środków ochrony roślin korzystało z systemów wspomagania decyzji w ochronie roślin wskazujących optymalny termin wykonania zabiegów ochrony roślin</w:t>
      </w:r>
      <w:r w:rsidR="00A917DC">
        <w:rPr>
          <w:rFonts w:ascii="Arial" w:hAnsi="Arial" w:cs="Arial"/>
        </w:rPr>
        <w:t>,</w:t>
      </w:r>
    </w:p>
    <w:p w14:paraId="272A15BE" w14:textId="457A052D"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wykorzystywało prowadzony przez nich monitoring organizmów szkodliwych,</w:t>
      </w:r>
    </w:p>
    <w:p w14:paraId="1490D752" w14:textId="440E023B"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uwzględniało progi ekonomicznej szkodliwości ,</w:t>
      </w:r>
    </w:p>
    <w:p w14:paraId="13A11F3C" w14:textId="2C6DCB3C" w:rsidR="00995C95" w:rsidRDefault="00E54725" w:rsidP="00217E15">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7866B2">
        <w:rPr>
          <w:rFonts w:ascii="Arial" w:hAnsi="Arial" w:cs="Arial"/>
        </w:rPr>
        <w:t>, którzy</w:t>
      </w:r>
      <w:r w:rsidRPr="00925BCD">
        <w:rPr>
          <w:rFonts w:ascii="Arial" w:hAnsi="Arial" w:cs="Arial"/>
        </w:rPr>
        <w:t xml:space="preserve"> korzysta</w:t>
      </w:r>
      <w:r w:rsidR="007866B2">
        <w:rPr>
          <w:rFonts w:ascii="Arial" w:hAnsi="Arial" w:cs="Arial"/>
        </w:rPr>
        <w:t>li</w:t>
      </w:r>
      <w:r w:rsidRPr="00925BCD">
        <w:rPr>
          <w:rFonts w:ascii="Arial" w:hAnsi="Arial" w:cs="Arial"/>
        </w:rPr>
        <w:t xml:space="preserve"> z innych, nie wymienionych powyżej źródeł doradztwa.</w:t>
      </w:r>
    </w:p>
    <w:p w14:paraId="325C5517" w14:textId="1CC22DEE" w:rsidR="00C76063" w:rsidRDefault="00D46923" w:rsidP="00B85773">
      <w:pPr>
        <w:pStyle w:val="NormalnyWeb"/>
        <w:tabs>
          <w:tab w:val="left" w:pos="284"/>
        </w:tabs>
        <w:spacing w:beforeAutospacing="0" w:after="120" w:afterAutospacing="0" w:line="360" w:lineRule="auto"/>
        <w:jc w:val="both"/>
        <w:rPr>
          <w:rFonts w:ascii="Arial" w:hAnsi="Arial" w:cs="Arial"/>
        </w:rPr>
      </w:pPr>
      <w:r w:rsidRPr="00D46923">
        <w:rPr>
          <w:noProof/>
        </w:rPr>
        <w:drawing>
          <wp:inline distT="0" distB="0" distL="0" distR="0" wp14:anchorId="23E7B0FF" wp14:editId="119AB8DE">
            <wp:extent cx="5760720" cy="1174115"/>
            <wp:effectExtent l="0" t="0" r="0"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1174115"/>
                    </a:xfrm>
                    <a:prstGeom prst="rect">
                      <a:avLst/>
                    </a:prstGeom>
                    <a:noFill/>
                    <a:ln>
                      <a:noFill/>
                    </a:ln>
                  </pic:spPr>
                </pic:pic>
              </a:graphicData>
            </a:graphic>
          </wp:inline>
        </w:drawing>
      </w:r>
    </w:p>
    <w:p w14:paraId="618390B3" w14:textId="3BF0FAD2"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 xml:space="preserve">W </w:t>
      </w:r>
      <w:r>
        <w:rPr>
          <w:rFonts w:ascii="Arial" w:hAnsi="Arial" w:cs="Arial"/>
        </w:rPr>
        <w:t>powyższym</w:t>
      </w:r>
      <w:r w:rsidRPr="00C30F84">
        <w:rPr>
          <w:rFonts w:ascii="Arial" w:hAnsi="Arial" w:cs="Arial"/>
        </w:rPr>
        <w:t xml:space="preserve"> zestawieniu w roku 2019/2020 widoczny jest spadek w stosunku do lat poprzednich liczby gospodarstw korzystających z różnego rodzaju wsparcia. Dane za 2017/2018 i 2018/2019 zebrane </w:t>
      </w:r>
      <w:r w:rsidR="003D00DD">
        <w:rPr>
          <w:rFonts w:ascii="Arial" w:hAnsi="Arial" w:cs="Arial"/>
        </w:rPr>
        <w:t xml:space="preserve">były przez GUS </w:t>
      </w:r>
      <w:r w:rsidRPr="00C30F84">
        <w:rPr>
          <w:rFonts w:ascii="Arial" w:hAnsi="Arial" w:cs="Arial"/>
        </w:rPr>
        <w:t xml:space="preserve">na podstawie reprezentacyjnych badań </w:t>
      </w:r>
      <w:r w:rsidR="00F927A1">
        <w:rPr>
          <w:rFonts w:ascii="Arial" w:hAnsi="Arial" w:cs="Arial"/>
        </w:rPr>
        <w:t>R-CzBR</w:t>
      </w:r>
      <w:r w:rsidR="00180937">
        <w:rPr>
          <w:rFonts w:ascii="Arial" w:hAnsi="Arial" w:cs="Arial"/>
        </w:rPr>
        <w:t xml:space="preserve"> </w:t>
      </w:r>
      <w:r w:rsidRPr="00C30F84">
        <w:rPr>
          <w:rFonts w:ascii="Arial" w:hAnsi="Arial" w:cs="Arial"/>
        </w:rPr>
        <w:t xml:space="preserve">opartych na próbach po ok. 60 tys. gospodarstw. Wyniki takich badań podlegają uogólnieniom. </w:t>
      </w:r>
      <w:r w:rsidR="00801AA6">
        <w:rPr>
          <w:rFonts w:ascii="Arial" w:hAnsi="Arial" w:cs="Arial"/>
        </w:rPr>
        <w:t>W 2020 r. dane z</w:t>
      </w:r>
      <w:r w:rsidR="00D71994" w:rsidRPr="00D71994">
        <w:rPr>
          <w:rFonts w:ascii="Arial" w:hAnsi="Arial" w:cs="Arial"/>
        </w:rPr>
        <w:t>ostały zebrane podczas przeprowadzonego w 2020 r. Powszechnego Spisu Rolnego, który był badaniem pełnym, przeprowadzonym na pełnej populacji gospodarstw.</w:t>
      </w:r>
      <w:r w:rsidR="00801AA6">
        <w:rPr>
          <w:rFonts w:ascii="Arial" w:hAnsi="Arial" w:cs="Arial"/>
        </w:rPr>
        <w:t xml:space="preserve"> </w:t>
      </w:r>
      <w:r w:rsidR="00533C8F">
        <w:rPr>
          <w:rFonts w:ascii="Arial" w:hAnsi="Arial" w:cs="Arial"/>
        </w:rPr>
        <w:t>Należy więc zaznaczyć, że r</w:t>
      </w:r>
      <w:r w:rsidRPr="00C30F84">
        <w:rPr>
          <w:rFonts w:ascii="Arial" w:hAnsi="Arial" w:cs="Arial"/>
        </w:rPr>
        <w:t>óżnice wynikające z</w:t>
      </w:r>
      <w:r w:rsidR="001329E8">
        <w:rPr>
          <w:rFonts w:ascii="Arial" w:hAnsi="Arial" w:cs="Arial"/>
        </w:rPr>
        <w:t> </w:t>
      </w:r>
      <w:r w:rsidRPr="00C30F84">
        <w:rPr>
          <w:rFonts w:ascii="Arial" w:hAnsi="Arial" w:cs="Arial"/>
        </w:rPr>
        <w:t>metodologii badań i spisu mogły przełożyć się na wyniki końcowe.</w:t>
      </w:r>
    </w:p>
    <w:p w14:paraId="399E2260" w14:textId="05426A72"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lastRenderedPageBreak/>
        <w:t xml:space="preserve">Wyniki spisu pokazały utrzymującą się tendencję spadku liczby gospodarstw rolnych przy jednoczesnym wzroście powierzchni gospodarstwa rolnego. Było to spowodowane spadkiem liczby gospodarstw w grupach obszarowych użytków rolnych (UR) od 1 do 30 ha. W grupach obszarowych powyżej 30 ha liczba gospodarstw  posiadających użytki rolne wzrasta w stosunku roku ubiegłego (największy wzrost o </w:t>
      </w:r>
      <w:r w:rsidR="00C601D7">
        <w:rPr>
          <w:rFonts w:ascii="Arial" w:hAnsi="Arial" w:cs="Arial"/>
        </w:rPr>
        <w:t>1</w:t>
      </w:r>
      <w:r w:rsidRPr="00C30F84">
        <w:rPr>
          <w:rFonts w:ascii="Arial" w:hAnsi="Arial" w:cs="Arial"/>
        </w:rPr>
        <w:t>1% jest w grupie obszarowej 50</w:t>
      </w:r>
      <w:r w:rsidR="001228E1">
        <w:rPr>
          <w:rFonts w:ascii="Arial" w:hAnsi="Arial" w:cs="Arial"/>
        </w:rPr>
        <w:t xml:space="preserve"> i więcej</w:t>
      </w:r>
      <w:r w:rsidRPr="00C30F84">
        <w:rPr>
          <w:rFonts w:ascii="Arial" w:hAnsi="Arial" w:cs="Arial"/>
        </w:rPr>
        <w:t xml:space="preserve"> ha UR). </w:t>
      </w:r>
    </w:p>
    <w:p w14:paraId="02997EE4" w14:textId="1E95CE46"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Analizując liczbę gospodarstw korzystających z różnego rodzaju wsparcia w grupie gospodarstw powyżej 30 ha, można zaobserwować w zależności od rodzaju wsparcia, wzrost (o 3</w:t>
      </w:r>
      <w:r w:rsidR="001228E1">
        <w:rPr>
          <w:rFonts w:ascii="Arial" w:hAnsi="Arial" w:cs="Arial"/>
        </w:rPr>
        <w:t>9</w:t>
      </w:r>
      <w:r w:rsidRPr="00C30F84">
        <w:rPr>
          <w:rFonts w:ascii="Arial" w:hAnsi="Arial" w:cs="Arial"/>
        </w:rPr>
        <w:t>%) lub spadek (o</w:t>
      </w:r>
      <w:r w:rsidR="001228E1">
        <w:rPr>
          <w:rFonts w:ascii="Arial" w:hAnsi="Arial" w:cs="Arial"/>
        </w:rPr>
        <w:t> </w:t>
      </w:r>
      <w:r w:rsidRPr="00C30F84">
        <w:rPr>
          <w:rFonts w:ascii="Arial" w:hAnsi="Arial" w:cs="Arial"/>
        </w:rPr>
        <w:t>36,</w:t>
      </w:r>
      <w:r w:rsidR="001228E1">
        <w:rPr>
          <w:rFonts w:ascii="Arial" w:hAnsi="Arial" w:cs="Arial"/>
        </w:rPr>
        <w:t>4</w:t>
      </w:r>
      <w:r w:rsidRPr="00C30F84">
        <w:rPr>
          <w:rFonts w:ascii="Arial" w:hAnsi="Arial" w:cs="Arial"/>
        </w:rPr>
        <w:t>%) w stosunku do roku poprzedniego.  Może to świadczyć o większym wykorzystaniu usług, o</w:t>
      </w:r>
      <w:r w:rsidR="001329E8">
        <w:rPr>
          <w:rFonts w:ascii="Arial" w:hAnsi="Arial" w:cs="Arial"/>
        </w:rPr>
        <w:t> </w:t>
      </w:r>
      <w:r w:rsidRPr="00C30F84">
        <w:rPr>
          <w:rFonts w:ascii="Arial" w:hAnsi="Arial" w:cs="Arial"/>
        </w:rPr>
        <w:t>koncentracji i specjalizacji gospodarstw w grupie powyżej 30 ha użytków rolnych, których użytkownicy to jednocześnie profesjonalni użytkownicy środków ochrony roślin. Analizując liczbę gospodarstw korzystających z poszczególnych rodzajów wsparcia w stosunku do wszystkich gospodarstw, które korzystały przynajmniej z jednego rodzaju wsparcia, można zauważyć wzrost odsetka gospodarstw w</w:t>
      </w:r>
      <w:r w:rsidR="001329E8">
        <w:rPr>
          <w:rFonts w:ascii="Arial" w:hAnsi="Arial" w:cs="Arial"/>
        </w:rPr>
        <w:t> </w:t>
      </w:r>
      <w:r w:rsidRPr="00C30F84">
        <w:rPr>
          <w:rFonts w:ascii="Arial" w:hAnsi="Arial" w:cs="Arial"/>
        </w:rPr>
        <w:t>stosunku do roku ubiegłego poza gospodarstwami korzystającymi z innych źródeł doradztwa.</w:t>
      </w:r>
    </w:p>
    <w:p w14:paraId="1EE506DB" w14:textId="595118E0" w:rsidR="007D39ED" w:rsidRPr="00925BCD" w:rsidRDefault="005D5EC6" w:rsidP="0003373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Należy też </w:t>
      </w:r>
      <w:r w:rsidR="00FD7160">
        <w:rPr>
          <w:rFonts w:ascii="Arial" w:hAnsi="Arial" w:cs="Arial"/>
        </w:rPr>
        <w:t>zaznaczyć, że d</w:t>
      </w:r>
      <w:r w:rsidR="00F808DA" w:rsidRPr="00C30F84">
        <w:rPr>
          <w:rFonts w:ascii="Arial" w:hAnsi="Arial" w:cs="Arial"/>
        </w:rPr>
        <w:t>odatkowo sytuacja pandemiczna w 2020 r. nie sprzyjała kontaktom interpersonalnym, co również mogło przyczynić się do spadku liczby gospodarstw korzystających z</w:t>
      </w:r>
      <w:r w:rsidR="001329E8">
        <w:rPr>
          <w:rFonts w:ascii="Arial" w:hAnsi="Arial" w:cs="Arial"/>
        </w:rPr>
        <w:t> </w:t>
      </w:r>
      <w:r w:rsidR="00F808DA" w:rsidRPr="00C30F84">
        <w:rPr>
          <w:rFonts w:ascii="Arial" w:hAnsi="Arial" w:cs="Arial"/>
        </w:rPr>
        <w:t xml:space="preserve">personalnego doradztwa. </w:t>
      </w:r>
    </w:p>
    <w:p w14:paraId="27380E59" w14:textId="77777777" w:rsidR="00056846" w:rsidRPr="00925BCD" w:rsidRDefault="00E54725">
      <w:pPr>
        <w:pStyle w:val="Nagwek2"/>
        <w:spacing w:before="120" w:after="120" w:line="360" w:lineRule="auto"/>
        <w:jc w:val="both"/>
        <w:rPr>
          <w:i w:val="0"/>
        </w:rPr>
      </w:pPr>
      <w:bookmarkStart w:id="118" w:name="_Toc161744904"/>
      <w:bookmarkStart w:id="119" w:name="_Toc341876086"/>
      <w:r w:rsidRPr="00925BCD">
        <w:rPr>
          <w:i w:val="0"/>
          <w:sz w:val="20"/>
          <w:szCs w:val="20"/>
        </w:rPr>
        <w:t>Zadanie 2. Kontrole i monitoringi dotyczące środków ochrony roślin</w:t>
      </w:r>
      <w:bookmarkEnd w:id="118"/>
      <w:r w:rsidRPr="00925BCD">
        <w:rPr>
          <w:i w:val="0"/>
          <w:sz w:val="20"/>
          <w:szCs w:val="20"/>
        </w:rPr>
        <w:t xml:space="preserve"> </w:t>
      </w:r>
      <w:bookmarkEnd w:id="119"/>
    </w:p>
    <w:p w14:paraId="2C8B46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kontrole są przeprowadzane przez organy określone w obowiązujących ustawach. Prowadzone są także badania monitoringowe, które odnoszą się do prawidłowości stosowania  środków ochrony roślin. Można tu wyróżnić obszary bezpieczeństwa ludzi (w tym bezpieczeństwa żywności), zwierząt i środowiska. Najczęściej są to badania poziomu pozostałości środków ochrony roślin lub ich metabolitów.</w:t>
      </w:r>
    </w:p>
    <w:p w14:paraId="760CF7C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analiz stanowią podstawę do oceny stopnia realizacji celów krajowego planu działania, a</w:t>
      </w:r>
      <w:r w:rsidR="00217E15" w:rsidRPr="00925BCD">
        <w:rPr>
          <w:rFonts w:ascii="Arial" w:hAnsi="Arial" w:cs="Arial"/>
        </w:rPr>
        <w:t> </w:t>
      </w:r>
      <w:r w:rsidRPr="00925BCD">
        <w:rPr>
          <w:rFonts w:ascii="Arial" w:hAnsi="Arial" w:cs="Arial"/>
        </w:rPr>
        <w:t>także do ewentualnej zmiany przepisów dotyczących zarządzania ryzykiem związanym z obrotem środkami ochrony roślin i stosowaniem środków ochrony roślin.</w:t>
      </w:r>
    </w:p>
    <w:p w14:paraId="6A8AB78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były wykonywane następujące podzadania.</w:t>
      </w:r>
    </w:p>
    <w:p w14:paraId="66AFAA41" w14:textId="77777777" w:rsidR="00056846" w:rsidRPr="00925BCD" w:rsidRDefault="00E54725">
      <w:pPr>
        <w:pStyle w:val="Nagwek3"/>
        <w:numPr>
          <w:ilvl w:val="0"/>
          <w:numId w:val="0"/>
        </w:numPr>
        <w:tabs>
          <w:tab w:val="left" w:pos="2410"/>
        </w:tabs>
        <w:spacing w:after="120"/>
        <w:ind w:left="709"/>
        <w:rPr>
          <w:i w:val="0"/>
          <w:sz w:val="20"/>
          <w:szCs w:val="20"/>
        </w:rPr>
      </w:pPr>
      <w:bookmarkStart w:id="120" w:name="_Toc341876087"/>
      <w:bookmarkStart w:id="121" w:name="_Toc301334608"/>
      <w:bookmarkStart w:id="122" w:name="_Toc161744905"/>
      <w:bookmarkStart w:id="123" w:name="_Toc300916219"/>
      <w:r w:rsidRPr="00925BCD">
        <w:rPr>
          <w:i w:val="0"/>
          <w:sz w:val="20"/>
          <w:szCs w:val="20"/>
        </w:rPr>
        <w:t>Podzadanie 1. Kontrola żywności pochodzenia roślinnego na obecność pozostałości środkami ochrony roślin</w:t>
      </w:r>
      <w:bookmarkEnd w:id="120"/>
      <w:bookmarkEnd w:id="121"/>
      <w:bookmarkEnd w:id="122"/>
      <w:r w:rsidRPr="00925BCD">
        <w:rPr>
          <w:i w:val="0"/>
          <w:sz w:val="20"/>
          <w:szCs w:val="20"/>
        </w:rPr>
        <w:t xml:space="preserve"> </w:t>
      </w:r>
      <w:bookmarkEnd w:id="123"/>
    </w:p>
    <w:p w14:paraId="4DB2D7D4" w14:textId="57EF8D32" w:rsidR="00247414" w:rsidRPr="00925BCD" w:rsidRDefault="00E54725" w:rsidP="002474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Organy Państwowej Inspekcji Sanitarnej prowadzą urzędowe kontrole żywności pochodzenia roślinnego produkowanej i wprowadzanej do obrotu oraz żywności pochodzenia zwierzęcego wprowadzonej do obrotu - zgodnie z kompetencjami określonymi w ustawie z dnia 25 sierpnia 2006</w:t>
      </w:r>
      <w:r w:rsidR="00101AE1">
        <w:rPr>
          <w:rFonts w:ascii="Arial" w:hAnsi="Arial" w:cs="Arial"/>
        </w:rPr>
        <w:t> </w:t>
      </w:r>
      <w:r w:rsidRPr="00925BCD">
        <w:rPr>
          <w:rFonts w:ascii="Arial" w:hAnsi="Arial" w:cs="Arial"/>
        </w:rPr>
        <w:t xml:space="preserve">r. o bezpieczeństwie żywności i </w:t>
      </w:r>
      <w:r w:rsidR="00247414" w:rsidRPr="00925BCD">
        <w:rPr>
          <w:rFonts w:ascii="Arial" w:hAnsi="Arial" w:cs="Arial"/>
        </w:rPr>
        <w:t>żywienia (Dz. U. z 20</w:t>
      </w:r>
      <w:r w:rsidR="00247414">
        <w:rPr>
          <w:rFonts w:ascii="Arial" w:hAnsi="Arial" w:cs="Arial"/>
        </w:rPr>
        <w:t>22</w:t>
      </w:r>
      <w:r w:rsidR="00247414" w:rsidRPr="00925BCD">
        <w:rPr>
          <w:rFonts w:ascii="Arial" w:hAnsi="Arial" w:cs="Arial"/>
        </w:rPr>
        <w:t xml:space="preserve"> r., poz. </w:t>
      </w:r>
      <w:r w:rsidR="00247414">
        <w:rPr>
          <w:rFonts w:ascii="Arial" w:hAnsi="Arial" w:cs="Arial"/>
        </w:rPr>
        <w:t>2132</w:t>
      </w:r>
      <w:r w:rsidR="00247414" w:rsidRPr="00925BCD">
        <w:rPr>
          <w:rFonts w:ascii="Arial" w:hAnsi="Arial" w:cs="Arial"/>
        </w:rPr>
        <w:t>) oraz w ustawie z dnia 14 marca 1985</w:t>
      </w:r>
      <w:r w:rsidR="00247414">
        <w:rPr>
          <w:rFonts w:ascii="Arial" w:hAnsi="Arial" w:cs="Arial"/>
        </w:rPr>
        <w:t xml:space="preserve"> </w:t>
      </w:r>
      <w:r w:rsidR="00247414" w:rsidRPr="00925BCD">
        <w:rPr>
          <w:rFonts w:ascii="Arial" w:hAnsi="Arial" w:cs="Arial"/>
        </w:rPr>
        <w:t xml:space="preserve">r. o Państwowej Inspekcji Sanitarnej (Dz.U. z </w:t>
      </w:r>
      <w:r w:rsidR="00247414">
        <w:rPr>
          <w:rFonts w:ascii="Arial" w:hAnsi="Arial" w:cs="Arial"/>
        </w:rPr>
        <w:t>2021</w:t>
      </w:r>
      <w:r w:rsidR="00247414" w:rsidRPr="00925BCD">
        <w:rPr>
          <w:rFonts w:ascii="Arial" w:hAnsi="Arial" w:cs="Arial"/>
        </w:rPr>
        <w:t xml:space="preserve"> r. poz. </w:t>
      </w:r>
      <w:r w:rsidR="00247414">
        <w:rPr>
          <w:rFonts w:ascii="Arial" w:hAnsi="Arial" w:cs="Arial"/>
        </w:rPr>
        <w:t>195, z 2022 r. poz.655, 1700</w:t>
      </w:r>
      <w:r w:rsidR="00247414" w:rsidRPr="00925BCD">
        <w:rPr>
          <w:rFonts w:ascii="Arial" w:hAnsi="Arial" w:cs="Arial"/>
        </w:rPr>
        <w:t>).</w:t>
      </w:r>
    </w:p>
    <w:p w14:paraId="7755F8D4" w14:textId="7B3DF42F"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Głównym Inspektoracie Sanitarnym sporządza się corocznie „Plan pobierania próbek do badania żywności w ramach urzędowej kontroli i monitoringu dla PIS”.</w:t>
      </w:r>
      <w:r w:rsidR="006A4420" w:rsidRPr="006A4420">
        <w:rPr>
          <w:rFonts w:ascii="Arial" w:hAnsi="Arial" w:cs="Arial"/>
        </w:rPr>
        <w:t xml:space="preserve"> </w:t>
      </w:r>
      <w:r w:rsidR="006A4420" w:rsidRPr="00925BCD">
        <w:rPr>
          <w:rFonts w:ascii="Arial" w:hAnsi="Arial" w:cs="Arial"/>
        </w:rPr>
        <w:t xml:space="preserve">Część ww. planu dotycząca badania pozostałości pestycydów w żywności jest opracowywana przez </w:t>
      </w:r>
      <w:r w:rsidR="006A4420">
        <w:rPr>
          <w:rFonts w:ascii="Arial" w:hAnsi="Arial" w:cs="Arial"/>
        </w:rPr>
        <w:t>Oddział</w:t>
      </w:r>
      <w:r w:rsidR="006A4420" w:rsidRPr="00925BCD">
        <w:rPr>
          <w:rFonts w:ascii="Arial" w:hAnsi="Arial" w:cs="Arial"/>
        </w:rPr>
        <w:t xml:space="preserve"> Laboratoryjny</w:t>
      </w:r>
      <w:r w:rsidR="006A4420">
        <w:rPr>
          <w:rFonts w:ascii="Arial" w:hAnsi="Arial" w:cs="Arial"/>
        </w:rPr>
        <w:t xml:space="preserve"> Badań Pozostałości Pestycydów</w:t>
      </w:r>
      <w:r w:rsidR="006A4420" w:rsidRPr="00925BCD">
        <w:rPr>
          <w:rFonts w:ascii="Arial" w:hAnsi="Arial" w:cs="Arial"/>
        </w:rPr>
        <w:t xml:space="preserve"> WSSE w Warszawie, któr</w:t>
      </w:r>
      <w:r w:rsidR="006A4420">
        <w:rPr>
          <w:rFonts w:ascii="Arial" w:hAnsi="Arial" w:cs="Arial"/>
        </w:rPr>
        <w:t>y</w:t>
      </w:r>
      <w:r w:rsidR="006A4420" w:rsidRPr="00925BCD">
        <w:rPr>
          <w:rFonts w:ascii="Arial" w:hAnsi="Arial" w:cs="Arial"/>
        </w:rPr>
        <w:t xml:space="preserve"> </w:t>
      </w:r>
      <w:r w:rsidR="006A4420">
        <w:rPr>
          <w:rFonts w:ascii="Arial" w:hAnsi="Arial" w:cs="Arial"/>
        </w:rPr>
        <w:t>pełni funkcję</w:t>
      </w:r>
      <w:r w:rsidR="006A4420" w:rsidRPr="00925BCD">
        <w:rPr>
          <w:rFonts w:ascii="Arial" w:hAnsi="Arial" w:cs="Arial"/>
        </w:rPr>
        <w:t xml:space="preserve"> Krajow</w:t>
      </w:r>
      <w:r w:rsidR="006A4420">
        <w:rPr>
          <w:rFonts w:ascii="Arial" w:hAnsi="Arial" w:cs="Arial"/>
        </w:rPr>
        <w:t>ego</w:t>
      </w:r>
      <w:r w:rsidR="006A4420" w:rsidRPr="00925BCD">
        <w:rPr>
          <w:rFonts w:ascii="Arial" w:hAnsi="Arial" w:cs="Arial"/>
        </w:rPr>
        <w:t xml:space="preserve"> Laboratorium Referencyjn</w:t>
      </w:r>
      <w:r w:rsidR="006A4420">
        <w:rPr>
          <w:rFonts w:ascii="Arial" w:hAnsi="Arial" w:cs="Arial"/>
        </w:rPr>
        <w:t>ego</w:t>
      </w:r>
      <w:r w:rsidR="006A4420" w:rsidRPr="00925BCD">
        <w:rPr>
          <w:rFonts w:ascii="Arial" w:hAnsi="Arial" w:cs="Arial"/>
        </w:rPr>
        <w:t xml:space="preserve"> (NRL)</w:t>
      </w:r>
      <w:r w:rsidR="006A4420">
        <w:rPr>
          <w:rFonts w:ascii="Arial" w:hAnsi="Arial" w:cs="Arial"/>
        </w:rPr>
        <w:t>.</w:t>
      </w:r>
    </w:p>
    <w:p w14:paraId="3837E27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W ww. planie zawarty/a jest:</w:t>
      </w:r>
    </w:p>
    <w:p w14:paraId="52F7B609" w14:textId="134D3B65"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24" w:name="bookmark0"/>
      <w:bookmarkEnd w:id="124"/>
      <w:r w:rsidRPr="00925BCD">
        <w:rPr>
          <w:rFonts w:ascii="Arial" w:hAnsi="Arial" w:cs="Arial"/>
        </w:rPr>
        <w:t xml:space="preserve">skoordynowany monitoring UE (wg </w:t>
      </w:r>
      <w:r w:rsidR="005E2FD6" w:rsidRPr="005E2FD6">
        <w:rPr>
          <w:rFonts w:ascii="Arial" w:hAnsi="Arial" w:cs="Arial"/>
        </w:rPr>
        <w:t>stosownego rozporządzenia Wykonawczego Komisji (UE) dotyczącego wieloletnich skoordynowanych unijnych programów kontroli mających na celu zapewnienie zgodności z najwyższymi dopuszczalnymi poziomami pozostałości pestycydów w</w:t>
      </w:r>
      <w:r w:rsidR="00101AE1">
        <w:rPr>
          <w:rFonts w:ascii="Arial" w:hAnsi="Arial" w:cs="Arial"/>
        </w:rPr>
        <w:t> </w:t>
      </w:r>
      <w:r w:rsidR="005E2FD6" w:rsidRPr="005E2FD6">
        <w:rPr>
          <w:rFonts w:ascii="Arial" w:hAnsi="Arial" w:cs="Arial"/>
        </w:rPr>
        <w:t>żywności pochodzenia roślinnego i zwierzęcego oraz na jej powierzchni, a także mającego na celu ocenę narażenia konsumenta na te pozostałości – wydawany na kolejne 3 lata</w:t>
      </w:r>
      <w:r w:rsidR="00DC2CB8" w:rsidRPr="00DC2CB8">
        <w:rPr>
          <w:rFonts w:ascii="Arial" w:hAnsi="Arial" w:cs="Arial"/>
        </w:rPr>
        <w:t>)</w:t>
      </w:r>
      <w:r w:rsidR="00DC2CB8">
        <w:rPr>
          <w:rFonts w:ascii="Arial" w:hAnsi="Arial" w:cs="Arial"/>
        </w:rPr>
        <w:t>,</w:t>
      </w:r>
    </w:p>
    <w:p w14:paraId="040F6A10"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25" w:name="bookmark1"/>
      <w:bookmarkEnd w:id="125"/>
      <w:r w:rsidRPr="00925BCD">
        <w:rPr>
          <w:rFonts w:ascii="Arial" w:hAnsi="Arial" w:cs="Arial"/>
        </w:rPr>
        <w:t>krajowy monitoring i urzędowa kontrola pozostałości pestycydów w żywności,</w:t>
      </w:r>
    </w:p>
    <w:p w14:paraId="5E64A5C7"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26" w:name="bookmark2"/>
      <w:bookmarkEnd w:id="126"/>
      <w:r w:rsidRPr="00925BCD">
        <w:rPr>
          <w:rFonts w:ascii="Arial" w:hAnsi="Arial" w:cs="Arial"/>
        </w:rPr>
        <w:t>kontrola graniczna (rozporządzenie nr 669/2009 z późn. zm., a następnie rozporządzenie wykonawcze Komisji (UE) 2019/1793, ze zm.).</w:t>
      </w:r>
    </w:p>
    <w:p w14:paraId="5638A57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Realizacja ww. Planu w części dotyczącej pozostałości pestycydów obejmuje:</w:t>
      </w:r>
    </w:p>
    <w:p w14:paraId="563004AB"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27" w:name="bookmark3"/>
      <w:bookmarkEnd w:id="127"/>
      <w:r w:rsidRPr="00925BCD">
        <w:rPr>
          <w:rFonts w:ascii="Arial" w:hAnsi="Arial" w:cs="Arial"/>
        </w:rPr>
        <w:t>kontrolę żywności na krajowym rynku w kierunku obecności pozostałości pestycydów i</w:t>
      </w:r>
      <w:r w:rsidR="00DC222D" w:rsidRPr="00925BCD">
        <w:rPr>
          <w:rFonts w:ascii="Arial" w:hAnsi="Arial" w:cs="Arial"/>
        </w:rPr>
        <w:t> </w:t>
      </w:r>
      <w:r w:rsidRPr="00925BCD">
        <w:rPr>
          <w:rFonts w:ascii="Arial" w:hAnsi="Arial" w:cs="Arial"/>
        </w:rPr>
        <w:t>weryfikację zgodności z ustalonymi przepisami prawa wartościami NDP (Rozporządzenie (WE) Nr 396/2005 Parlamentu Europejskiego i Rady),</w:t>
      </w:r>
    </w:p>
    <w:p w14:paraId="0B2FF070"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28" w:name="bookmark4"/>
      <w:bookmarkEnd w:id="128"/>
      <w:r w:rsidRPr="00925BCD">
        <w:rPr>
          <w:rFonts w:ascii="Arial" w:hAnsi="Arial" w:cs="Arial"/>
        </w:rPr>
        <w:t>ocenę narażenia konsumenta,</w:t>
      </w:r>
    </w:p>
    <w:p w14:paraId="4927A3C5"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29" w:name="bookmark5"/>
      <w:bookmarkEnd w:id="129"/>
      <w:r w:rsidRPr="00925BCD">
        <w:rPr>
          <w:rFonts w:ascii="Arial" w:hAnsi="Arial" w:cs="Arial"/>
        </w:rPr>
        <w:t>monitorowanie pozostałości pestycydów przekraczających dopuszczalne poziomy poprzez działania następcze oraz działania wykonawcze.</w:t>
      </w:r>
    </w:p>
    <w:p w14:paraId="371E7F76" w14:textId="5323D578" w:rsidR="00C519A1" w:rsidRPr="00925BCD" w:rsidRDefault="00E54725" w:rsidP="00C519A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DC2CB8">
        <w:rPr>
          <w:rFonts w:ascii="Arial" w:hAnsi="Arial" w:cs="Arial"/>
        </w:rPr>
        <w:t xml:space="preserve">latach </w:t>
      </w:r>
      <w:r w:rsidRPr="00925BCD">
        <w:rPr>
          <w:rFonts w:ascii="Arial" w:hAnsi="Arial" w:cs="Arial"/>
        </w:rPr>
        <w:t>2018</w:t>
      </w:r>
      <w:r w:rsidR="003A6096" w:rsidRPr="00772A61">
        <w:rPr>
          <w:rFonts w:ascii="Arial" w:hAnsi="Arial" w:cs="Arial"/>
        </w:rPr>
        <w:t>–</w:t>
      </w:r>
      <w:r w:rsidR="00DC2CB8">
        <w:rPr>
          <w:rFonts w:ascii="Arial" w:hAnsi="Arial" w:cs="Arial"/>
        </w:rPr>
        <w:t>202</w:t>
      </w:r>
      <w:r w:rsidR="00A14E23">
        <w:rPr>
          <w:rFonts w:ascii="Arial" w:hAnsi="Arial" w:cs="Arial"/>
        </w:rPr>
        <w:t>2</w:t>
      </w:r>
      <w:r w:rsidRPr="00925BCD">
        <w:rPr>
          <w:rFonts w:ascii="Arial" w:hAnsi="Arial" w:cs="Arial"/>
        </w:rPr>
        <w:t xml:space="preserve"> podobnie jak w latach ubiegłych próbki środków spożywczych do badań w</w:t>
      </w:r>
      <w:r w:rsidR="00DC222D" w:rsidRPr="00925BCD">
        <w:rPr>
          <w:rFonts w:ascii="Arial" w:hAnsi="Arial" w:cs="Arial"/>
        </w:rPr>
        <w:t> </w:t>
      </w:r>
      <w:r w:rsidRPr="00925BCD">
        <w:rPr>
          <w:rFonts w:ascii="Arial" w:hAnsi="Arial" w:cs="Arial"/>
        </w:rPr>
        <w:t xml:space="preserve">kierunku pozostałości pestycydów pobierane były przez pracowników stacji sanitarno- epidemiologicznych szczebla powiatowego oraz tam, gdzie to właściwe, przez pracowników stacji granicznych, zgodnie z zasadami opisanymi w rozporządzeniu Ministra Zdrowia z dnia 17 października 2007 r. w sprawie pobierania próbek żywności w celu oznaczania poziomów pozostałości pestycydów (Dz. U. Nr 207, poz. 1502), natomiast badania pozostałości pestycydów w żywności prowadzone były w </w:t>
      </w:r>
      <w:r w:rsidR="009A3AF0">
        <w:rPr>
          <w:rFonts w:ascii="Arial" w:hAnsi="Arial" w:cs="Arial"/>
        </w:rPr>
        <w:t>sześciu</w:t>
      </w:r>
      <w:r w:rsidRPr="00925BCD">
        <w:rPr>
          <w:rFonts w:ascii="Arial" w:hAnsi="Arial" w:cs="Arial"/>
        </w:rPr>
        <w:t xml:space="preserve"> akredytowanych laboratoriach wojewódzkich stacji sanitarno-epidemiologicznych: w</w:t>
      </w:r>
      <w:r w:rsidR="00DC222D" w:rsidRPr="00925BCD">
        <w:rPr>
          <w:rFonts w:ascii="Arial" w:hAnsi="Arial" w:cs="Arial"/>
        </w:rPr>
        <w:t> </w:t>
      </w:r>
      <w:r w:rsidRPr="00925BCD">
        <w:rPr>
          <w:rFonts w:ascii="Arial" w:hAnsi="Arial" w:cs="Arial"/>
        </w:rPr>
        <w:t>Warszawie, Łodzi, Opolu, Rzeszowie i Wrocławiu</w:t>
      </w:r>
      <w:r w:rsidR="009A3AF0">
        <w:rPr>
          <w:rFonts w:ascii="Arial" w:hAnsi="Arial" w:cs="Arial"/>
        </w:rPr>
        <w:t xml:space="preserve">, </w:t>
      </w:r>
      <w:r w:rsidR="00C519A1">
        <w:rPr>
          <w:rFonts w:ascii="Arial" w:hAnsi="Arial" w:cs="Arial"/>
        </w:rPr>
        <w:t>a od 2021 r. w Bydgoszczy.</w:t>
      </w:r>
      <w:r w:rsidR="00C519A1" w:rsidRPr="00925BCD">
        <w:rPr>
          <w:rFonts w:ascii="Arial" w:hAnsi="Arial" w:cs="Arial"/>
        </w:rPr>
        <w:t xml:space="preserve"> Dodatkowo badania były </w:t>
      </w:r>
      <w:r w:rsidR="00C519A1">
        <w:rPr>
          <w:rFonts w:ascii="Arial" w:hAnsi="Arial" w:cs="Arial"/>
        </w:rPr>
        <w:t xml:space="preserve">również </w:t>
      </w:r>
      <w:r w:rsidR="00C519A1" w:rsidRPr="00925BCD">
        <w:rPr>
          <w:rFonts w:ascii="Arial" w:hAnsi="Arial" w:cs="Arial"/>
        </w:rPr>
        <w:t xml:space="preserve">wykonywane w Instytucie Ogrodnictwa – </w:t>
      </w:r>
      <w:r w:rsidR="00C519A1">
        <w:rPr>
          <w:rFonts w:ascii="Arial" w:hAnsi="Arial" w:cs="Arial"/>
        </w:rPr>
        <w:t xml:space="preserve">PIB </w:t>
      </w:r>
      <w:r w:rsidR="00C519A1" w:rsidRPr="00925BCD">
        <w:rPr>
          <w:rFonts w:ascii="Arial" w:hAnsi="Arial" w:cs="Arial"/>
        </w:rPr>
        <w:t>w Skierniewicach.</w:t>
      </w:r>
    </w:p>
    <w:p w14:paraId="169D68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Badania w kierunku pozostałości pestycydów prowadzone były w ramach monitoringu i urzędowej kontroli żywności. Próbki były pobierane głównie z miejsc obrotu żywnością, chociaż pobierano również próbki na etapie produkcji pierwotnej. Należy podkreślić, że Państwowa Inspekcja Sanitarna sprawuje również nadzór nad importem produktów pochodzenia roślinnego w ww. zakresie.</w:t>
      </w:r>
    </w:p>
    <w:p w14:paraId="2FAF51B6"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wszystkich przebadanych próbek najliczniejszą grupę stanowiły owoce i warzywa (ok.</w:t>
      </w:r>
      <w:r w:rsidR="003736FE" w:rsidRPr="00925BCD">
        <w:rPr>
          <w:rFonts w:ascii="Arial" w:hAnsi="Arial" w:cs="Arial"/>
        </w:rPr>
        <w:t> </w:t>
      </w:r>
      <w:r w:rsidRPr="00925BCD">
        <w:rPr>
          <w:rFonts w:ascii="Arial" w:hAnsi="Arial" w:cs="Arial"/>
        </w:rPr>
        <w:t>70%). Ponadto, do badań pobierane były próbki zbóż i produktów zbożowych (mąka), żywności przetworzonej (np. oleje - oliwa z oliwek, sok jabłkowy), żywności przeznaczonej dla niemowląt i małych dzieci, a także produktów pochodzenia zwierzęcego (m.in. miodu, jaj kurzych i mleka) znajdujących się na rynku.</w:t>
      </w:r>
    </w:p>
    <w:p w14:paraId="73DE89A8" w14:textId="0D83E6FA"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badań produktów pochodzenia krajowego prowadzonych przez Państwową Inspekcję Sanitarną w latach 2018</w:t>
      </w:r>
      <w:r w:rsidR="003A6096" w:rsidRPr="00772A61">
        <w:rPr>
          <w:rFonts w:ascii="Arial" w:hAnsi="Arial" w:cs="Arial"/>
        </w:rPr>
        <w:t>–</w:t>
      </w:r>
      <w:r w:rsidRPr="00925BCD">
        <w:rPr>
          <w:rFonts w:ascii="Arial" w:hAnsi="Arial" w:cs="Arial"/>
        </w:rPr>
        <w:t>20</w:t>
      </w:r>
      <w:r w:rsidR="00DC2CB8">
        <w:rPr>
          <w:rFonts w:ascii="Arial" w:hAnsi="Arial" w:cs="Arial"/>
        </w:rPr>
        <w:t>2</w:t>
      </w:r>
      <w:r w:rsidR="00194524">
        <w:rPr>
          <w:rFonts w:ascii="Arial" w:hAnsi="Arial" w:cs="Arial"/>
        </w:rPr>
        <w:t>2</w:t>
      </w:r>
      <w:r w:rsidRPr="00925BCD">
        <w:rPr>
          <w:rFonts w:ascii="Arial" w:hAnsi="Arial" w:cs="Arial"/>
        </w:rPr>
        <w:t xml:space="preserve"> kształtowały się następująco.</w:t>
      </w:r>
    </w:p>
    <w:p w14:paraId="3B53EA5E"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8A1179">
        <w:rPr>
          <w:rFonts w:ascii="Arial" w:hAnsi="Arial" w:cs="Arial"/>
          <w:b/>
          <w:bCs/>
        </w:rPr>
        <w:lastRenderedPageBreak/>
        <w:t>W 2018 r.</w:t>
      </w:r>
      <w:r w:rsidRPr="00925BCD">
        <w:rPr>
          <w:rFonts w:ascii="Arial" w:hAnsi="Arial" w:cs="Arial"/>
        </w:rPr>
        <w:t xml:space="preserve"> zbadano ogółem 2 554 próbki żywności pod kątem pozostałości pestycydów, w tym 1 548 próbek produktów pochodzenia krajowego, 603 próbki produktów pochodzących z krajów UE oraz 365 próbek z krajów trzecich. W przypadku 38 próbek nie udało się ustalić kraju pochodzenia.</w:t>
      </w:r>
    </w:p>
    <w:p w14:paraId="1D52E73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69 substancji aktywnych.</w:t>
      </w:r>
    </w:p>
    <w:p w14:paraId="107C5B3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przekroczenia najwyższych dopuszczalnych pozostałości środków ochrony roślin (po uwzględnieniu niepewności wyniku) stwierdzono w 38 próbkach produktów krajowych (2,5%). Przekroczenia te stwierdzono w następujących produktach: sałata masłowa (cypermetryna, chlorpiryfos), ziemniaki (chlorpiryfos), porzeczka czarna (chlorpiryfos), maliny (folpet, ditiokarbaminiany, pentiopyrad), kapusta pekińska (dimetoat, chlorpiryfos), kapusta głowiasta biała (chlorpiryfos, dimetoat, ometoat), marchew (propikonazol), por (chlorpiryfos), jabłka (chlorpiryfos, chlormekwat), pomidory (pirymifos metylowy, spiroksamina), seler korzeniowy (iprodion), boczniak (chlormekwat), gruszki (mepikwat), papryka (etefon), szpinak (deltametryna), brokuły (chlorpiryfos, karbendazym, tiofanat metylowy, fluazifop-P).</w:t>
      </w:r>
    </w:p>
    <w:p w14:paraId="0DC3C544"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Produkty, w których w 2018 r. nie stwierdzono przekroczeń wartości dopuszczalnych to: pietruszka korzeniowa, ogórki, wiśnie, śliwki, kalafior, bakłażany, fasola szparagowa, truskawki, pszenica, żyto, owies oraz produkty przetworzone dla dzieci i niemowląt. Przekroczeń nie stwierdzono także w</w:t>
      </w:r>
      <w:r w:rsidR="00DC222D" w:rsidRPr="00925BCD">
        <w:rPr>
          <w:rFonts w:ascii="Arial" w:hAnsi="Arial" w:cs="Arial"/>
        </w:rPr>
        <w:t> </w:t>
      </w:r>
      <w:r w:rsidRPr="00925BCD">
        <w:rPr>
          <w:rFonts w:ascii="Arial" w:hAnsi="Arial" w:cs="Arial"/>
        </w:rPr>
        <w:t>produktach pochodzenia zwierzęcego: miodzie, jajach, mięśniach i tłuszczu drobiowym oraz tłuszczu wołowym.</w:t>
      </w:r>
    </w:p>
    <w:p w14:paraId="2A73805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najwięcej przekroczeń wartości NDP stwierdzono w następujących kombinacjach produkt/pestycyd pochodzenia krajowego: papryka/etefon (8,5% próbek), brokuły/chlorpiryfos (6,4 %), kapusta głowiasta/chlorpiryfos (6,5%).</w:t>
      </w:r>
    </w:p>
    <w:p w14:paraId="2C0F841D"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B5570A">
        <w:rPr>
          <w:rFonts w:ascii="Arial" w:hAnsi="Arial" w:cs="Arial"/>
          <w:b/>
          <w:bCs/>
        </w:rPr>
        <w:t>W 2019 r.</w:t>
      </w:r>
      <w:r w:rsidRPr="00925BCD">
        <w:rPr>
          <w:rFonts w:ascii="Arial" w:hAnsi="Arial" w:cs="Arial"/>
        </w:rPr>
        <w:t xml:space="preserve"> zbadano ogółem 2 624 próbki żywności pod kątem pozostałości pestycydów, w tym 1 694 próbki produktów pochodzenia krajowego, 520 próbek produktów pochodzących z krajów UE oraz 369 próbek z krajów trzecich. W przypadku 41 próbek nie udało się ustalić kraju pochodzenia.</w:t>
      </w:r>
    </w:p>
    <w:p w14:paraId="6A4C25B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74 substancji aktywnych.</w:t>
      </w:r>
    </w:p>
    <w:p w14:paraId="064F23B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Przekroczenia najwyższych dopuszczalnych poziomów pozostałości środków ochrony roślin (po uwzględnieniu niepewności wyniku) stwierdzono w 54 próbkach produktów krajowych (3,2%). Przekroczenia te stwierdzono m.in. w następujących próbkach produktów krajowych: boczniak (cypermetryna, tetrametryna), brukselka (klotianidyna), jabłko (mepikwat), kapusta pekińska (chlorotalonil), kapusta pekińska (chlorpiryfos), kapusta pekińska (dimetoat), kasza gryczana (glifosat), malina (flonikamid), ogórek szklarniowy (karbendazym i benomyl), papryka (etefon), pietruszka korzeniowa (linuron), pietruszka korzeniowa (propikonazol), płatki jaglane (glifosat), pomidor (dinotefuran, spiroksamina), pomidor (spiroksamina), por (prometryna), por (chlorpiryfos), porzeczka czarna (karbendazym i benomyl, tiofanat metylowy), porzeczka czarna (chlorpiryfos, propikonazol), porzeczka czerwona (karbendazym i benomyl), porzeczka czarna (chlorpiryfos), produkt warzywno- owocowy dla niemowląt i małych dzieci (flonikamid), seler korzeniowy (chlorpiryfos), seler korzeniowy (iprodion), seler korzeniowy (chlorpiryfos, linuron), ziarno żyta (pirymifos metylowy), truskawka (pirymifos metylowy).</w:t>
      </w:r>
    </w:p>
    <w:p w14:paraId="2519D53C"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Produkty pochodzenia roślinnego produkcji krajowej, w których w 2019 r. nie stwierdzono przekroczeń wartości dopuszczalnych, to m.in.: borówka amerykańska, fasolka szparagowa, groszek zielony, gruszka, marchew, morela, mąka pszenna, nektarynka, oliwa z oliwek, sałata, szpinak, wino, ziarno jęczmienia, ziarno owsa.</w:t>
      </w:r>
      <w:r w:rsidR="00231D7E" w:rsidRPr="00925BCD">
        <w:rPr>
          <w:rFonts w:ascii="Arial" w:hAnsi="Arial" w:cs="Arial"/>
        </w:rPr>
        <w:t xml:space="preserve"> Przekroczeń nie</w:t>
      </w:r>
      <w:r w:rsidRPr="00925BCD">
        <w:rPr>
          <w:rFonts w:ascii="Arial" w:hAnsi="Arial" w:cs="Arial"/>
        </w:rPr>
        <w:t xml:space="preserve"> stwierdzono </w:t>
      </w:r>
      <w:r w:rsidR="00231D7E" w:rsidRPr="00925BCD">
        <w:rPr>
          <w:rFonts w:ascii="Arial" w:hAnsi="Arial" w:cs="Arial"/>
        </w:rPr>
        <w:t>także w produktach pochodzenia zwierzęcego</w:t>
      </w:r>
      <w:r w:rsidRPr="00925BCD">
        <w:rPr>
          <w:rFonts w:ascii="Arial" w:hAnsi="Arial" w:cs="Arial"/>
        </w:rPr>
        <w:t>: jaja</w:t>
      </w:r>
      <w:r w:rsidR="00231D7E" w:rsidRPr="00925BCD">
        <w:rPr>
          <w:rFonts w:ascii="Arial" w:hAnsi="Arial" w:cs="Arial"/>
        </w:rPr>
        <w:t>ch</w:t>
      </w:r>
      <w:r w:rsidRPr="00925BCD">
        <w:rPr>
          <w:rFonts w:ascii="Arial" w:hAnsi="Arial" w:cs="Arial"/>
        </w:rPr>
        <w:t xml:space="preserve"> kurz</w:t>
      </w:r>
      <w:r w:rsidR="00231D7E" w:rsidRPr="00925BCD">
        <w:rPr>
          <w:rFonts w:ascii="Arial" w:hAnsi="Arial" w:cs="Arial"/>
        </w:rPr>
        <w:t>ych</w:t>
      </w:r>
      <w:r w:rsidRPr="00925BCD">
        <w:rPr>
          <w:rFonts w:ascii="Arial" w:hAnsi="Arial" w:cs="Arial"/>
        </w:rPr>
        <w:t>, mięśni</w:t>
      </w:r>
      <w:r w:rsidR="00231D7E" w:rsidRPr="00925BCD">
        <w:rPr>
          <w:rFonts w:ascii="Arial" w:hAnsi="Arial" w:cs="Arial"/>
        </w:rPr>
        <w:t>ach</w:t>
      </w:r>
      <w:r w:rsidRPr="00925BCD">
        <w:rPr>
          <w:rFonts w:ascii="Arial" w:hAnsi="Arial" w:cs="Arial"/>
        </w:rPr>
        <w:t xml:space="preserve"> drobiow</w:t>
      </w:r>
      <w:r w:rsidR="00231D7E" w:rsidRPr="00925BCD">
        <w:rPr>
          <w:rFonts w:ascii="Arial" w:hAnsi="Arial" w:cs="Arial"/>
        </w:rPr>
        <w:t>ych</w:t>
      </w:r>
      <w:r w:rsidRPr="00925BCD">
        <w:rPr>
          <w:rFonts w:ascii="Arial" w:hAnsi="Arial" w:cs="Arial"/>
        </w:rPr>
        <w:t>, mi</w:t>
      </w:r>
      <w:r w:rsidR="00231D7E" w:rsidRPr="00925BCD">
        <w:rPr>
          <w:rFonts w:ascii="Arial" w:hAnsi="Arial" w:cs="Arial"/>
        </w:rPr>
        <w:t>odzie</w:t>
      </w:r>
      <w:r w:rsidRPr="00925BCD">
        <w:rPr>
          <w:rFonts w:ascii="Arial" w:hAnsi="Arial" w:cs="Arial"/>
        </w:rPr>
        <w:t>, mlek</w:t>
      </w:r>
      <w:r w:rsidR="00231D7E" w:rsidRPr="00925BCD">
        <w:rPr>
          <w:rFonts w:ascii="Arial" w:hAnsi="Arial" w:cs="Arial"/>
        </w:rPr>
        <w:t xml:space="preserve">u i </w:t>
      </w:r>
      <w:r w:rsidRPr="00925BCD">
        <w:rPr>
          <w:rFonts w:ascii="Arial" w:hAnsi="Arial" w:cs="Arial"/>
        </w:rPr>
        <w:t>tłuszcz</w:t>
      </w:r>
      <w:r w:rsidR="00231D7E" w:rsidRPr="00925BCD">
        <w:rPr>
          <w:rFonts w:ascii="Arial" w:hAnsi="Arial" w:cs="Arial"/>
        </w:rPr>
        <w:t>u</w:t>
      </w:r>
      <w:r w:rsidRPr="00925BCD">
        <w:rPr>
          <w:rFonts w:ascii="Arial" w:hAnsi="Arial" w:cs="Arial"/>
        </w:rPr>
        <w:t xml:space="preserve"> wieprzowy</w:t>
      </w:r>
      <w:r w:rsidR="00231D7E" w:rsidRPr="00925BCD">
        <w:rPr>
          <w:rFonts w:ascii="Arial" w:hAnsi="Arial" w:cs="Arial"/>
        </w:rPr>
        <w:t>m</w:t>
      </w:r>
      <w:r w:rsidRPr="00925BCD">
        <w:rPr>
          <w:rFonts w:ascii="Arial" w:hAnsi="Arial" w:cs="Arial"/>
        </w:rPr>
        <w:t>.</w:t>
      </w:r>
    </w:p>
    <w:p w14:paraId="6B1629A6" w14:textId="77777777"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najwięcej przekroczeń wartości NDP stwierdzono w następujących kombinacjach produkt/pestycyd pochodzenia krajowego: produkty zbożowe/glifosat, kapusta pekińska/chlorpiryfos, pomidor/spiroksamina.</w:t>
      </w:r>
    </w:p>
    <w:p w14:paraId="612CC0C7" w14:textId="23DB5ECF"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BD2891">
        <w:rPr>
          <w:rFonts w:ascii="Arial" w:hAnsi="Arial" w:cs="Arial"/>
          <w:b/>
          <w:bCs/>
        </w:rPr>
        <w:t>W 2020 r.</w:t>
      </w:r>
      <w:r w:rsidRPr="00280463">
        <w:rPr>
          <w:rFonts w:ascii="Arial" w:hAnsi="Arial" w:cs="Arial"/>
        </w:rPr>
        <w:t xml:space="preserve"> zbadano ogółem 3</w:t>
      </w:r>
      <w:r>
        <w:rPr>
          <w:rFonts w:ascii="Arial" w:hAnsi="Arial" w:cs="Arial"/>
        </w:rPr>
        <w:t> </w:t>
      </w:r>
      <w:r w:rsidRPr="00280463">
        <w:rPr>
          <w:rFonts w:ascii="Arial" w:hAnsi="Arial" w:cs="Arial"/>
        </w:rPr>
        <w:t>246 próbek żywności pod kątem pozostałości pestycydów, w tym 2</w:t>
      </w:r>
      <w:r>
        <w:rPr>
          <w:rFonts w:ascii="Arial" w:hAnsi="Arial" w:cs="Arial"/>
        </w:rPr>
        <w:t> </w:t>
      </w:r>
      <w:r w:rsidRPr="00280463">
        <w:rPr>
          <w:rFonts w:ascii="Arial" w:hAnsi="Arial" w:cs="Arial"/>
        </w:rPr>
        <w:t>177 próbek produktów pochodzenia krajowego, 55</w:t>
      </w:r>
      <w:r>
        <w:rPr>
          <w:rFonts w:ascii="Arial" w:hAnsi="Arial" w:cs="Arial"/>
        </w:rPr>
        <w:t>5</w:t>
      </w:r>
      <w:r w:rsidRPr="00280463">
        <w:rPr>
          <w:rFonts w:ascii="Arial" w:hAnsi="Arial" w:cs="Arial"/>
        </w:rPr>
        <w:t xml:space="preserve"> próbek produktów z UE oraz 4</w:t>
      </w:r>
      <w:r>
        <w:rPr>
          <w:rFonts w:ascii="Arial" w:hAnsi="Arial" w:cs="Arial"/>
        </w:rPr>
        <w:t>51</w:t>
      </w:r>
      <w:r w:rsidRPr="00280463">
        <w:rPr>
          <w:rFonts w:ascii="Arial" w:hAnsi="Arial" w:cs="Arial"/>
        </w:rPr>
        <w:t xml:space="preserve"> próbek z krajów trzecich. W przypadku 63 próbek nie udało się określić kraju pochodzenia. </w:t>
      </w:r>
    </w:p>
    <w:p w14:paraId="0CEC89BB" w14:textId="7671E765"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Przekroczenia najwyższych dopuszczalnych poziomów pozostałości środków ochrony roślin (po</w:t>
      </w:r>
      <w:r w:rsidR="003A1F25">
        <w:rPr>
          <w:rFonts w:ascii="Arial" w:hAnsi="Arial" w:cs="Arial"/>
        </w:rPr>
        <w:t> </w:t>
      </w:r>
      <w:r w:rsidRPr="00280463">
        <w:rPr>
          <w:rFonts w:ascii="Arial" w:hAnsi="Arial" w:cs="Arial"/>
        </w:rPr>
        <w:t>uwzględnieniu niepewności pomiaru) stwierdzono w 88 próbkach produktów kr</w:t>
      </w:r>
      <w:r>
        <w:rPr>
          <w:rFonts w:ascii="Arial" w:hAnsi="Arial" w:cs="Arial"/>
        </w:rPr>
        <w:t>ajowych (4%), z</w:t>
      </w:r>
      <w:r w:rsidR="003A1F25">
        <w:rPr>
          <w:rFonts w:ascii="Arial" w:hAnsi="Arial" w:cs="Arial"/>
        </w:rPr>
        <w:t> </w:t>
      </w:r>
      <w:r>
        <w:rPr>
          <w:rFonts w:ascii="Arial" w:hAnsi="Arial" w:cs="Arial"/>
        </w:rPr>
        <w:t>czego 7 próbek (</w:t>
      </w:r>
      <w:r w:rsidRPr="00280463">
        <w:rPr>
          <w:rFonts w:ascii="Arial" w:hAnsi="Arial" w:cs="Arial"/>
        </w:rPr>
        <w:t>maliny (1), kapusta pekińska (3), porzeczka czerwona (1), seler korzeń (2)) zawierało więcej niż jed</w:t>
      </w:r>
      <w:r>
        <w:rPr>
          <w:rFonts w:ascii="Arial" w:hAnsi="Arial" w:cs="Arial"/>
        </w:rPr>
        <w:t>en</w:t>
      </w:r>
      <w:r w:rsidRPr="00280463">
        <w:rPr>
          <w:rFonts w:ascii="Arial" w:hAnsi="Arial" w:cs="Arial"/>
        </w:rPr>
        <w:t xml:space="preserve"> związek w ilościach przekraczających NDP. Przekroczenia najwyższego poz</w:t>
      </w:r>
      <w:r>
        <w:rPr>
          <w:rFonts w:ascii="Arial" w:hAnsi="Arial" w:cs="Arial"/>
        </w:rPr>
        <w:t>i</w:t>
      </w:r>
      <w:r w:rsidRPr="00280463">
        <w:rPr>
          <w:rFonts w:ascii="Arial" w:hAnsi="Arial" w:cs="Arial"/>
        </w:rPr>
        <w:t>omu pozostałości stwierdzono m.in. w następujących próbkach produktów krajowych: borówka amerykańska (karbendazym i benomyl), brokuły (chlorpiryfos), brukselka (tetrakonazol, chlorpiryfos), fasole ze strączkami (dimetomorf), gruszki (mepikwat), kalafior (spirotetramat), kapusta głowiasta (dimetoat), kapusta pekińska (chlorpiryfos, dimetoat, fluaz</w:t>
      </w:r>
      <w:r w:rsidR="00C374B6">
        <w:rPr>
          <w:rFonts w:ascii="Arial" w:hAnsi="Arial" w:cs="Arial"/>
        </w:rPr>
        <w:t>i</w:t>
      </w:r>
      <w:r w:rsidRPr="00280463">
        <w:rPr>
          <w:rFonts w:ascii="Arial" w:hAnsi="Arial" w:cs="Arial"/>
        </w:rPr>
        <w:t xml:space="preserve">fop-P, metrafenon, ometoat, tebukonazol), kapusta czerwona (chlorpiryfos), maliny (karbendazym i benomyl, chlorpiryfos, pentiopyrad, tetrakonazol, tiofanat metylowy), morele (karbendazym i benomyl, chlopiryfos), ogórki (chlorpiryfos), papryka słodka (etefon), pietruszka korzeń (chlorpiryfos, linuron), porzeczka czarna (chlorpiryfos), porzeczka czerwona (bifentryna, karbendazym i benomyl, chlorpiryfos), sałata (lambda-cyhalotryna), seler korzeń (chlorpyrifos, cyprodinil, linuron, propikonazol, triadimenol), ziarno pszenicy (chloroprofam), ziarno żyta (tiaklopryd). Przekroczenia NDP dla pozostałości pestycydów stwierdzono również w produktach przetworzonych pochodzenia krajowego: kaszy jaglanej, kaszy gryczanej oraz płatkach jaglanych (glifosat). </w:t>
      </w:r>
    </w:p>
    <w:p w14:paraId="696C92F0" w14:textId="77777777"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W 2020 r. produkty pochodzenia krajowego, w których nie stwierdzono przekroczeń najwyższych dopuszczalnych pozostałości to m.in.: bakłażany, boczniaki, brzoskwinie,</w:t>
      </w:r>
      <w:r>
        <w:rPr>
          <w:rFonts w:ascii="Arial" w:hAnsi="Arial" w:cs="Arial"/>
        </w:rPr>
        <w:t xml:space="preserve"> </w:t>
      </w:r>
      <w:r w:rsidRPr="00280463">
        <w:rPr>
          <w:rFonts w:ascii="Arial" w:hAnsi="Arial" w:cs="Arial"/>
        </w:rPr>
        <w:t>cebule, jabłka, marchew, nektarynki, pomidory, pory, rzodkiewka, szpinak i szpinak baby, śliwki, truskawki, winogrona stołowe, wiśnie i pochodne, ziemniak</w:t>
      </w:r>
      <w:r>
        <w:rPr>
          <w:rFonts w:ascii="Arial" w:hAnsi="Arial" w:cs="Arial"/>
        </w:rPr>
        <w:t>i</w:t>
      </w:r>
      <w:r w:rsidRPr="00280463">
        <w:rPr>
          <w:rFonts w:ascii="Arial" w:hAnsi="Arial" w:cs="Arial"/>
        </w:rPr>
        <w:t xml:space="preserve"> </w:t>
      </w:r>
      <w:r>
        <w:rPr>
          <w:rFonts w:ascii="Arial" w:hAnsi="Arial" w:cs="Arial"/>
        </w:rPr>
        <w:t>i in</w:t>
      </w:r>
      <w:r w:rsidRPr="00280463">
        <w:rPr>
          <w:rFonts w:ascii="Arial" w:hAnsi="Arial" w:cs="Arial"/>
        </w:rPr>
        <w:t>. oraz jeśli chodzi o produkty przetworzone: sok z czarnej porzeczki, płatki / kasza jęczmienna, kasza z pszenicy zwyczajnej, płatki owsiane i in. Przekroczeń nie stwierdzono także w produktach pochodzenia zwierzęcego, tj.: jajach kurzych, wątrobie wołowej, tłuszczu drobiowym, miodzie.</w:t>
      </w:r>
    </w:p>
    <w:p w14:paraId="054DF063" w14:textId="2B344040" w:rsidR="00DC2CB8" w:rsidRPr="00925BCD"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W 2020 r. najwięcej przekroczeń wartości NDP stwierdzono w następujących kombinacjach produkt/pestycyd pochodzenia krajowego: produkty zbożowe/glifosat, seler korzeniowy (linuron i</w:t>
      </w:r>
      <w:r w:rsidR="003A1F25">
        <w:rPr>
          <w:rFonts w:ascii="Arial" w:hAnsi="Arial" w:cs="Arial"/>
        </w:rPr>
        <w:t> </w:t>
      </w:r>
      <w:r w:rsidRPr="00280463">
        <w:rPr>
          <w:rFonts w:ascii="Arial" w:hAnsi="Arial" w:cs="Arial"/>
        </w:rPr>
        <w:t>chlorpiryfos), kapusta pekińska (dimetoat i chlorpiryfos), pietruszka korzeń/linuron.</w:t>
      </w:r>
    </w:p>
    <w:p w14:paraId="44E21BE6" w14:textId="27DF70E7"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0C53C7">
        <w:rPr>
          <w:rFonts w:ascii="Arial" w:hAnsi="Arial" w:cs="Arial"/>
          <w:b/>
          <w:bCs/>
        </w:rPr>
        <w:t>W 2021</w:t>
      </w:r>
      <w:r w:rsidR="000C53C7">
        <w:rPr>
          <w:rFonts w:ascii="Arial" w:hAnsi="Arial" w:cs="Arial"/>
          <w:b/>
          <w:bCs/>
        </w:rPr>
        <w:t xml:space="preserve"> </w:t>
      </w:r>
      <w:r w:rsidRPr="000C53C7">
        <w:rPr>
          <w:rFonts w:ascii="Arial" w:hAnsi="Arial" w:cs="Arial"/>
          <w:b/>
          <w:bCs/>
        </w:rPr>
        <w:t>r.</w:t>
      </w:r>
      <w:r w:rsidRPr="00823352">
        <w:rPr>
          <w:rFonts w:ascii="Arial" w:hAnsi="Arial" w:cs="Arial"/>
        </w:rPr>
        <w:t xml:space="preserve"> zbadano ogółem 3</w:t>
      </w:r>
      <w:r w:rsidR="00C16260">
        <w:rPr>
          <w:rFonts w:ascii="Arial" w:hAnsi="Arial" w:cs="Arial"/>
        </w:rPr>
        <w:t> </w:t>
      </w:r>
      <w:r w:rsidRPr="00823352">
        <w:rPr>
          <w:rFonts w:ascii="Arial" w:hAnsi="Arial" w:cs="Arial"/>
        </w:rPr>
        <w:t xml:space="preserve">754 próbek żywności pod kątem pozostałości pestycydów, w tym 2174 </w:t>
      </w:r>
      <w:r w:rsidRPr="00823352">
        <w:rPr>
          <w:rFonts w:ascii="Arial" w:hAnsi="Arial" w:cs="Arial"/>
        </w:rPr>
        <w:lastRenderedPageBreak/>
        <w:t xml:space="preserve">próbek produktów pochodzenia krajowego, 756 próbek produktów z UE oraz 805 próbek z krajów trzecich. W przypadku 19 próbek nie udało się określić kraju pochodzenia. </w:t>
      </w:r>
    </w:p>
    <w:p w14:paraId="2BD3BCD4" w14:textId="41B5AD66"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Przekroczenia najwyższych dopuszczalnych poziomów pozostałości środków ochrony roślin (po uwzględnieniu niepewności wyniku) stwierdzono w 83 próbkach produktów krajowych (3,8%). Przekroczenia te stwierdzono m.in. w następujących próbkach produktów krajowych: seler korzeniowy (linuron, chlorpiryfos), jarmuż (ditiokarbaminiany, buprofezynaofencin, chlorpiryfos, lambda - cyhalotryna), kapusta pekińska (chlorpiryfos, acetamipryd, dimetoat, fluazyfop, acetamipryd, fluaziyfop- P), papryka słodka (etefon), pietruszka korzeń (linuron, chlropiryfoschlorpiryfos), seler naciowy (chlorpiryfos, cypermetryna, diotiokarbaminianyditiokarbaminiany, cypermetryna, linuron, propamokarb, linuron, propamokarb), ogórki (karbendazym i benomyl, chlorpyrifoschlorpiryfos, chlorotalonil, klotianidynain), brukselka (chlorpiryfosu, deltametryna, acetamipryd), marchew (linuron, chlorpiryfos) i</w:t>
      </w:r>
      <w:r w:rsidR="00415449">
        <w:rPr>
          <w:rFonts w:ascii="Arial" w:hAnsi="Arial" w:cs="Arial"/>
        </w:rPr>
        <w:t> </w:t>
      </w:r>
      <w:r w:rsidRPr="00823352">
        <w:rPr>
          <w:rFonts w:ascii="Arial" w:hAnsi="Arial" w:cs="Arial"/>
        </w:rPr>
        <w:t xml:space="preserve">in. </w:t>
      </w:r>
      <w:r w:rsidR="00114188">
        <w:rPr>
          <w:rFonts w:ascii="Arial" w:hAnsi="Arial" w:cs="Arial"/>
        </w:rPr>
        <w:t>P</w:t>
      </w:r>
      <w:r w:rsidR="00114188" w:rsidRPr="00823352">
        <w:rPr>
          <w:rFonts w:ascii="Arial" w:hAnsi="Arial" w:cs="Arial"/>
        </w:rPr>
        <w:t>rzekroczenie poziomów NDP</w:t>
      </w:r>
      <w:r w:rsidRPr="00823352">
        <w:rPr>
          <w:rFonts w:ascii="Arial" w:hAnsi="Arial" w:cs="Arial"/>
        </w:rPr>
        <w:t xml:space="preserve"> stwierdzano również w produktach przetworzonych pochodzenia krajowego </w:t>
      </w:r>
      <w:r w:rsidR="002A331E">
        <w:rPr>
          <w:rFonts w:ascii="Arial" w:hAnsi="Arial" w:cs="Arial"/>
        </w:rPr>
        <w:t xml:space="preserve">- </w:t>
      </w:r>
      <w:r w:rsidR="002A331E" w:rsidRPr="00823352">
        <w:rPr>
          <w:rFonts w:ascii="Arial" w:hAnsi="Arial" w:cs="Arial"/>
        </w:rPr>
        <w:t>gł</w:t>
      </w:r>
      <w:r w:rsidR="002A331E">
        <w:rPr>
          <w:rFonts w:ascii="Arial" w:hAnsi="Arial" w:cs="Arial"/>
        </w:rPr>
        <w:t>ównie</w:t>
      </w:r>
      <w:r w:rsidR="002A331E" w:rsidRPr="00823352">
        <w:rPr>
          <w:rFonts w:ascii="Arial" w:hAnsi="Arial" w:cs="Arial"/>
        </w:rPr>
        <w:t xml:space="preserve"> w kaszy jaglanej </w:t>
      </w:r>
      <w:r w:rsidR="002A331E">
        <w:rPr>
          <w:rFonts w:ascii="Arial" w:hAnsi="Arial" w:cs="Arial"/>
        </w:rPr>
        <w:t>(</w:t>
      </w:r>
      <w:r w:rsidRPr="00823352">
        <w:rPr>
          <w:rFonts w:ascii="Arial" w:hAnsi="Arial" w:cs="Arial"/>
        </w:rPr>
        <w:t>glifosat</w:t>
      </w:r>
      <w:r w:rsidR="002A331E">
        <w:rPr>
          <w:rFonts w:ascii="Arial" w:hAnsi="Arial" w:cs="Arial"/>
        </w:rPr>
        <w:t>)</w:t>
      </w:r>
      <w:r w:rsidRPr="00823352">
        <w:rPr>
          <w:rFonts w:ascii="Arial" w:hAnsi="Arial" w:cs="Arial"/>
        </w:rPr>
        <w:t xml:space="preserve">. </w:t>
      </w:r>
    </w:p>
    <w:p w14:paraId="74FFD546" w14:textId="6F3B738F" w:rsidR="00823352" w:rsidRP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W 2021 r. produkty pochodzenia krajowego, w których nie stwierdzono przekroczeń najwyższych dopuszczalnych pozostałości to m.in.: bakłażany, cebula, groch (bez strąków), burak, kapusta biała, .pomidor, por, rukola, sałata, szpinak, boczniaki, borówka amerykańska, jabłka, śliwki, wiśnie, czereśnie, żywność dla dzieci, produkty przetworzone – płatki jaglane, sok marchwiowy, sok pomarańczowy, ziarna: owsa, prosa, żyta, boczniaki, i in. Przekroczeń nie stwierdzono także w</w:t>
      </w:r>
      <w:r w:rsidR="00A750D8">
        <w:rPr>
          <w:rFonts w:ascii="Arial" w:hAnsi="Arial" w:cs="Arial"/>
        </w:rPr>
        <w:t> </w:t>
      </w:r>
      <w:r w:rsidRPr="00823352">
        <w:rPr>
          <w:rFonts w:ascii="Arial" w:hAnsi="Arial" w:cs="Arial"/>
        </w:rPr>
        <w:t xml:space="preserve">produktach krajowych pochodzenia zwierzęcego, tj.: mleku krowim pełnym, tłuszczu wołowym i jajach kurzych. </w:t>
      </w:r>
    </w:p>
    <w:p w14:paraId="15A5CA7B" w14:textId="6D9D16E0" w:rsidR="00823352" w:rsidRDefault="00823352" w:rsidP="00823352">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W 2021</w:t>
      </w:r>
      <w:r w:rsidR="00A842FD">
        <w:rPr>
          <w:rFonts w:ascii="Arial" w:hAnsi="Arial" w:cs="Arial"/>
        </w:rPr>
        <w:t> </w:t>
      </w:r>
      <w:r w:rsidRPr="00823352">
        <w:rPr>
          <w:rFonts w:ascii="Arial" w:hAnsi="Arial" w:cs="Arial"/>
        </w:rPr>
        <w:t>r. najwięcej przekroczeń wartości NDP stwierdzono w następujących kombinacjach produkt/pestycyd pochodzenia krajowego: seler korzeniowy (linuron), jarmuż (ditiokarbaminiany), papryka (etefon), korzeń pietruszki (linuron), marchew (chlorpiryfos), brukselka (chlorpiryfos), kapusta głowiasta (tiofanat metylu), kasza jaglana (glifosat), kapusta pekińska (chlorpiryfos).</w:t>
      </w:r>
    </w:p>
    <w:p w14:paraId="1E362CD2" w14:textId="6AC9451E" w:rsidR="00C97F23" w:rsidRPr="002C4635"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417EF1">
        <w:rPr>
          <w:rFonts w:ascii="Arial" w:hAnsi="Arial" w:cs="Arial"/>
          <w:b/>
          <w:bCs/>
        </w:rPr>
        <w:t>W 2022 r.</w:t>
      </w:r>
      <w:r w:rsidRPr="00DB0E69">
        <w:rPr>
          <w:rFonts w:ascii="Arial" w:hAnsi="Arial" w:cs="Arial"/>
        </w:rPr>
        <w:t xml:space="preserve"> zbadano ogółem 4</w:t>
      </w:r>
      <w:r w:rsidR="00417EF1">
        <w:rPr>
          <w:rFonts w:ascii="Arial" w:hAnsi="Arial" w:cs="Arial"/>
        </w:rPr>
        <w:t> </w:t>
      </w:r>
      <w:r w:rsidRPr="00DB0E69">
        <w:rPr>
          <w:rFonts w:ascii="Arial" w:hAnsi="Arial" w:cs="Arial"/>
        </w:rPr>
        <w:t xml:space="preserve">706 próbek żywności pod kątem pozostałości pestycydów, w tym: </w:t>
      </w:r>
      <w:r w:rsidRPr="002C4635">
        <w:rPr>
          <w:rFonts w:ascii="Arial" w:hAnsi="Arial" w:cs="Arial"/>
        </w:rPr>
        <w:t>2</w:t>
      </w:r>
      <w:r w:rsidR="00417EF1">
        <w:rPr>
          <w:rFonts w:ascii="Arial" w:hAnsi="Arial" w:cs="Arial"/>
        </w:rPr>
        <w:t> </w:t>
      </w:r>
      <w:r w:rsidRPr="002C4635">
        <w:rPr>
          <w:rFonts w:ascii="Arial" w:hAnsi="Arial" w:cs="Arial"/>
        </w:rPr>
        <w:t>873 próbek produktów pochodzenia krajowego, 720 próbek produktów z innych krajów UE i 1</w:t>
      </w:r>
      <w:r w:rsidR="005F2D98">
        <w:rPr>
          <w:rFonts w:ascii="Arial" w:hAnsi="Arial" w:cs="Arial"/>
        </w:rPr>
        <w:t> </w:t>
      </w:r>
      <w:r w:rsidRPr="002C4635">
        <w:rPr>
          <w:rFonts w:ascii="Arial" w:hAnsi="Arial" w:cs="Arial"/>
        </w:rPr>
        <w:t xml:space="preserve">089 próbek produktów z krajów trzecich. W przypadku 24 próbek nie udało się określić kraju pochodzenia. </w:t>
      </w:r>
    </w:p>
    <w:p w14:paraId="1F623D92" w14:textId="77777777" w:rsidR="00C97F23" w:rsidRPr="002C4635"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2C4635">
        <w:rPr>
          <w:rFonts w:ascii="Arial" w:hAnsi="Arial" w:cs="Arial"/>
        </w:rPr>
        <w:t xml:space="preserve">Przekroczenia najwyższych dopuszczalnych poziomów pozostałości środków ochrony roślin (po uwzględnieniu niepewności wyniku) stwierdzono w 106 próbkach produktów krajowych (3,7%). </w:t>
      </w:r>
    </w:p>
    <w:p w14:paraId="16E0D63E" w14:textId="08EACA52" w:rsidR="00C97F23" w:rsidRPr="002C4635"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2C4635">
        <w:rPr>
          <w:rFonts w:ascii="Arial" w:hAnsi="Arial" w:cs="Arial"/>
        </w:rPr>
        <w:t>Przekroczenia te stwierdzono m.in. w próbkach produktów krajowych: papryka słodka (etefon), kapusta pekińska (chlorpiryfos, tebukonazol, acetamipryd, dimetoat, metomyl), seler korzeń (chlorpiryfos, linuron, imidaklopryd, proti</w:t>
      </w:r>
      <w:r>
        <w:rPr>
          <w:rFonts w:ascii="Arial" w:hAnsi="Arial" w:cs="Arial"/>
        </w:rPr>
        <w:t>o</w:t>
      </w:r>
      <w:r w:rsidRPr="002C4635">
        <w:rPr>
          <w:rFonts w:ascii="Arial" w:hAnsi="Arial" w:cs="Arial"/>
        </w:rPr>
        <w:t>konazol), ogórki (karbendazym i benomyl, chlorfenapyr, fenpropidyna), rzodkiewka (chlorpiryfos, dimetoat), jarmuż (chlorpiryfos, cyhalotryna, fludioksonil, cyjanotraniliprol)</w:t>
      </w:r>
      <w:r>
        <w:rPr>
          <w:rFonts w:ascii="Arial" w:hAnsi="Arial" w:cs="Arial"/>
        </w:rPr>
        <w:t>.</w:t>
      </w:r>
      <w:r w:rsidRPr="002C4635">
        <w:rPr>
          <w:rFonts w:ascii="Arial" w:hAnsi="Arial" w:cs="Arial"/>
        </w:rPr>
        <w:t xml:space="preserve">Przekroczenie poziomów NDP stwierdzano również w produktach przetworzonych pochodzenia krajowego </w:t>
      </w:r>
      <w:r w:rsidR="00A64555" w:rsidRPr="00A64555">
        <w:rPr>
          <w:rFonts w:ascii="Arial" w:hAnsi="Arial" w:cs="Arial"/>
        </w:rPr>
        <w:t>–</w:t>
      </w:r>
      <w:r w:rsidRPr="002C4635">
        <w:rPr>
          <w:rFonts w:ascii="Arial" w:hAnsi="Arial" w:cs="Arial"/>
        </w:rPr>
        <w:t xml:space="preserve"> w kaszy gryczanej (glifosat), ale także w sokach owocowych i warzywnych oraz nektarach dla niemowląt i małych dzieci (fosetyl </w:t>
      </w:r>
      <w:bookmarkStart w:id="130" w:name="_Hlk151361430"/>
      <w:r w:rsidRPr="002C4635">
        <w:rPr>
          <w:rFonts w:ascii="Arial" w:hAnsi="Arial" w:cs="Arial"/>
        </w:rPr>
        <w:t>–</w:t>
      </w:r>
      <w:bookmarkEnd w:id="130"/>
      <w:r w:rsidRPr="002C4635">
        <w:rPr>
          <w:rFonts w:ascii="Arial" w:hAnsi="Arial" w:cs="Arial"/>
        </w:rPr>
        <w:t xml:space="preserve"> Al), i in</w:t>
      </w:r>
      <w:r>
        <w:rPr>
          <w:rFonts w:ascii="Arial" w:hAnsi="Arial" w:cs="Arial"/>
        </w:rPr>
        <w:t>.</w:t>
      </w:r>
    </w:p>
    <w:p w14:paraId="58744D6F" w14:textId="77777777" w:rsidR="00C97F23" w:rsidRPr="00B72933" w:rsidRDefault="00C97F23" w:rsidP="00C97F23">
      <w:pPr>
        <w:pStyle w:val="NormalnyWeb"/>
        <w:tabs>
          <w:tab w:val="left" w:pos="284"/>
        </w:tabs>
        <w:spacing w:beforeAutospacing="0" w:after="120" w:afterAutospacing="0" w:line="360" w:lineRule="auto"/>
        <w:ind w:firstLine="284"/>
        <w:jc w:val="both"/>
        <w:rPr>
          <w:rFonts w:ascii="Arial" w:hAnsi="Arial" w:cs="Arial"/>
        </w:rPr>
      </w:pPr>
      <w:r w:rsidRPr="00B72933">
        <w:rPr>
          <w:rFonts w:ascii="Arial" w:hAnsi="Arial" w:cs="Arial"/>
        </w:rPr>
        <w:t xml:space="preserve">W 2022 r. produkty pochodzenia krajowego, w których nie stwierdzono przekroczeń najwyższych dopuszczalnych pozostałości to m.in.: bakłażany, borówka amerykańska, brukselka, brzoskwinie, </w:t>
      </w:r>
      <w:r w:rsidRPr="00B72933">
        <w:rPr>
          <w:rFonts w:ascii="Arial" w:hAnsi="Arial" w:cs="Arial"/>
        </w:rPr>
        <w:lastRenderedPageBreak/>
        <w:t>cukinie, dynia, kalafiory, morele, pieczarki, por, rukola, śliwki, truskawki, wiśnie, ziarno prosa, owsa, pszenicy i żyta, soczewica, a z produktów przetworzonych: płatki owsiane, kasza bulgur, produkty zbożowe dla niemowląt i małych dzieci.</w:t>
      </w:r>
    </w:p>
    <w:p w14:paraId="00CB7218" w14:textId="48B325B8" w:rsidR="00C97F23" w:rsidRDefault="00F51A6F" w:rsidP="00C97F23">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w:t>
      </w:r>
      <w:r w:rsidR="00C97F23" w:rsidRPr="00B72933">
        <w:rPr>
          <w:rFonts w:ascii="Arial" w:hAnsi="Arial" w:cs="Arial"/>
        </w:rPr>
        <w:t>produkt</w:t>
      </w:r>
      <w:r w:rsidR="00660FEC">
        <w:rPr>
          <w:rFonts w:ascii="Arial" w:hAnsi="Arial" w:cs="Arial"/>
        </w:rPr>
        <w:t>ach</w:t>
      </w:r>
      <w:r w:rsidR="00C97F23" w:rsidRPr="00B72933">
        <w:rPr>
          <w:rFonts w:ascii="Arial" w:hAnsi="Arial" w:cs="Arial"/>
        </w:rPr>
        <w:t xml:space="preserve"> krajow</w:t>
      </w:r>
      <w:r>
        <w:rPr>
          <w:rFonts w:ascii="Arial" w:hAnsi="Arial" w:cs="Arial"/>
        </w:rPr>
        <w:t>ych</w:t>
      </w:r>
      <w:r w:rsidR="00C97F23" w:rsidRPr="00B72933">
        <w:rPr>
          <w:rFonts w:ascii="Arial" w:hAnsi="Arial" w:cs="Arial"/>
        </w:rPr>
        <w:t xml:space="preserve"> pochodzenia zwierzęcego</w:t>
      </w:r>
      <w:r w:rsidR="00207A5D">
        <w:rPr>
          <w:rFonts w:ascii="Arial" w:hAnsi="Arial" w:cs="Arial"/>
        </w:rPr>
        <w:t>,</w:t>
      </w:r>
      <w:r w:rsidR="00C97F23" w:rsidRPr="00B72933">
        <w:rPr>
          <w:rFonts w:ascii="Arial" w:hAnsi="Arial" w:cs="Arial"/>
        </w:rPr>
        <w:t xml:space="preserve"> </w:t>
      </w:r>
      <w:r w:rsidR="00207A5D" w:rsidRPr="00B72933">
        <w:rPr>
          <w:rFonts w:ascii="Arial" w:hAnsi="Arial" w:cs="Arial"/>
        </w:rPr>
        <w:t>w badanych produktach tj.: jaja kurze, mleko krowie, tłuszcz ze świń</w:t>
      </w:r>
      <w:r w:rsidR="001A147E">
        <w:rPr>
          <w:rFonts w:ascii="Arial" w:hAnsi="Arial" w:cs="Arial"/>
        </w:rPr>
        <w:t>,</w:t>
      </w:r>
      <w:r w:rsidR="00207A5D" w:rsidRPr="00B72933">
        <w:rPr>
          <w:rFonts w:ascii="Arial" w:hAnsi="Arial" w:cs="Arial"/>
        </w:rPr>
        <w:t xml:space="preserve"> </w:t>
      </w:r>
      <w:r w:rsidR="00C97F23" w:rsidRPr="00B72933">
        <w:rPr>
          <w:rFonts w:ascii="Arial" w:hAnsi="Arial" w:cs="Arial"/>
        </w:rPr>
        <w:t>nie stwierdzono przekroczeń wartości NDP.</w:t>
      </w:r>
    </w:p>
    <w:p w14:paraId="3E229756" w14:textId="77777777" w:rsidR="00C97F23" w:rsidRPr="00B72933" w:rsidRDefault="00C97F23" w:rsidP="00C97F23">
      <w:pPr>
        <w:pStyle w:val="NormalnyWeb"/>
        <w:tabs>
          <w:tab w:val="left" w:pos="284"/>
        </w:tabs>
        <w:spacing w:beforeAutospacing="0" w:after="120" w:afterAutospacing="0" w:line="360" w:lineRule="auto"/>
        <w:ind w:firstLine="284"/>
        <w:jc w:val="both"/>
        <w:rPr>
          <w:rFonts w:ascii="Arial" w:hAnsi="Arial" w:cs="Arial"/>
        </w:rPr>
      </w:pPr>
      <w:r w:rsidRPr="00B72933">
        <w:rPr>
          <w:rFonts w:ascii="Arial" w:hAnsi="Arial" w:cs="Arial"/>
        </w:rPr>
        <w:t>W 2022 r. najwięcej przekroczeń wartości NDP stwierdzono w następujących kombinacjach produkt pochodzenia krajowego/pestycyd: papryka słodka/etefon,</w:t>
      </w:r>
      <w:r>
        <w:rPr>
          <w:rFonts w:ascii="Arial" w:hAnsi="Arial" w:cs="Arial"/>
        </w:rPr>
        <w:t xml:space="preserve"> rzodkiewka/chlorpiryfos,</w:t>
      </w:r>
      <w:r w:rsidRPr="00B72933">
        <w:rPr>
          <w:rFonts w:ascii="Arial" w:hAnsi="Arial" w:cs="Arial"/>
        </w:rPr>
        <w:t xml:space="preserve"> kapusta pekińska/chlorpiryfos</w:t>
      </w:r>
      <w:r>
        <w:rPr>
          <w:rFonts w:ascii="Arial" w:hAnsi="Arial" w:cs="Arial"/>
        </w:rPr>
        <w:t xml:space="preserve">, </w:t>
      </w:r>
      <w:r w:rsidRPr="00B72933">
        <w:rPr>
          <w:rFonts w:ascii="Arial" w:hAnsi="Arial" w:cs="Arial"/>
        </w:rPr>
        <w:t xml:space="preserve">marchew/linuron, a z produktów przetworzonych: kasza gryczana/glifosat; soki owocowe i warzywne oraz nektary dla niemowląt i małych dzieci / fosetyl – </w:t>
      </w:r>
      <w:r>
        <w:rPr>
          <w:rFonts w:ascii="Arial" w:hAnsi="Arial" w:cs="Arial"/>
        </w:rPr>
        <w:t>Al</w:t>
      </w:r>
      <w:r w:rsidRPr="00B72933">
        <w:rPr>
          <w:rFonts w:ascii="Arial" w:hAnsi="Arial" w:cs="Arial"/>
        </w:rPr>
        <w:t xml:space="preserve">. </w:t>
      </w:r>
    </w:p>
    <w:p w14:paraId="3EC99A0B" w14:textId="27FFC958" w:rsidR="00C97F23" w:rsidRDefault="00C97F23" w:rsidP="00C97F23">
      <w:pPr>
        <w:pStyle w:val="NormalnyWeb"/>
        <w:tabs>
          <w:tab w:val="left" w:pos="284"/>
        </w:tabs>
        <w:spacing w:beforeAutospacing="0" w:after="120" w:afterAutospacing="0" w:line="360" w:lineRule="auto"/>
        <w:ind w:firstLine="284"/>
        <w:jc w:val="both"/>
        <w:rPr>
          <w:rFonts w:ascii="Arial" w:hAnsi="Arial" w:cs="Arial"/>
        </w:rPr>
      </w:pPr>
      <w:r w:rsidRPr="00823352">
        <w:rPr>
          <w:rFonts w:ascii="Arial" w:hAnsi="Arial" w:cs="Arial"/>
        </w:rPr>
        <w:t>W przypadkach przekroczeń wartości NDP dla produktów krajowych stwierdzonych w latach</w:t>
      </w:r>
      <w:r>
        <w:rPr>
          <w:rFonts w:ascii="Arial" w:hAnsi="Arial" w:cs="Arial"/>
        </w:rPr>
        <w:t xml:space="preserve"> </w:t>
      </w:r>
      <w:r>
        <w:rPr>
          <w:rFonts w:ascii="Arial" w:hAnsi="Arial" w:cs="Arial"/>
        </w:rPr>
        <w:br/>
      </w:r>
      <w:r w:rsidRPr="00823352">
        <w:rPr>
          <w:rFonts w:ascii="Arial" w:hAnsi="Arial" w:cs="Arial"/>
        </w:rPr>
        <w:t>2018</w:t>
      </w:r>
      <w:r w:rsidR="00A64555" w:rsidRPr="00A64555">
        <w:rPr>
          <w:rFonts w:ascii="Arial" w:hAnsi="Arial" w:cs="Arial"/>
        </w:rPr>
        <w:t>–</w:t>
      </w:r>
      <w:r w:rsidRPr="00823352">
        <w:rPr>
          <w:rFonts w:ascii="Arial" w:hAnsi="Arial" w:cs="Arial"/>
        </w:rPr>
        <w:t>202</w:t>
      </w:r>
      <w:r>
        <w:rPr>
          <w:rFonts w:ascii="Arial" w:hAnsi="Arial" w:cs="Arial"/>
        </w:rPr>
        <w:t>2</w:t>
      </w:r>
      <w:r w:rsidRPr="00823352">
        <w:rPr>
          <w:rFonts w:ascii="Arial" w:hAnsi="Arial" w:cs="Arial"/>
        </w:rPr>
        <w:t xml:space="preserve"> przez organy Państwowej Inspekcji Sanitarnej wykonywano ocenę ryzyka lub korzystano z</w:t>
      </w:r>
      <w:r>
        <w:rPr>
          <w:rFonts w:ascii="Arial" w:hAnsi="Arial" w:cs="Arial"/>
        </w:rPr>
        <w:t> </w:t>
      </w:r>
      <w:r w:rsidRPr="00823352">
        <w:rPr>
          <w:rFonts w:ascii="Arial" w:hAnsi="Arial" w:cs="Arial"/>
        </w:rPr>
        <w:t xml:space="preserve">wyników poprzednich ocen, a przypadki, gdzie wynik oceny ryzyka wskazywał, że dany produkt może stwarzać zagrożenie dla zdrowia konsumenta </w:t>
      </w:r>
      <w:r w:rsidR="001A147E" w:rsidRPr="001A147E">
        <w:rPr>
          <w:rFonts w:ascii="Arial" w:hAnsi="Arial" w:cs="Arial"/>
        </w:rPr>
        <w:t>–</w:t>
      </w:r>
      <w:r w:rsidRPr="00823352">
        <w:rPr>
          <w:rFonts w:ascii="Arial" w:hAnsi="Arial" w:cs="Arial"/>
        </w:rPr>
        <w:t xml:space="preserve"> były rozpatrywane do zgłoszenia w ramach systemu RASFF. W pozostałych przypadkach, nie stanowiących zagrożenia dla zdrowia konsumentów, podejmowano działania administracyjne przewidziane przepisami prawa, a tam, gdzie było to uzasadnione, informowano właściwe organy Państwowej Inspekcji Ochrony Roślin i Nasiennictwa.</w:t>
      </w:r>
    </w:p>
    <w:p w14:paraId="57277BE0" w14:textId="2B998D8E" w:rsidR="00C97F23"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8310E0">
        <w:rPr>
          <w:rFonts w:ascii="Arial" w:hAnsi="Arial" w:cs="Arial"/>
        </w:rPr>
        <w:t>W latach 2018–2022 sukcesywnie zwiększano liczbę badanych próbek pod kątem zawartości pestycydów. Zarówno ogólna liczba analizowanych próbek, jak i liczba próbek produktów krajowych w</w:t>
      </w:r>
      <w:r w:rsidR="00520FE6">
        <w:rPr>
          <w:rFonts w:ascii="Arial" w:hAnsi="Arial" w:cs="Arial"/>
        </w:rPr>
        <w:t> </w:t>
      </w:r>
      <w:r w:rsidRPr="008310E0">
        <w:rPr>
          <w:rFonts w:ascii="Arial" w:hAnsi="Arial" w:cs="Arial"/>
        </w:rPr>
        <w:t>2022 r. zwiększyła się o blisko 85,0% w porównaniu z 2018</w:t>
      </w:r>
      <w:r w:rsidR="00483233">
        <w:rPr>
          <w:rFonts w:ascii="Arial" w:hAnsi="Arial" w:cs="Arial"/>
        </w:rPr>
        <w:t xml:space="preserve"> r</w:t>
      </w:r>
      <w:r w:rsidRPr="008310E0">
        <w:rPr>
          <w:rFonts w:ascii="Arial" w:hAnsi="Arial" w:cs="Arial"/>
        </w:rPr>
        <w:t>. Owoce i warzywa były największą grupą analizowanych produktów</w:t>
      </w:r>
      <w:r w:rsidR="00483233">
        <w:rPr>
          <w:rFonts w:ascii="Arial" w:hAnsi="Arial" w:cs="Arial"/>
        </w:rPr>
        <w:t>,</w:t>
      </w:r>
      <w:r w:rsidRPr="008310E0">
        <w:rPr>
          <w:rFonts w:ascii="Arial" w:hAnsi="Arial" w:cs="Arial"/>
        </w:rPr>
        <w:t xml:space="preserve"> w latach 2020 i 2022 stanowiły 64,0%, w 2021 r. stanowiły 72,0% i w 2019</w:t>
      </w:r>
      <w:r w:rsidR="00483233">
        <w:rPr>
          <w:rFonts w:ascii="Arial" w:hAnsi="Arial" w:cs="Arial"/>
        </w:rPr>
        <w:t> </w:t>
      </w:r>
      <w:r w:rsidRPr="008310E0">
        <w:rPr>
          <w:rFonts w:ascii="Arial" w:hAnsi="Arial" w:cs="Arial"/>
        </w:rPr>
        <w:t xml:space="preserve">r. </w:t>
      </w:r>
      <w:r w:rsidR="00483233" w:rsidRPr="00483233">
        <w:rPr>
          <w:rFonts w:ascii="Arial" w:hAnsi="Arial" w:cs="Arial"/>
        </w:rPr>
        <w:t>–</w:t>
      </w:r>
      <w:r w:rsidRPr="008310E0">
        <w:rPr>
          <w:rFonts w:ascii="Arial" w:hAnsi="Arial" w:cs="Arial"/>
        </w:rPr>
        <w:t xml:space="preserve"> 68,0% badanych produktów. Wzrosła liczba badanych zbóż oraz produktów przetworzonych. Liczba badanych próbek zbóż w latach 2021–2022 wzrosła o około 30,0%, a produktów przetworzonych</w:t>
      </w:r>
      <w:r w:rsidRPr="008310E0" w:rsidDel="003F60D7">
        <w:rPr>
          <w:rFonts w:ascii="Arial" w:hAnsi="Arial" w:cs="Arial"/>
        </w:rPr>
        <w:t xml:space="preserve"> </w:t>
      </w:r>
      <w:r w:rsidR="00F908B7" w:rsidRPr="002C4635">
        <w:rPr>
          <w:rFonts w:ascii="Arial" w:hAnsi="Arial" w:cs="Arial"/>
        </w:rPr>
        <w:t>–</w:t>
      </w:r>
      <w:r w:rsidRPr="008310E0">
        <w:rPr>
          <w:rFonts w:ascii="Arial" w:hAnsi="Arial" w:cs="Arial"/>
        </w:rPr>
        <w:t xml:space="preserve"> 60,0%. </w:t>
      </w:r>
    </w:p>
    <w:p w14:paraId="20C81F16" w14:textId="5740FD49" w:rsidR="00C97F23"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687DA8">
        <w:rPr>
          <w:rFonts w:ascii="Arial" w:hAnsi="Arial" w:cs="Arial"/>
        </w:rPr>
        <w:t>W latach 2018</w:t>
      </w:r>
      <w:r w:rsidR="00171656" w:rsidRPr="00171656">
        <w:rPr>
          <w:rFonts w:ascii="Arial" w:hAnsi="Arial" w:cs="Arial"/>
        </w:rPr>
        <w:t>–</w:t>
      </w:r>
      <w:r w:rsidRPr="00687DA8">
        <w:rPr>
          <w:rFonts w:ascii="Arial" w:hAnsi="Arial" w:cs="Arial"/>
        </w:rPr>
        <w:t>2022 odsetek próbek produktów pochodzenia krajowego niezgodnych</w:t>
      </w:r>
      <w:r w:rsidR="000E0C15">
        <w:rPr>
          <w:rFonts w:ascii="Arial" w:hAnsi="Arial" w:cs="Arial"/>
        </w:rPr>
        <w:t xml:space="preserve">, </w:t>
      </w:r>
      <w:r w:rsidRPr="00687DA8">
        <w:rPr>
          <w:rFonts w:ascii="Arial" w:hAnsi="Arial" w:cs="Arial"/>
        </w:rPr>
        <w:t>z</w:t>
      </w:r>
      <w:r w:rsidR="0089591C">
        <w:rPr>
          <w:rFonts w:ascii="Arial" w:hAnsi="Arial" w:cs="Arial"/>
        </w:rPr>
        <w:t> </w:t>
      </w:r>
      <w:r w:rsidRPr="00687DA8">
        <w:rPr>
          <w:rFonts w:ascii="Arial" w:hAnsi="Arial" w:cs="Arial"/>
        </w:rPr>
        <w:t xml:space="preserve">przekroczeniami NDP po uwzględnieniu niepewności pomiarowej –  kształtował się w zakresie 2,5% – 4,0%, a w 2022r. wynosił 3,7%. </w:t>
      </w:r>
    </w:p>
    <w:p w14:paraId="385D593F" w14:textId="623E8588" w:rsidR="00C97F23" w:rsidRPr="008310E0" w:rsidRDefault="00C97F23" w:rsidP="00270191">
      <w:pPr>
        <w:pStyle w:val="NormalnyWeb"/>
        <w:tabs>
          <w:tab w:val="left" w:pos="284"/>
        </w:tabs>
        <w:spacing w:beforeAutospacing="0" w:after="120" w:afterAutospacing="0" w:line="360" w:lineRule="auto"/>
        <w:ind w:firstLine="284"/>
        <w:jc w:val="both"/>
        <w:rPr>
          <w:rFonts w:ascii="Arial" w:hAnsi="Arial" w:cs="Arial"/>
        </w:rPr>
      </w:pPr>
      <w:r w:rsidRPr="008310E0">
        <w:rPr>
          <w:rFonts w:ascii="Arial" w:hAnsi="Arial" w:cs="Arial"/>
        </w:rPr>
        <w:t>Należy podkreślić, że w sposób ciągły rozwijane są możliwości analityczne laboratoriów badających żywność, co związane jest z dynamicznie zmieniającym się rolnictwem i stosowaniem nowych środków ochrony roślin. Zakres badanych związków ulega systematycznemu rozszerzeniu i obecnie sięga blisko 450 związków, do badań wprowadzane są nowe matryce badawcze, zwiększając tym samym różnorodność analizowanych produktów</w:t>
      </w:r>
      <w:r>
        <w:rPr>
          <w:rFonts w:ascii="Arial" w:hAnsi="Arial" w:cs="Arial"/>
        </w:rPr>
        <w:t xml:space="preserve">, </w:t>
      </w:r>
      <w:r w:rsidRPr="008310E0">
        <w:rPr>
          <w:rFonts w:ascii="Arial" w:hAnsi="Arial" w:cs="Arial"/>
        </w:rPr>
        <w:t>co przekłada się na podniesienie poziomu bezpieczeństwa żywności i ochrony zdrowia konsumenta.</w:t>
      </w:r>
    </w:p>
    <w:p w14:paraId="1BB1A1E0"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31" w:name="_Toc341876088"/>
      <w:bookmarkStart w:id="132" w:name="_Toc161744906"/>
      <w:r w:rsidRPr="00925BCD">
        <w:rPr>
          <w:i w:val="0"/>
          <w:sz w:val="20"/>
          <w:szCs w:val="20"/>
        </w:rPr>
        <w:t>Podzadanie 2. Kontrola pasz na obecność pozostałości środków ochrony roślin</w:t>
      </w:r>
      <w:bookmarkEnd w:id="131"/>
      <w:bookmarkEnd w:id="132"/>
      <w:r w:rsidRPr="00925BCD">
        <w:rPr>
          <w:i w:val="0"/>
          <w:sz w:val="20"/>
          <w:szCs w:val="20"/>
        </w:rPr>
        <w:t xml:space="preserve"> </w:t>
      </w:r>
    </w:p>
    <w:p w14:paraId="3068C39B" w14:textId="27E52FC4" w:rsidR="00F41E03"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Inspekcja Weterynaryjna w ramach realizacji Planu Urzędowej Kontroli Pasz prowadzi monitoring pasz w zakresie obecności pozostałości pestycydów chloroorganicznych i fosforoorganicznych. System nadzoru nad paszami, kompetencje i odpowiedzialność właściwych organów określa ustawa z dnia 22 lipca 2006 r. o paszach (Dz. U. z 20</w:t>
      </w:r>
      <w:r w:rsidR="006F38A8">
        <w:rPr>
          <w:rFonts w:ascii="Arial" w:hAnsi="Arial" w:cs="Arial"/>
        </w:rPr>
        <w:t>21</w:t>
      </w:r>
      <w:r w:rsidRPr="00925BCD">
        <w:rPr>
          <w:rFonts w:ascii="Arial" w:hAnsi="Arial" w:cs="Arial"/>
        </w:rPr>
        <w:t xml:space="preserve"> r. poz. </w:t>
      </w:r>
      <w:r w:rsidR="006F38A8">
        <w:rPr>
          <w:rFonts w:ascii="Arial" w:hAnsi="Arial" w:cs="Arial"/>
        </w:rPr>
        <w:t>278</w:t>
      </w:r>
      <w:r w:rsidRPr="00925BCD">
        <w:rPr>
          <w:rFonts w:ascii="Arial" w:hAnsi="Arial" w:cs="Arial"/>
        </w:rPr>
        <w:t xml:space="preserve">, z późn. zm.). Organem kontrolnym sprawującym nadzór nad całym sektorem paszowym jest powiatowy lekarz weterynarii, z wyłączeniem wytwarzania </w:t>
      </w:r>
      <w:r w:rsidRPr="00925BCD">
        <w:rPr>
          <w:rFonts w:ascii="Arial" w:hAnsi="Arial" w:cs="Arial"/>
        </w:rPr>
        <w:lastRenderedPageBreak/>
        <w:t xml:space="preserve">pasz leczniczych i obrotu paszami leczniczymi, nad którym nadzór sprawuje wojewódzki lekarz weterynarii. </w:t>
      </w:r>
      <w:r w:rsidR="00F41E03" w:rsidRPr="00F41E03">
        <w:rPr>
          <w:rFonts w:ascii="Arial" w:hAnsi="Arial" w:cs="Arial"/>
        </w:rPr>
        <w:t>Próbki pobierane są głównie z materiałów paszowych pochodzenia roślinnego oraz mieszanek paszowych dla zwierząt.</w:t>
      </w:r>
    </w:p>
    <w:p w14:paraId="5B06B2C1" w14:textId="1D4606A3"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2018</w:t>
      </w:r>
      <w:r w:rsidR="00EF50C8">
        <w:rPr>
          <w:rFonts w:ascii="Arial" w:hAnsi="Arial" w:cs="Arial"/>
          <w:b/>
        </w:rPr>
        <w:t> </w:t>
      </w:r>
      <w:r w:rsidRPr="00925BCD">
        <w:rPr>
          <w:rFonts w:ascii="Arial" w:hAnsi="Arial" w:cs="Arial"/>
          <w:b/>
        </w:rPr>
        <w:t>r.</w:t>
      </w:r>
      <w:r w:rsidRPr="00925BCD">
        <w:rPr>
          <w:rFonts w:ascii="Arial" w:hAnsi="Arial" w:cs="Arial"/>
        </w:rPr>
        <w:t xml:space="preserve"> do analiz pobrano 328 próbek pasz. Badania w kierunku oznaczania poziomu pestycydów przeprowadzono w 53 mieszankach paszowych (w 27 próbkach – pestycydy fosforoorganiczne i 26 – pestycydy chloroorganiczne) oraz w 275 materiałach paszowych (w</w:t>
      </w:r>
      <w:r w:rsidR="00EC2F01" w:rsidRPr="00925BCD">
        <w:rPr>
          <w:rFonts w:ascii="Arial" w:hAnsi="Arial" w:cs="Arial"/>
        </w:rPr>
        <w:t> </w:t>
      </w:r>
      <w:r w:rsidRPr="00925BCD">
        <w:rPr>
          <w:rFonts w:ascii="Arial" w:hAnsi="Arial" w:cs="Arial"/>
        </w:rPr>
        <w:t>141 próbkach – pestycydy fosforoorganiczne i 134 – pestycydy chloroorganiczne). W 3 próbkach materiałów paszowych (zboża i ich produkty) stwierdzono przekroczenie maksymalnych dopuszczalnych poziomów pozostałości pestycydów fosforoorganicznych, pozostałe próbki były zgodne z wymaganiami.</w:t>
      </w:r>
    </w:p>
    <w:p w14:paraId="2B047307" w14:textId="5BD79111" w:rsidR="00EC2F01" w:rsidRDefault="00EC2F01"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2019</w:t>
      </w:r>
      <w:r w:rsidR="00BE3A17">
        <w:rPr>
          <w:rFonts w:ascii="Arial" w:hAnsi="Arial" w:cs="Arial"/>
          <w:b/>
        </w:rPr>
        <w:t> </w:t>
      </w:r>
      <w:r w:rsidRPr="00925BCD">
        <w:rPr>
          <w:rFonts w:ascii="Arial" w:hAnsi="Arial" w:cs="Arial"/>
          <w:b/>
        </w:rPr>
        <w:t>r</w:t>
      </w:r>
      <w:r w:rsidRPr="00925BCD">
        <w:rPr>
          <w:rFonts w:ascii="Arial" w:hAnsi="Arial" w:cs="Arial"/>
        </w:rPr>
        <w:t xml:space="preserve">. do analiz pobrano 329 próbek pasz. Badania w kierunku oznaczania poziomu pestycydów przeprowadzono w 48 mieszankach paszowych (21 – pestycydy fosforoorganiczne, 27 – pestycydy chloroorganiczne) i w 281 materiałach paszowych (145 – pestycydy fosforoorganiczne, 136 – pestycydy chloroorganiczne). </w:t>
      </w:r>
    </w:p>
    <w:p w14:paraId="2AA7D51A" w14:textId="10A9E5C5" w:rsidR="000B36AB" w:rsidRDefault="0052583C" w:rsidP="0052583C">
      <w:pPr>
        <w:pStyle w:val="NormalnyWeb"/>
        <w:tabs>
          <w:tab w:val="left" w:pos="284"/>
        </w:tabs>
        <w:spacing w:beforeAutospacing="0" w:after="120" w:afterAutospacing="0" w:line="360" w:lineRule="auto"/>
        <w:ind w:firstLine="284"/>
        <w:jc w:val="both"/>
        <w:rPr>
          <w:rFonts w:ascii="Arial" w:hAnsi="Arial" w:cs="Arial"/>
        </w:rPr>
      </w:pPr>
      <w:r w:rsidRPr="001B1D12">
        <w:rPr>
          <w:rFonts w:ascii="Arial" w:hAnsi="Arial" w:cs="Arial"/>
          <w:b/>
          <w:bCs/>
        </w:rPr>
        <w:t>W 2020 r.</w:t>
      </w:r>
      <w:r>
        <w:rPr>
          <w:rFonts w:ascii="Arial" w:hAnsi="Arial" w:cs="Arial"/>
        </w:rPr>
        <w:t xml:space="preserve"> </w:t>
      </w:r>
      <w:r w:rsidRPr="0052583C">
        <w:rPr>
          <w:rFonts w:ascii="Arial" w:hAnsi="Arial" w:cs="Arial"/>
        </w:rPr>
        <w:t xml:space="preserve">do analiz </w:t>
      </w:r>
      <w:r w:rsidR="009439D5">
        <w:rPr>
          <w:rFonts w:ascii="Arial" w:hAnsi="Arial" w:cs="Arial"/>
        </w:rPr>
        <w:t>pobrano</w:t>
      </w:r>
      <w:r w:rsidRPr="0052583C">
        <w:rPr>
          <w:rFonts w:ascii="Arial" w:hAnsi="Arial" w:cs="Arial"/>
        </w:rPr>
        <w:t xml:space="preserve"> 330 próbek pasz. Badania w</w:t>
      </w:r>
      <w:r>
        <w:rPr>
          <w:rFonts w:ascii="Arial" w:hAnsi="Arial" w:cs="Arial"/>
        </w:rPr>
        <w:t xml:space="preserve"> </w:t>
      </w:r>
      <w:r w:rsidRPr="0052583C">
        <w:rPr>
          <w:rFonts w:ascii="Arial" w:hAnsi="Arial" w:cs="Arial"/>
        </w:rPr>
        <w:t>kierunku oznaczania poziomu pestycydów przeprowadzono w 57 próbkach mieszanek paszowych (26 –</w:t>
      </w:r>
      <w:r>
        <w:rPr>
          <w:rFonts w:ascii="Arial" w:hAnsi="Arial" w:cs="Arial"/>
        </w:rPr>
        <w:t xml:space="preserve"> </w:t>
      </w:r>
      <w:r w:rsidRPr="0052583C">
        <w:rPr>
          <w:rFonts w:ascii="Arial" w:hAnsi="Arial" w:cs="Arial"/>
        </w:rPr>
        <w:t>pestycydy fosforoorganiczne, 31 – pestycydy chloroorganiczne), w 272 próbkach materiałów paszowych</w:t>
      </w:r>
      <w:r>
        <w:rPr>
          <w:rFonts w:ascii="Arial" w:hAnsi="Arial" w:cs="Arial"/>
        </w:rPr>
        <w:t xml:space="preserve"> </w:t>
      </w:r>
      <w:r w:rsidRPr="0052583C">
        <w:rPr>
          <w:rFonts w:ascii="Arial" w:hAnsi="Arial" w:cs="Arial"/>
        </w:rPr>
        <w:t>(138 – pestycydy fosforoorganiczne, 134 – pestycydy chloroorganiczne) oraz w 1 próbce dodatku</w:t>
      </w:r>
      <w:r>
        <w:rPr>
          <w:rFonts w:ascii="Arial" w:hAnsi="Arial" w:cs="Arial"/>
        </w:rPr>
        <w:t xml:space="preserve"> </w:t>
      </w:r>
      <w:r w:rsidRPr="0052583C">
        <w:rPr>
          <w:rFonts w:ascii="Arial" w:hAnsi="Arial" w:cs="Arial"/>
        </w:rPr>
        <w:t xml:space="preserve">paszowego (pestycydy fosforoorganiczne). </w:t>
      </w:r>
    </w:p>
    <w:p w14:paraId="4365570A" w14:textId="711ECA24" w:rsidR="00F41E03" w:rsidRPr="00F41E03" w:rsidRDefault="00F41E03" w:rsidP="00F41E03">
      <w:pPr>
        <w:pStyle w:val="NormalnyWeb"/>
        <w:tabs>
          <w:tab w:val="left" w:pos="284"/>
        </w:tabs>
        <w:spacing w:beforeAutospacing="0" w:after="120" w:afterAutospacing="0" w:line="360" w:lineRule="auto"/>
        <w:ind w:firstLine="284"/>
        <w:jc w:val="both"/>
        <w:rPr>
          <w:rFonts w:ascii="Arial" w:hAnsi="Arial" w:cs="Arial"/>
        </w:rPr>
      </w:pPr>
      <w:r w:rsidRPr="00F41E03">
        <w:rPr>
          <w:rFonts w:ascii="Arial" w:hAnsi="Arial" w:cs="Arial"/>
        </w:rPr>
        <w:t>Od 2021</w:t>
      </w:r>
      <w:r w:rsidR="008C684C">
        <w:rPr>
          <w:rFonts w:ascii="Arial" w:hAnsi="Arial" w:cs="Arial"/>
        </w:rPr>
        <w:t> </w:t>
      </w:r>
      <w:r w:rsidRPr="00F41E03">
        <w:rPr>
          <w:rFonts w:ascii="Arial" w:hAnsi="Arial" w:cs="Arial"/>
        </w:rPr>
        <w:t>r</w:t>
      </w:r>
      <w:r>
        <w:rPr>
          <w:rFonts w:ascii="Arial" w:hAnsi="Arial" w:cs="Arial"/>
        </w:rPr>
        <w:t>.</w:t>
      </w:r>
      <w:r w:rsidRPr="00F41E03">
        <w:rPr>
          <w:rFonts w:ascii="Arial" w:hAnsi="Arial" w:cs="Arial"/>
        </w:rPr>
        <w:t xml:space="preserve"> Plan Urzędowej Kontroli Pasz uwzględnia jeden kierunek badania – oznaczanie zawartości pestycydów w paszach, będący połączeniem dwóch dotychczas funkcjonujących kierunków (oznaczanie zawartości pestycydów chloroorganicznych i fosforoorganicznych). Tzn. przy zachowaniu dotychczasowej ilości pobieranych próbek przeprowadza się ich jednoczesne badanie w kierunku wykrywania zarówno pestycydów chloro- i fosforoorganicznych. Zmiana ta pozwoliła na zwiększenie zakresu prowadzonych przez Inspekcję Weterynaryjną badań próbek pasz, a tym samym kompleksowej ich analizy. </w:t>
      </w:r>
    </w:p>
    <w:p w14:paraId="1806F661" w14:textId="06FE5484" w:rsidR="00F41E03" w:rsidRDefault="00F41E03" w:rsidP="0052583C">
      <w:pPr>
        <w:pStyle w:val="NormalnyWeb"/>
        <w:tabs>
          <w:tab w:val="left" w:pos="284"/>
        </w:tabs>
        <w:spacing w:beforeAutospacing="0" w:after="120" w:afterAutospacing="0" w:line="360" w:lineRule="auto"/>
        <w:ind w:firstLine="284"/>
        <w:jc w:val="both"/>
        <w:rPr>
          <w:rFonts w:ascii="Arial" w:hAnsi="Arial" w:cs="Arial"/>
        </w:rPr>
      </w:pPr>
      <w:r w:rsidRPr="00F41E03">
        <w:rPr>
          <w:rFonts w:ascii="Arial" w:hAnsi="Arial" w:cs="Arial"/>
        </w:rPr>
        <w:t xml:space="preserve">W ramach ww. kontroli </w:t>
      </w:r>
      <w:r w:rsidRPr="00F41E03">
        <w:rPr>
          <w:rFonts w:ascii="Arial" w:hAnsi="Arial" w:cs="Arial"/>
          <w:b/>
        </w:rPr>
        <w:t>w 2021 r.</w:t>
      </w:r>
      <w:r w:rsidRPr="00F41E03">
        <w:rPr>
          <w:rFonts w:ascii="Arial" w:hAnsi="Arial" w:cs="Arial"/>
        </w:rPr>
        <w:t xml:space="preserve"> przeprowadzono łącznie 616 analiz laboratoryjnych. Dla mieszanek paszowych przeprowadzono 101 analiz laboratoryjnych (50 – pestycydy fosforoorganiczne, 51 – pestycydy chloroorganiczne), natomiast dla materiałów paszowych tych analiz przeprowadzono 515 (252 – pestycydy fosforoorganiczne, 263 – pestycydy chloroorganiczne).</w:t>
      </w:r>
    </w:p>
    <w:p w14:paraId="071D187A" w14:textId="68737D31" w:rsidR="0052583C" w:rsidRPr="00F41E03" w:rsidRDefault="0052583C" w:rsidP="00F41E03">
      <w:pPr>
        <w:tabs>
          <w:tab w:val="center" w:pos="4536"/>
          <w:tab w:val="right" w:pos="9072"/>
        </w:tabs>
        <w:spacing w:after="120" w:line="360" w:lineRule="auto"/>
        <w:ind w:firstLine="357"/>
        <w:jc w:val="both"/>
        <w:rPr>
          <w:rFonts w:ascii="Arial" w:hAnsi="Arial" w:cs="Arial"/>
          <w:sz w:val="20"/>
          <w:szCs w:val="20"/>
        </w:rPr>
      </w:pPr>
      <w:r w:rsidRPr="00F41E03">
        <w:rPr>
          <w:rFonts w:ascii="Arial" w:hAnsi="Arial" w:cs="Arial"/>
          <w:sz w:val="20"/>
          <w:szCs w:val="20"/>
        </w:rPr>
        <w:t>Wszystkie zbadane w</w:t>
      </w:r>
      <w:r w:rsidR="00885E34" w:rsidRPr="00F41E03">
        <w:rPr>
          <w:rFonts w:ascii="Arial" w:hAnsi="Arial" w:cs="Arial"/>
          <w:sz w:val="20"/>
          <w:szCs w:val="20"/>
        </w:rPr>
        <w:t xml:space="preserve"> lat</w:t>
      </w:r>
      <w:r w:rsidR="000A19E3" w:rsidRPr="00F41E03">
        <w:rPr>
          <w:rFonts w:ascii="Arial" w:hAnsi="Arial" w:cs="Arial"/>
          <w:sz w:val="20"/>
          <w:szCs w:val="20"/>
        </w:rPr>
        <w:t xml:space="preserve">ach </w:t>
      </w:r>
      <w:r w:rsidRPr="00F41E03">
        <w:rPr>
          <w:rFonts w:ascii="Arial" w:hAnsi="Arial" w:cs="Arial"/>
          <w:sz w:val="20"/>
          <w:szCs w:val="20"/>
        </w:rPr>
        <w:t>2019</w:t>
      </w:r>
      <w:r w:rsidR="000B36AB" w:rsidRPr="00F41E03">
        <w:rPr>
          <w:rFonts w:ascii="Arial" w:hAnsi="Arial" w:cs="Arial"/>
          <w:sz w:val="20"/>
          <w:szCs w:val="20"/>
        </w:rPr>
        <w:t xml:space="preserve"> </w:t>
      </w:r>
      <w:r w:rsidR="000A19E3" w:rsidRPr="00F41E03">
        <w:rPr>
          <w:rFonts w:ascii="Arial" w:hAnsi="Arial" w:cs="Arial"/>
          <w:sz w:val="20"/>
          <w:szCs w:val="20"/>
        </w:rPr>
        <w:t>- 2021</w:t>
      </w:r>
      <w:r w:rsidRPr="00F41E03">
        <w:rPr>
          <w:rFonts w:ascii="Arial" w:hAnsi="Arial" w:cs="Arial"/>
          <w:sz w:val="20"/>
          <w:szCs w:val="20"/>
        </w:rPr>
        <w:t xml:space="preserve"> próbki były zgodne z wymaganiami.</w:t>
      </w:r>
    </w:p>
    <w:p w14:paraId="1A096BFD" w14:textId="3971D904" w:rsidR="00F41E03" w:rsidRPr="00F41E03" w:rsidRDefault="00F41E03" w:rsidP="00F41E03">
      <w:pPr>
        <w:tabs>
          <w:tab w:val="center" w:pos="4536"/>
          <w:tab w:val="right" w:pos="9072"/>
        </w:tabs>
        <w:spacing w:after="120" w:line="360" w:lineRule="auto"/>
        <w:ind w:firstLine="357"/>
        <w:jc w:val="both"/>
        <w:rPr>
          <w:rFonts w:ascii="Arial" w:hAnsi="Arial" w:cs="Arial"/>
          <w:sz w:val="20"/>
          <w:szCs w:val="20"/>
        </w:rPr>
      </w:pPr>
      <w:r w:rsidRPr="00F41E03">
        <w:rPr>
          <w:rFonts w:ascii="Arial" w:hAnsi="Arial" w:cs="Arial"/>
          <w:sz w:val="20"/>
          <w:szCs w:val="20"/>
        </w:rPr>
        <w:t>Od 2022 r. Plan Urzędowej Kontroli Pasz uwzględnia dodatkowy kierunek badania – oznaczanie glifosatu w paszach. Zmiana ta pozwoliła na zwiększenie zakresu prowadzonych przez Inspekcję Weterynaryjną badań próbek pasz, gdyż przedmiotowa substancja czynna nie była dotychczas objęta zakresem odpowiednich metodyk badawczych.</w:t>
      </w:r>
    </w:p>
    <w:p w14:paraId="7680793C" w14:textId="0EF92BE1" w:rsidR="00F41E03" w:rsidRPr="00F41E03" w:rsidRDefault="00F41E03" w:rsidP="00F41E03">
      <w:pPr>
        <w:tabs>
          <w:tab w:val="center" w:pos="4536"/>
          <w:tab w:val="right" w:pos="9072"/>
        </w:tabs>
        <w:spacing w:after="120" w:line="360" w:lineRule="auto"/>
        <w:ind w:firstLine="357"/>
        <w:jc w:val="both"/>
        <w:rPr>
          <w:rFonts w:ascii="Arial" w:hAnsi="Arial" w:cs="Arial"/>
          <w:sz w:val="20"/>
          <w:szCs w:val="20"/>
        </w:rPr>
      </w:pPr>
      <w:r w:rsidRPr="00F41E03">
        <w:rPr>
          <w:rFonts w:ascii="Arial" w:hAnsi="Arial" w:cs="Arial"/>
          <w:sz w:val="20"/>
          <w:szCs w:val="20"/>
        </w:rPr>
        <w:t xml:space="preserve">W ramach ww. kontroli </w:t>
      </w:r>
      <w:r w:rsidRPr="00F41E03">
        <w:rPr>
          <w:rFonts w:ascii="Arial" w:hAnsi="Arial" w:cs="Arial"/>
          <w:b/>
          <w:sz w:val="20"/>
          <w:szCs w:val="20"/>
        </w:rPr>
        <w:t>w 2022</w:t>
      </w:r>
      <w:r w:rsidR="00D167CE">
        <w:rPr>
          <w:rFonts w:ascii="Arial" w:hAnsi="Arial" w:cs="Arial"/>
          <w:b/>
          <w:sz w:val="20"/>
          <w:szCs w:val="20"/>
        </w:rPr>
        <w:t> </w:t>
      </w:r>
      <w:r w:rsidRPr="00F41E03">
        <w:rPr>
          <w:rFonts w:ascii="Arial" w:hAnsi="Arial" w:cs="Arial"/>
          <w:b/>
          <w:sz w:val="20"/>
          <w:szCs w:val="20"/>
        </w:rPr>
        <w:t>r.</w:t>
      </w:r>
      <w:r w:rsidRPr="00F41E03">
        <w:rPr>
          <w:rFonts w:ascii="Arial" w:hAnsi="Arial" w:cs="Arial"/>
          <w:sz w:val="20"/>
          <w:szCs w:val="20"/>
        </w:rPr>
        <w:t xml:space="preserve"> przeprowadzono łącznie 712 analiz laboratoryjnych. Dla mieszanek paszowych przeprowadzono 116 analiz laboratoryjnych (50 – pestycydy fosforoorganiczne, 60 – pestycydy chloroorganiczne, 6 – glifosat), natomiast dla materiałów paszowych tych analiz </w:t>
      </w:r>
      <w:r w:rsidRPr="00F41E03">
        <w:rPr>
          <w:rFonts w:ascii="Arial" w:hAnsi="Arial" w:cs="Arial"/>
          <w:sz w:val="20"/>
          <w:szCs w:val="20"/>
        </w:rPr>
        <w:lastRenderedPageBreak/>
        <w:t xml:space="preserve">przeprowadzono 596 (274 – pestycydy fosforoorganiczne, 281 – pestycydy chloroorganiczne, 41 </w:t>
      </w:r>
      <w:r w:rsidR="009D19D1" w:rsidRPr="009D19D1">
        <w:rPr>
          <w:rFonts w:ascii="Arial" w:hAnsi="Arial" w:cs="Arial"/>
          <w:sz w:val="20"/>
          <w:szCs w:val="20"/>
        </w:rPr>
        <w:t>–</w:t>
      </w:r>
      <w:r w:rsidRPr="00F41E03">
        <w:rPr>
          <w:rFonts w:ascii="Arial" w:hAnsi="Arial" w:cs="Arial"/>
          <w:sz w:val="20"/>
          <w:szCs w:val="20"/>
        </w:rPr>
        <w:t xml:space="preserve"> glifosat). W 3 próbkach materiałów paszowych (zboża, ich produktu i produkty uboczne) stwierdzono przekroczenie maksymalnych dopuszczalnych poziomów pozostałości pestycydów, pozostałe próbki były zgodne z wymaganiami. </w:t>
      </w:r>
    </w:p>
    <w:p w14:paraId="39B7F912" w14:textId="77777777" w:rsidR="00F41E03" w:rsidRPr="00F41E03" w:rsidRDefault="00F41E03" w:rsidP="00F41E03">
      <w:pPr>
        <w:tabs>
          <w:tab w:val="center" w:pos="4536"/>
          <w:tab w:val="right" w:pos="9072"/>
        </w:tabs>
        <w:spacing w:after="120" w:line="360" w:lineRule="auto"/>
        <w:ind w:firstLine="357"/>
        <w:jc w:val="both"/>
        <w:rPr>
          <w:rFonts w:ascii="Arial" w:hAnsi="Arial" w:cs="Arial"/>
          <w:sz w:val="20"/>
          <w:szCs w:val="20"/>
        </w:rPr>
      </w:pPr>
      <w:r w:rsidRPr="00F41E03">
        <w:rPr>
          <w:rFonts w:ascii="Arial" w:hAnsi="Arial" w:cs="Arial"/>
          <w:sz w:val="20"/>
          <w:szCs w:val="20"/>
        </w:rPr>
        <w:t>Każdorazowo po stwierdzeniu niezgodności w paszach powiatowi lekarze weterynarii przeprowadzali postępowanie wyjaśniające mające na celu ustalenie źródła niezgodności oraz drogi dystrybucji paszy i wycofanie z rynku pasz niespełniających przepisów prawa paszowego. W przypadku gospodarstw rolnych wydawano decyzję o zakazie stosowania w żywieniu zwierząt takiej paszy. Działania podejmowane przez powiatowych lekarzy weterynarii miały na celu zapewnienie bezpieczeństwa pasz przeznaczonych do karmienia zwierząt gospodarskich z i od których pozyskiwane były produkty pochodzenia zwierzęcego.</w:t>
      </w:r>
    </w:p>
    <w:p w14:paraId="3196BD7C" w14:textId="61DAEE32" w:rsidR="00F41E03" w:rsidRDefault="00F41E03" w:rsidP="00F41E03">
      <w:pPr>
        <w:tabs>
          <w:tab w:val="center" w:pos="4536"/>
          <w:tab w:val="right" w:pos="9072"/>
        </w:tabs>
        <w:spacing w:after="120" w:line="360" w:lineRule="auto"/>
        <w:ind w:firstLine="357"/>
        <w:jc w:val="both"/>
        <w:rPr>
          <w:rFonts w:ascii="Arial" w:hAnsi="Arial" w:cs="Arial"/>
          <w:sz w:val="20"/>
          <w:szCs w:val="20"/>
        </w:rPr>
      </w:pPr>
      <w:r w:rsidRPr="00F41E03">
        <w:rPr>
          <w:rFonts w:ascii="Arial" w:hAnsi="Arial" w:cs="Arial"/>
          <w:sz w:val="20"/>
          <w:szCs w:val="20"/>
        </w:rPr>
        <w:t>Na przestrzeni lat 2018 – 2022 stwierdzono jedynie 6 próbek pasz niespełniających przepisów prawa. Należy zatem uznać, że przekroczenia maksymalnych dopuszczalnych poziomów pozostałości pestycydów mają charakter incydentalny.</w:t>
      </w:r>
    </w:p>
    <w:p w14:paraId="64BD9002"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33" w:name="_Toc341876089"/>
      <w:bookmarkStart w:id="134" w:name="_Toc301334610"/>
      <w:bookmarkStart w:id="135" w:name="_Toc300916221"/>
      <w:bookmarkStart w:id="136" w:name="_Toc161744907"/>
      <w:r w:rsidRPr="00925BCD">
        <w:rPr>
          <w:i w:val="0"/>
          <w:sz w:val="20"/>
          <w:szCs w:val="20"/>
        </w:rPr>
        <w:t>Podzadanie 3. Kontrola żywności pochodzenia zwierzęcego na obecność pozostałości środków ochrony roślin</w:t>
      </w:r>
      <w:bookmarkEnd w:id="133"/>
      <w:bookmarkEnd w:id="134"/>
      <w:bookmarkEnd w:id="135"/>
      <w:bookmarkEnd w:id="136"/>
      <w:r w:rsidRPr="00925BCD">
        <w:rPr>
          <w:i w:val="0"/>
          <w:sz w:val="20"/>
          <w:szCs w:val="20"/>
        </w:rPr>
        <w:t xml:space="preserve"> </w:t>
      </w:r>
    </w:p>
    <w:p w14:paraId="574A8CF8" w14:textId="5698272F"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Zadanie z zakresu kontroli pozostałości środków ochrony roślin w żywności pochodzenia zwierzęcego, w tym pestycydów chloroorganicznych i polichlorowanych bifenyli oraz pestycydów fosforoorganicznych, należy do kompetencji Inspekcji Weterynaryjnej. Podstawę prawną stanowi art. 16 ust. 3 ustawy z dnia 16 grudnia 2005 r. o produktach pochodzenia zwierzęcego (Dz. U. z 2017 r. poz. 242, z późn. zm.) oraz rozporządzenie Ministra Rolnictwa i Rozwoju Wsi z dnia 21 czerwca 2017</w:t>
      </w:r>
      <w:r w:rsidR="00B139F4">
        <w:rPr>
          <w:rFonts w:ascii="Arial" w:hAnsi="Arial" w:cs="Arial"/>
          <w:sz w:val="20"/>
          <w:szCs w:val="20"/>
        </w:rPr>
        <w:t> </w:t>
      </w:r>
      <w:r w:rsidRPr="00253AD3">
        <w:rPr>
          <w:rFonts w:ascii="Arial" w:hAnsi="Arial" w:cs="Arial"/>
          <w:sz w:val="20"/>
          <w:szCs w:val="20"/>
        </w:rPr>
        <w:t>r. w sprawie monitorowania substancji niedozwolonych, pozostałości chemicznych, biologicznych, produktów leczniczych i skażeń promieniotwórczych (Dz. U. poz. 1246), wdrażające do polskiego prawa</w:t>
      </w:r>
      <w:r w:rsidR="00CA3B99">
        <w:rPr>
          <w:rFonts w:ascii="Arial" w:hAnsi="Arial" w:cs="Arial"/>
          <w:sz w:val="20"/>
          <w:szCs w:val="20"/>
        </w:rPr>
        <w:t xml:space="preserve"> r</w:t>
      </w:r>
      <w:r w:rsidR="00CA3B99" w:rsidRPr="007C06CA">
        <w:rPr>
          <w:rFonts w:ascii="Arial" w:hAnsi="Arial" w:cs="Arial"/>
          <w:sz w:val="20"/>
          <w:szCs w:val="20"/>
        </w:rPr>
        <w:t>ozporządzenie Parlamentu Europejskiego I Rady (U</w:t>
      </w:r>
      <w:r w:rsidR="00CA3B99">
        <w:rPr>
          <w:rFonts w:ascii="Arial" w:hAnsi="Arial" w:cs="Arial"/>
          <w:sz w:val="20"/>
          <w:szCs w:val="20"/>
        </w:rPr>
        <w:t>E</w:t>
      </w:r>
      <w:r w:rsidR="00CA3B99" w:rsidRPr="007C06CA">
        <w:rPr>
          <w:rFonts w:ascii="Arial" w:hAnsi="Arial" w:cs="Arial"/>
          <w:sz w:val="20"/>
          <w:szCs w:val="20"/>
        </w:rPr>
        <w:t>) 2017/625</w:t>
      </w:r>
      <w:r w:rsidR="00CA3B99">
        <w:rPr>
          <w:rFonts w:ascii="Arial" w:hAnsi="Arial" w:cs="Arial"/>
          <w:sz w:val="20"/>
          <w:szCs w:val="20"/>
        </w:rPr>
        <w:t xml:space="preserve"> </w:t>
      </w:r>
      <w:r w:rsidR="00CA3B99" w:rsidRPr="007C06CA">
        <w:rPr>
          <w:rFonts w:ascii="Arial" w:hAnsi="Arial" w:cs="Arial"/>
          <w:sz w:val="20"/>
          <w:szCs w:val="20"/>
        </w:rPr>
        <w:t>z dnia 15 marca 2017 r.</w:t>
      </w:r>
      <w:r w:rsidR="00CA3B99">
        <w:rPr>
          <w:rFonts w:ascii="Arial" w:hAnsi="Arial" w:cs="Arial"/>
          <w:sz w:val="20"/>
          <w:szCs w:val="20"/>
        </w:rPr>
        <w:t xml:space="preserve"> </w:t>
      </w:r>
      <w:r w:rsidR="00CA3B99" w:rsidRPr="007C06CA">
        <w:rPr>
          <w:rFonts w:ascii="Arial" w:hAnsi="Arial" w:cs="Arial"/>
          <w:sz w:val="20"/>
          <w:szCs w:val="20"/>
        </w:rPr>
        <w:t>w sprawie kontroli urzędowych i innych czynności urzędowych przeprowadzanych w celu</w:t>
      </w:r>
      <w:r w:rsidR="00CA3B99">
        <w:rPr>
          <w:rFonts w:ascii="Arial" w:hAnsi="Arial" w:cs="Arial"/>
          <w:sz w:val="20"/>
          <w:szCs w:val="20"/>
        </w:rPr>
        <w:t xml:space="preserve"> </w:t>
      </w:r>
      <w:r w:rsidR="00CA3B99" w:rsidRPr="007C06CA">
        <w:rPr>
          <w:rFonts w:ascii="Arial" w:hAnsi="Arial" w:cs="Arial"/>
          <w:sz w:val="20"/>
          <w:szCs w:val="20"/>
        </w:rPr>
        <w:t>zapewnienia stosowania prawa żywnościowego i paszowego oraz zasad dotyczących zdrowia</w:t>
      </w:r>
      <w:r w:rsidR="00CA3B99">
        <w:rPr>
          <w:rFonts w:ascii="Arial" w:hAnsi="Arial" w:cs="Arial"/>
          <w:sz w:val="20"/>
          <w:szCs w:val="20"/>
        </w:rPr>
        <w:t xml:space="preserve"> </w:t>
      </w:r>
      <w:r w:rsidR="00CA3B99" w:rsidRPr="007C06CA">
        <w:rPr>
          <w:rFonts w:ascii="Arial" w:hAnsi="Arial" w:cs="Arial"/>
          <w:sz w:val="20"/>
          <w:szCs w:val="20"/>
        </w:rPr>
        <w:t>i dobrostanu zwierząt, zdrowia roślin i środków ochrony roślin, zmieniające rozporządzenia</w:t>
      </w:r>
      <w:r w:rsidR="00CA3B99">
        <w:rPr>
          <w:rFonts w:ascii="Arial" w:hAnsi="Arial" w:cs="Arial"/>
          <w:sz w:val="20"/>
          <w:szCs w:val="20"/>
        </w:rPr>
        <w:t xml:space="preserve"> </w:t>
      </w:r>
      <w:r w:rsidR="00CA3B99" w:rsidRPr="007C06CA">
        <w:rPr>
          <w:rFonts w:ascii="Arial" w:hAnsi="Arial" w:cs="Arial"/>
          <w:sz w:val="20"/>
          <w:szCs w:val="20"/>
        </w:rPr>
        <w:t>Parlamentu Europejskiego i Rady (WE) nr</w:t>
      </w:r>
      <w:r w:rsidR="007D7366">
        <w:rPr>
          <w:rFonts w:ascii="Arial" w:hAnsi="Arial" w:cs="Arial"/>
          <w:sz w:val="20"/>
          <w:szCs w:val="20"/>
        </w:rPr>
        <w:t> </w:t>
      </w:r>
      <w:r w:rsidR="00CA3B99" w:rsidRPr="007C06CA">
        <w:rPr>
          <w:rFonts w:ascii="Arial" w:hAnsi="Arial" w:cs="Arial"/>
          <w:sz w:val="20"/>
          <w:szCs w:val="20"/>
        </w:rPr>
        <w:t>999/2001, (WE) nr 396/2005, (WE) nr 1069/2009, (WE)</w:t>
      </w:r>
      <w:r w:rsidR="00CA3B99">
        <w:rPr>
          <w:rFonts w:ascii="Arial" w:hAnsi="Arial" w:cs="Arial"/>
          <w:sz w:val="20"/>
          <w:szCs w:val="20"/>
        </w:rPr>
        <w:t xml:space="preserve"> </w:t>
      </w:r>
      <w:r w:rsidR="00CA3B99" w:rsidRPr="007C06CA">
        <w:rPr>
          <w:rFonts w:ascii="Arial" w:hAnsi="Arial" w:cs="Arial"/>
          <w:sz w:val="20"/>
          <w:szCs w:val="20"/>
        </w:rPr>
        <w:t>nr 1107/2009, (UE) nr 1151/2012, (UE) nr</w:t>
      </w:r>
      <w:r w:rsidR="007D7366">
        <w:rPr>
          <w:rFonts w:ascii="Arial" w:hAnsi="Arial" w:cs="Arial"/>
          <w:sz w:val="20"/>
          <w:szCs w:val="20"/>
        </w:rPr>
        <w:t> </w:t>
      </w:r>
      <w:r w:rsidR="00CA3B99" w:rsidRPr="007C06CA">
        <w:rPr>
          <w:rFonts w:ascii="Arial" w:hAnsi="Arial" w:cs="Arial"/>
          <w:sz w:val="20"/>
          <w:szCs w:val="20"/>
        </w:rPr>
        <w:t>652/2014, (UE) 2016/429 i (UE) 2016/2031,</w:t>
      </w:r>
      <w:r w:rsidR="00CA3B99">
        <w:rPr>
          <w:rFonts w:ascii="Arial" w:hAnsi="Arial" w:cs="Arial"/>
          <w:sz w:val="20"/>
          <w:szCs w:val="20"/>
        </w:rPr>
        <w:t xml:space="preserve"> </w:t>
      </w:r>
      <w:r w:rsidR="00CA3B99" w:rsidRPr="007C06CA">
        <w:rPr>
          <w:rFonts w:ascii="Arial" w:hAnsi="Arial" w:cs="Arial"/>
          <w:sz w:val="20"/>
          <w:szCs w:val="20"/>
        </w:rPr>
        <w:t>rozporządzenia Rady (WE) nr 1/2005 i (WE) nr</w:t>
      </w:r>
      <w:r w:rsidR="007D7366">
        <w:rPr>
          <w:rFonts w:ascii="Arial" w:hAnsi="Arial" w:cs="Arial"/>
          <w:sz w:val="20"/>
          <w:szCs w:val="20"/>
        </w:rPr>
        <w:t> </w:t>
      </w:r>
      <w:r w:rsidR="00CA3B99" w:rsidRPr="007C06CA">
        <w:rPr>
          <w:rFonts w:ascii="Arial" w:hAnsi="Arial" w:cs="Arial"/>
          <w:sz w:val="20"/>
          <w:szCs w:val="20"/>
        </w:rPr>
        <w:t>1099/2009 oraz dyrektywy Rady 98/58/WE, 1999/74/WE, 2007/43/WE, 2008/119/WE i 2008/120/WE, oraz uchylające rozporządzenia Parlamentu</w:t>
      </w:r>
      <w:r w:rsidR="00CA3B99">
        <w:rPr>
          <w:rFonts w:ascii="Arial" w:hAnsi="Arial" w:cs="Arial"/>
          <w:sz w:val="20"/>
          <w:szCs w:val="20"/>
        </w:rPr>
        <w:t xml:space="preserve"> </w:t>
      </w:r>
      <w:r w:rsidR="00CA3B99" w:rsidRPr="007C06CA">
        <w:rPr>
          <w:rFonts w:ascii="Arial" w:hAnsi="Arial" w:cs="Arial"/>
          <w:sz w:val="20"/>
          <w:szCs w:val="20"/>
        </w:rPr>
        <w:t>Europejskiego i Rady (WE) nr 854/2004 i (WE) nr</w:t>
      </w:r>
      <w:r w:rsidR="007D7366">
        <w:rPr>
          <w:rFonts w:ascii="Arial" w:hAnsi="Arial" w:cs="Arial"/>
          <w:sz w:val="20"/>
          <w:szCs w:val="20"/>
        </w:rPr>
        <w:t> </w:t>
      </w:r>
      <w:r w:rsidR="00CA3B99" w:rsidRPr="007C06CA">
        <w:rPr>
          <w:rFonts w:ascii="Arial" w:hAnsi="Arial" w:cs="Arial"/>
          <w:sz w:val="20"/>
          <w:szCs w:val="20"/>
        </w:rPr>
        <w:t>882/2004, dyrektywy Rady 89/608/EWG, 89/662/</w:t>
      </w:r>
      <w:r w:rsidR="00CA3B99">
        <w:rPr>
          <w:rFonts w:ascii="Arial" w:hAnsi="Arial" w:cs="Arial"/>
          <w:sz w:val="20"/>
          <w:szCs w:val="20"/>
        </w:rPr>
        <w:t xml:space="preserve"> </w:t>
      </w:r>
      <w:r w:rsidR="00CA3B99" w:rsidRPr="007C06CA">
        <w:rPr>
          <w:rFonts w:ascii="Arial" w:hAnsi="Arial" w:cs="Arial"/>
          <w:sz w:val="20"/>
          <w:szCs w:val="20"/>
        </w:rPr>
        <w:t>EWG, 90/425/EWG, 91/496/EWG, 96/23/WE, 96/93/WE i 97/78/WE oraz decyzję Rady 92/438/EWG</w:t>
      </w:r>
      <w:r w:rsidR="00CA3B99">
        <w:rPr>
          <w:rFonts w:ascii="Arial" w:hAnsi="Arial" w:cs="Arial"/>
          <w:sz w:val="20"/>
          <w:szCs w:val="20"/>
        </w:rPr>
        <w:t xml:space="preserve"> </w:t>
      </w:r>
      <w:r w:rsidR="00CA3B99" w:rsidRPr="007C06CA">
        <w:rPr>
          <w:rFonts w:ascii="Arial" w:hAnsi="Arial" w:cs="Arial"/>
          <w:sz w:val="20"/>
          <w:szCs w:val="20"/>
        </w:rPr>
        <w:t>(rozporządzenie w sprawie kontroli urzędowych)</w:t>
      </w:r>
      <w:r w:rsidRPr="00253AD3">
        <w:rPr>
          <w:rFonts w:ascii="Arial" w:hAnsi="Arial" w:cs="Arial"/>
          <w:sz w:val="20"/>
          <w:szCs w:val="20"/>
        </w:rPr>
        <w:t xml:space="preserve">. Założenia programu badań pozostałości, jego plan, jak i wyniki tych badań, są opracowywane przez Państwowy Instytut Weterynaryjny – PIB w Puławach, zatwierdzane do realizacji przez Głównego Lekarza Weterynarii, a następnie akceptowane przez Komisję Europejską. </w:t>
      </w:r>
    </w:p>
    <w:p w14:paraId="620EE3AD" w14:textId="77777777"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t>W 2018 r.</w:t>
      </w:r>
      <w:r w:rsidRPr="00253AD3">
        <w:rPr>
          <w:rFonts w:ascii="Arial" w:hAnsi="Arial" w:cs="Arial"/>
          <w:sz w:val="20"/>
          <w:szCs w:val="20"/>
        </w:rPr>
        <w:t xml:space="preserve"> na zbadanych 1 126 próbek mleka, miodu, jaj jak również tych pobranych od zwierząt (bydło, świnie, owce, konie, króliki, ryby, drób, zwierzęta łowne) 2 próbki były niezgodne.</w:t>
      </w:r>
    </w:p>
    <w:p w14:paraId="70415F07" w14:textId="051B7E5A" w:rsidR="00EC2F01" w:rsidRPr="00253AD3" w:rsidRDefault="00EC2F01"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lastRenderedPageBreak/>
        <w:t>W 2019 r.</w:t>
      </w:r>
      <w:r w:rsidRPr="00253AD3">
        <w:rPr>
          <w:rFonts w:ascii="Arial" w:hAnsi="Arial" w:cs="Arial"/>
          <w:sz w:val="20"/>
          <w:szCs w:val="20"/>
        </w:rPr>
        <w:t xml:space="preserve"> wśród 1</w:t>
      </w:r>
      <w:r w:rsidR="00485172" w:rsidRPr="00253AD3">
        <w:rPr>
          <w:rFonts w:ascii="Arial" w:hAnsi="Arial" w:cs="Arial"/>
          <w:sz w:val="20"/>
          <w:szCs w:val="20"/>
        </w:rPr>
        <w:t> </w:t>
      </w:r>
      <w:r w:rsidRPr="00253AD3">
        <w:rPr>
          <w:rFonts w:ascii="Arial" w:hAnsi="Arial" w:cs="Arial"/>
          <w:sz w:val="20"/>
          <w:szCs w:val="20"/>
        </w:rPr>
        <w:t>309</w:t>
      </w:r>
      <w:r w:rsidR="00485172" w:rsidRPr="00253AD3">
        <w:rPr>
          <w:rFonts w:ascii="Arial" w:hAnsi="Arial" w:cs="Arial"/>
          <w:sz w:val="20"/>
          <w:szCs w:val="20"/>
        </w:rPr>
        <w:t xml:space="preserve">, a </w:t>
      </w:r>
      <w:r w:rsidR="00485172" w:rsidRPr="009F4EBD">
        <w:rPr>
          <w:rFonts w:ascii="Arial" w:hAnsi="Arial" w:cs="Arial"/>
          <w:b/>
          <w:bCs/>
          <w:sz w:val="20"/>
          <w:szCs w:val="20"/>
        </w:rPr>
        <w:t>w 2020 r.</w:t>
      </w:r>
      <w:r w:rsidR="00485172" w:rsidRPr="00253AD3">
        <w:rPr>
          <w:rFonts w:ascii="Arial" w:hAnsi="Arial" w:cs="Arial"/>
          <w:sz w:val="20"/>
          <w:szCs w:val="20"/>
        </w:rPr>
        <w:t xml:space="preserve"> wśród 988 </w:t>
      </w:r>
      <w:r w:rsidRPr="00253AD3">
        <w:rPr>
          <w:rFonts w:ascii="Arial" w:hAnsi="Arial" w:cs="Arial"/>
          <w:sz w:val="20"/>
          <w:szCs w:val="20"/>
        </w:rPr>
        <w:t>analizowanych próbek w ramach programu badań kontrolnych obecności substancji niedozwolonych oraz pozostałości chemicznych, biologicznych i</w:t>
      </w:r>
      <w:r w:rsidR="003A1F25">
        <w:rPr>
          <w:rFonts w:ascii="Arial" w:hAnsi="Arial" w:cs="Arial"/>
          <w:sz w:val="20"/>
          <w:szCs w:val="20"/>
        </w:rPr>
        <w:t> </w:t>
      </w:r>
      <w:r w:rsidRPr="00253AD3">
        <w:rPr>
          <w:rFonts w:ascii="Arial" w:hAnsi="Arial" w:cs="Arial"/>
          <w:sz w:val="20"/>
          <w:szCs w:val="20"/>
        </w:rPr>
        <w:t>produktów leczniczych u zwierząt i w żywności pochodzenia zwierzęcego nie stwierdzono występowania wyników niezgodnych w zakresie kontrolowania akarycydów, pestycydów chloroorganicznych i PCB oraz pestycydów fosforoorganicznych.</w:t>
      </w:r>
    </w:p>
    <w:p w14:paraId="57395FFB" w14:textId="0C1D5AC1" w:rsidR="00485172" w:rsidRPr="00253AD3"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W żadnej z analizowanych próbek nie stwierdzono wyników niezgodnych w ww. kierunkach.</w:t>
      </w:r>
    </w:p>
    <w:p w14:paraId="77A1266B" w14:textId="4F4D0328" w:rsidR="00485172"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Ocena wyników badań dotycząca pestycydów i polichlorowanych bifenyli – PCB (grupa B3a) wskazywała na występowanie niskich stężeń tych związków, często na poziomie wykrywalności stosowanych metod analitycznych.</w:t>
      </w:r>
    </w:p>
    <w:p w14:paraId="79CCEE74" w14:textId="24DB6792" w:rsidR="00F22E27" w:rsidRDefault="00F22E27" w:rsidP="00F22E27">
      <w:pPr>
        <w:tabs>
          <w:tab w:val="center" w:pos="4536"/>
          <w:tab w:val="right" w:pos="9072"/>
        </w:tabs>
        <w:spacing w:after="120" w:line="360" w:lineRule="auto"/>
        <w:ind w:firstLine="357"/>
        <w:jc w:val="both"/>
        <w:rPr>
          <w:rFonts w:ascii="Arial" w:hAnsi="Arial" w:cs="Arial"/>
          <w:sz w:val="20"/>
          <w:szCs w:val="20"/>
        </w:rPr>
      </w:pPr>
      <w:r w:rsidRPr="000F763A">
        <w:rPr>
          <w:rFonts w:ascii="Arial" w:hAnsi="Arial" w:cs="Arial"/>
          <w:b/>
          <w:bCs/>
          <w:sz w:val="20"/>
          <w:szCs w:val="20"/>
        </w:rPr>
        <w:t>W 2021</w:t>
      </w:r>
      <w:r w:rsidR="008F3126">
        <w:rPr>
          <w:rFonts w:ascii="Arial" w:hAnsi="Arial" w:cs="Arial"/>
          <w:b/>
          <w:bCs/>
          <w:sz w:val="20"/>
          <w:szCs w:val="20"/>
        </w:rPr>
        <w:t> </w:t>
      </w:r>
      <w:r w:rsidRPr="000F763A">
        <w:rPr>
          <w:rFonts w:ascii="Arial" w:hAnsi="Arial" w:cs="Arial"/>
          <w:b/>
          <w:bCs/>
          <w:sz w:val="20"/>
          <w:szCs w:val="20"/>
        </w:rPr>
        <w:t>r.</w:t>
      </w:r>
      <w:r>
        <w:rPr>
          <w:rFonts w:ascii="Arial" w:hAnsi="Arial" w:cs="Arial"/>
          <w:sz w:val="20"/>
          <w:szCs w:val="20"/>
        </w:rPr>
        <w:t xml:space="preserve">, podobnie jak w latach poprzednich pobrano i zbadano łącznie 878 próbek żywności pochodzenia zwierzęcego, w tym 675 stanowiły badania w kierunku </w:t>
      </w:r>
      <w:r w:rsidRPr="003A2726">
        <w:rPr>
          <w:rFonts w:ascii="Arial" w:hAnsi="Arial" w:cs="Arial"/>
          <w:sz w:val="20"/>
          <w:szCs w:val="20"/>
        </w:rPr>
        <w:t>pestycydów chloroorganicznych i</w:t>
      </w:r>
      <w:r w:rsidR="000F763A">
        <w:rPr>
          <w:rFonts w:ascii="Arial" w:hAnsi="Arial" w:cs="Arial"/>
          <w:sz w:val="20"/>
          <w:szCs w:val="20"/>
        </w:rPr>
        <w:t> </w:t>
      </w:r>
      <w:r w:rsidRPr="003A2726">
        <w:rPr>
          <w:rFonts w:ascii="Arial" w:hAnsi="Arial" w:cs="Arial"/>
          <w:sz w:val="20"/>
          <w:szCs w:val="20"/>
        </w:rPr>
        <w:t>PCB</w:t>
      </w:r>
      <w:r w:rsidR="000F763A">
        <w:rPr>
          <w:rFonts w:ascii="Arial" w:hAnsi="Arial" w:cs="Arial"/>
          <w:sz w:val="20"/>
          <w:szCs w:val="20"/>
        </w:rPr>
        <w:t xml:space="preserve">, </w:t>
      </w:r>
      <w:r>
        <w:rPr>
          <w:rFonts w:ascii="Arial" w:hAnsi="Arial" w:cs="Arial"/>
          <w:sz w:val="20"/>
          <w:szCs w:val="20"/>
        </w:rPr>
        <w:t xml:space="preserve">a 203 w kierunku </w:t>
      </w:r>
      <w:r w:rsidRPr="003A2726">
        <w:rPr>
          <w:rFonts w:ascii="Arial" w:hAnsi="Arial" w:cs="Arial"/>
          <w:sz w:val="20"/>
          <w:szCs w:val="20"/>
        </w:rPr>
        <w:t>pestycydów fosforoorganicznych</w:t>
      </w:r>
      <w:r>
        <w:rPr>
          <w:rFonts w:ascii="Arial" w:hAnsi="Arial" w:cs="Arial"/>
          <w:sz w:val="20"/>
          <w:szCs w:val="20"/>
        </w:rPr>
        <w:t xml:space="preserve">. W ramach wykonanych analiz </w:t>
      </w:r>
      <w:r w:rsidRPr="003A2726">
        <w:rPr>
          <w:rFonts w:ascii="Arial" w:hAnsi="Arial" w:cs="Arial"/>
          <w:sz w:val="20"/>
          <w:szCs w:val="20"/>
        </w:rPr>
        <w:t>nie stwierdzono wyników niezgodnych</w:t>
      </w:r>
      <w:r>
        <w:rPr>
          <w:rFonts w:ascii="Arial" w:hAnsi="Arial" w:cs="Arial"/>
          <w:sz w:val="20"/>
          <w:szCs w:val="20"/>
        </w:rPr>
        <w:t>.</w:t>
      </w:r>
    </w:p>
    <w:p w14:paraId="69E97513" w14:textId="5D50589D" w:rsidR="00CB1F65" w:rsidRPr="00CB1F65" w:rsidRDefault="00CB1F65" w:rsidP="00CB1F65">
      <w:pPr>
        <w:tabs>
          <w:tab w:val="center" w:pos="4536"/>
          <w:tab w:val="right" w:pos="9072"/>
        </w:tabs>
        <w:spacing w:after="120" w:line="360" w:lineRule="auto"/>
        <w:ind w:firstLine="357"/>
        <w:jc w:val="both"/>
        <w:rPr>
          <w:rFonts w:ascii="Arial" w:hAnsi="Arial" w:cs="Arial"/>
          <w:sz w:val="20"/>
          <w:szCs w:val="20"/>
        </w:rPr>
      </w:pPr>
      <w:r w:rsidRPr="00CB1F65">
        <w:rPr>
          <w:rFonts w:ascii="Arial" w:hAnsi="Arial" w:cs="Arial"/>
          <w:b/>
          <w:sz w:val="20"/>
          <w:szCs w:val="20"/>
        </w:rPr>
        <w:t>W 2022</w:t>
      </w:r>
      <w:r w:rsidR="008F3126">
        <w:rPr>
          <w:rFonts w:ascii="Arial" w:hAnsi="Arial" w:cs="Arial"/>
          <w:b/>
          <w:sz w:val="20"/>
          <w:szCs w:val="20"/>
        </w:rPr>
        <w:t> </w:t>
      </w:r>
      <w:r w:rsidRPr="00CB1F65">
        <w:rPr>
          <w:rFonts w:ascii="Arial" w:hAnsi="Arial" w:cs="Arial"/>
          <w:b/>
          <w:sz w:val="20"/>
          <w:szCs w:val="20"/>
        </w:rPr>
        <w:t>r.</w:t>
      </w:r>
      <w:r>
        <w:rPr>
          <w:rFonts w:ascii="Arial" w:hAnsi="Arial" w:cs="Arial"/>
          <w:sz w:val="20"/>
          <w:szCs w:val="20"/>
        </w:rPr>
        <w:t xml:space="preserve"> </w:t>
      </w:r>
      <w:r w:rsidRPr="00CB1F65">
        <w:rPr>
          <w:rFonts w:ascii="Arial" w:hAnsi="Arial" w:cs="Arial"/>
          <w:sz w:val="20"/>
          <w:szCs w:val="20"/>
        </w:rPr>
        <w:t>pobrano i zbadano łącznie 820 próbek żywności pochodzenia zwierzęcego pochodzących od bydła, świń, drobiu (kurczęta, indyki, kaczki i gęsi), dziczyzny, ryb hodowlanych, mleka, jaj oraz miodu, w tym 617 stanowiły badania w kierunku pestycydów chloroorganicznych i PCB, a 203 w</w:t>
      </w:r>
      <w:r>
        <w:rPr>
          <w:rFonts w:ascii="Arial" w:hAnsi="Arial" w:cs="Arial"/>
          <w:sz w:val="20"/>
          <w:szCs w:val="20"/>
        </w:rPr>
        <w:t> </w:t>
      </w:r>
      <w:r w:rsidRPr="00CB1F65">
        <w:rPr>
          <w:rFonts w:ascii="Arial" w:hAnsi="Arial" w:cs="Arial"/>
          <w:sz w:val="20"/>
          <w:szCs w:val="20"/>
        </w:rPr>
        <w:t>kierunku pestycydów fosforoorganicznych. Podobnie jak w roku poprzednim nie stwierdzono wyników niezgodnych.</w:t>
      </w:r>
    </w:p>
    <w:p w14:paraId="7709FEB1" w14:textId="63955978" w:rsidR="00CB1F65" w:rsidRPr="00253AD3" w:rsidRDefault="00CB1F65" w:rsidP="00CB1F65">
      <w:pPr>
        <w:tabs>
          <w:tab w:val="center" w:pos="4536"/>
          <w:tab w:val="right" w:pos="9072"/>
        </w:tabs>
        <w:spacing w:after="120" w:line="360" w:lineRule="auto"/>
        <w:ind w:firstLine="357"/>
        <w:jc w:val="both"/>
        <w:rPr>
          <w:rFonts w:ascii="Arial" w:hAnsi="Arial" w:cs="Arial"/>
          <w:sz w:val="20"/>
          <w:szCs w:val="20"/>
        </w:rPr>
      </w:pPr>
      <w:r w:rsidRPr="00CB1F65">
        <w:rPr>
          <w:rFonts w:ascii="Arial" w:hAnsi="Arial" w:cs="Arial"/>
          <w:sz w:val="20"/>
          <w:szCs w:val="20"/>
        </w:rPr>
        <w:t>Ogólna pozytywna ocena wyników na przestrzeni lat 2018–2022 w ramach krajowego planu działania na rzecz ograniczenia ryzyka związanego ze stosowaniem środków ochrony roślin, również na tle UE</w:t>
      </w:r>
      <w:r w:rsidR="00224FC6">
        <w:rPr>
          <w:rFonts w:ascii="Arial" w:hAnsi="Arial" w:cs="Arial"/>
          <w:sz w:val="20"/>
          <w:szCs w:val="20"/>
        </w:rPr>
        <w:t>,</w:t>
      </w:r>
      <w:r w:rsidRPr="00CB1F65">
        <w:rPr>
          <w:rFonts w:ascii="Arial" w:hAnsi="Arial" w:cs="Arial"/>
          <w:sz w:val="20"/>
          <w:szCs w:val="20"/>
        </w:rPr>
        <w:t xml:space="preserve"> pozwala ocenić produkowaną żywność pochodzenia zwierzęcego jako bezpieczną dla konsumenta.</w:t>
      </w:r>
    </w:p>
    <w:p w14:paraId="4A4EFD7B" w14:textId="77777777" w:rsidR="00056846" w:rsidRPr="00243DB4" w:rsidRDefault="00E54725">
      <w:pPr>
        <w:pStyle w:val="Nagwek2"/>
        <w:jc w:val="both"/>
        <w:rPr>
          <w:i w:val="0"/>
          <w:sz w:val="20"/>
          <w:szCs w:val="20"/>
        </w:rPr>
      </w:pPr>
      <w:bookmarkStart w:id="137" w:name="_Toc341876114"/>
      <w:bookmarkStart w:id="138" w:name="_Toc161744908"/>
      <w:bookmarkStart w:id="139" w:name="_Hlk94707373"/>
      <w:r w:rsidRPr="00243DB4">
        <w:rPr>
          <w:i w:val="0"/>
          <w:sz w:val="20"/>
          <w:szCs w:val="20"/>
        </w:rPr>
        <w:t>Zadanie 3. Opracowanie wskaźników oraz analiza ryzyka związanego ze stosowaniem środków ochrony roślin</w:t>
      </w:r>
      <w:bookmarkEnd w:id="137"/>
      <w:bookmarkEnd w:id="138"/>
    </w:p>
    <w:p w14:paraId="535F3A23" w14:textId="057926FA"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Na podstawie danych uzyskanych w trakcie działań kontrolnych, badań statystycznych dotyczących obrotu środkami ochrony roślin i stosowania środków ochrony roślin oraz systemów monitorowania zjawisk związanych ze środkami ochrony roślin, w ramach programu wieloletniego </w:t>
      </w:r>
      <w:r w:rsidR="00FB4A76">
        <w:rPr>
          <w:rFonts w:ascii="Arial" w:hAnsi="Arial" w:cs="Arial"/>
        </w:rPr>
        <w:t xml:space="preserve">oraz zadań dotacji celowej, </w:t>
      </w:r>
      <w:r w:rsidRPr="00925BCD">
        <w:rPr>
          <w:rFonts w:ascii="Arial" w:hAnsi="Arial" w:cs="Arial"/>
        </w:rPr>
        <w:t>realizowan</w:t>
      </w:r>
      <w:r w:rsidR="00FB4A76">
        <w:rPr>
          <w:rFonts w:ascii="Arial" w:hAnsi="Arial" w:cs="Arial"/>
        </w:rPr>
        <w:t xml:space="preserve">ych </w:t>
      </w:r>
      <w:r w:rsidRPr="00925BCD">
        <w:rPr>
          <w:rFonts w:ascii="Arial" w:hAnsi="Arial" w:cs="Arial"/>
        </w:rPr>
        <w:t xml:space="preserve">przez Instytut Ochrony Roślin – PIB, doskonalone są opracowane w ramach krajowego planu działania na lata 2013–2017 krajowe wskaźniki ryzyka związanego ze stosowaniem środków ochrony roślin, a także wykonywane są stosowne obliczenia wartości tych wskaźników. Wskaźniki w kolejnych latach pozwolą na analizę zagrożeń związanych ze stosowaniem środków ochrony roślin, stanowiąc podstawę do zarządzania ryzykiem i kształtowania polityki w odniesieniu do środków ochrony roślin. </w:t>
      </w:r>
    </w:p>
    <w:p w14:paraId="0746447C" w14:textId="77777777"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W ramach programu wieloletniego realizowanego przez Instytut Ochrony Roślin – PIB pn. „Ochrona roślin uprawnych z uwzględnieniem bezpieczeństwa żywności oraz ograniczenia strat w plonach i zagrożeń dla zdrowia ludzi, zwierząt domowych i środowiska”, w 2018 r. została doprecyzowana postać zestawu krajowych wskaźników ryzyka związanego ze stosowaniem środków ochrony roślin. Aktualny zestaw wskaźników obejmuje:</w:t>
      </w:r>
    </w:p>
    <w:p w14:paraId="2DBDEE83"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lastRenderedPageBreak/>
        <w:t xml:space="preserve">Wskaźnik pozostałości pestycydowych w płodach rolnych przeznaczonych do spożycia </w:t>
      </w:r>
      <w:r w:rsidRPr="00925BCD">
        <w:rPr>
          <w:rFonts w:ascii="Arial" w:hAnsi="Arial" w:cs="Arial"/>
          <w:sz w:val="20"/>
          <w:szCs w:val="20"/>
        </w:rPr>
        <w:br/>
        <w:t>i przetwórstwa (W</w:t>
      </w:r>
      <w:r w:rsidRPr="00925BCD">
        <w:rPr>
          <w:rFonts w:ascii="Arial" w:hAnsi="Arial" w:cs="Arial"/>
          <w:sz w:val="20"/>
          <w:szCs w:val="20"/>
          <w:vertAlign w:val="subscript"/>
        </w:rPr>
        <w:t>Poz.</w:t>
      </w:r>
      <w:r w:rsidRPr="00925BCD">
        <w:rPr>
          <w:rFonts w:ascii="Arial" w:hAnsi="Arial" w:cs="Arial"/>
          <w:sz w:val="20"/>
          <w:szCs w:val="20"/>
        </w:rPr>
        <w:t>);</w:t>
      </w:r>
    </w:p>
    <w:p w14:paraId="6A73EA8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nieprawidłowości towarzyszących stosowaniu środków ochrony roślin:</w:t>
      </w:r>
    </w:p>
    <w:p w14:paraId="7BF96687"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przekroczeń NDP w kontroli pozostałości ś.o.r. (W</w:t>
      </w:r>
      <w:r w:rsidRPr="00925BCD">
        <w:rPr>
          <w:rFonts w:ascii="Arial" w:hAnsi="Arial" w:cs="Arial"/>
          <w:sz w:val="20"/>
          <w:szCs w:val="20"/>
          <w:vertAlign w:val="subscript"/>
        </w:rPr>
        <w:t>S.NDP</w:t>
      </w:r>
      <w:r w:rsidRPr="00925BCD">
        <w:rPr>
          <w:rFonts w:ascii="Arial" w:hAnsi="Arial" w:cs="Arial"/>
          <w:sz w:val="20"/>
          <w:szCs w:val="20"/>
        </w:rPr>
        <w:t>),</w:t>
      </w:r>
    </w:p>
    <w:p w14:paraId="29DF444D"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substancji niedopuszczonych do stosowania w kontroli pozostałości ś.o.r. (W</w:t>
      </w:r>
      <w:r w:rsidRPr="00925BCD">
        <w:rPr>
          <w:rFonts w:ascii="Arial" w:hAnsi="Arial" w:cs="Arial"/>
          <w:sz w:val="20"/>
          <w:szCs w:val="20"/>
          <w:vertAlign w:val="subscript"/>
        </w:rPr>
        <w:t>S.Niedop.</w:t>
      </w:r>
      <w:r w:rsidRPr="00925BCD">
        <w:rPr>
          <w:rFonts w:ascii="Arial" w:hAnsi="Arial" w:cs="Arial"/>
          <w:sz w:val="20"/>
          <w:szCs w:val="20"/>
        </w:rPr>
        <w:t>),</w:t>
      </w:r>
    </w:p>
    <w:p w14:paraId="754C102B"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wykryć nieprawidłowości w kontroli stosowania ś.o.r. (W</w:t>
      </w:r>
      <w:r w:rsidRPr="00925BCD">
        <w:rPr>
          <w:rFonts w:ascii="Arial" w:hAnsi="Arial" w:cs="Arial"/>
          <w:sz w:val="20"/>
          <w:szCs w:val="20"/>
          <w:vertAlign w:val="subscript"/>
        </w:rPr>
        <w:t>S.Kontrola</w:t>
      </w:r>
      <w:r w:rsidRPr="00925BCD">
        <w:rPr>
          <w:rFonts w:ascii="Arial" w:hAnsi="Arial" w:cs="Arial"/>
          <w:sz w:val="20"/>
          <w:szCs w:val="20"/>
        </w:rPr>
        <w:t>);</w:t>
      </w:r>
    </w:p>
    <w:p w14:paraId="0215256E"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 obciążenia pestycydowego wód powierzchniowych (W</w:t>
      </w:r>
      <w:r w:rsidRPr="00925BCD">
        <w:rPr>
          <w:rFonts w:ascii="Arial" w:hAnsi="Arial" w:cs="Arial"/>
          <w:sz w:val="20"/>
          <w:szCs w:val="20"/>
          <w:vertAlign w:val="subscript"/>
        </w:rPr>
        <w:t>WP</w:t>
      </w:r>
      <w:r w:rsidRPr="00925BCD">
        <w:rPr>
          <w:rFonts w:ascii="Arial" w:hAnsi="Arial" w:cs="Arial"/>
          <w:sz w:val="20"/>
          <w:szCs w:val="20"/>
        </w:rPr>
        <w:t>);</w:t>
      </w:r>
    </w:p>
    <w:p w14:paraId="00499E5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pod względem potencjalnych zagrożeń dla zdrowia i dla środowiska:</w:t>
      </w:r>
    </w:p>
    <w:p w14:paraId="234C3DFC"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struktury sprzedaży (WSS</w:t>
      </w:r>
      <w:r w:rsidRPr="00925BCD">
        <w:rPr>
          <w:rFonts w:ascii="Arial" w:hAnsi="Arial" w:cs="Arial"/>
          <w:sz w:val="20"/>
          <w:szCs w:val="20"/>
          <w:vertAlign w:val="subscript"/>
        </w:rPr>
        <w:t>Zagr.Zdr.</w:t>
      </w:r>
      <w:r w:rsidRPr="00925BCD">
        <w:rPr>
          <w:rFonts w:ascii="Arial" w:hAnsi="Arial" w:cs="Arial"/>
          <w:sz w:val="20"/>
          <w:szCs w:val="20"/>
        </w:rPr>
        <w:t xml:space="preserve"> i WSS</w:t>
      </w:r>
      <w:r w:rsidRPr="00925BCD">
        <w:rPr>
          <w:rFonts w:ascii="Arial" w:hAnsi="Arial" w:cs="Arial"/>
          <w:sz w:val="20"/>
          <w:szCs w:val="20"/>
          <w:vertAlign w:val="subscript"/>
        </w:rPr>
        <w:t>Zagr.Środ.</w:t>
      </w:r>
      <w:r w:rsidRPr="00925BCD">
        <w:rPr>
          <w:rFonts w:ascii="Arial" w:hAnsi="Arial" w:cs="Arial"/>
          <w:sz w:val="20"/>
          <w:szCs w:val="20"/>
        </w:rPr>
        <w:t>),</w:t>
      </w:r>
    </w:p>
    <w:p w14:paraId="3EF2B6DF"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wielkości sprzedaży (WS</w:t>
      </w:r>
      <w:r w:rsidRPr="00925BCD">
        <w:rPr>
          <w:rFonts w:ascii="Arial" w:hAnsi="Arial" w:cs="Arial"/>
          <w:sz w:val="20"/>
          <w:szCs w:val="20"/>
          <w:vertAlign w:val="subscript"/>
        </w:rPr>
        <w:t>Zagr.Zdr.</w:t>
      </w:r>
      <w:r w:rsidRPr="00925BCD">
        <w:rPr>
          <w:rFonts w:ascii="Arial" w:hAnsi="Arial" w:cs="Arial"/>
          <w:sz w:val="20"/>
          <w:szCs w:val="20"/>
        </w:rPr>
        <w:t xml:space="preserve"> i WS</w:t>
      </w:r>
      <w:r w:rsidRPr="00925BCD">
        <w:rPr>
          <w:rFonts w:ascii="Arial" w:hAnsi="Arial" w:cs="Arial"/>
          <w:sz w:val="20"/>
          <w:szCs w:val="20"/>
          <w:vertAlign w:val="subscript"/>
        </w:rPr>
        <w:t>Zagr.Środ.</w:t>
      </w:r>
      <w:r w:rsidRPr="00925BCD">
        <w:rPr>
          <w:rFonts w:ascii="Arial" w:hAnsi="Arial" w:cs="Arial"/>
          <w:sz w:val="20"/>
          <w:szCs w:val="20"/>
        </w:rPr>
        <w:t>);</w:t>
      </w:r>
    </w:p>
    <w:p w14:paraId="005E59CA"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priorytetowych w dziedzinie polityki wodnej:</w:t>
      </w:r>
    </w:p>
    <w:p w14:paraId="3EA74684"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PW</w:t>
      </w:r>
      <w:r w:rsidRPr="00925BCD">
        <w:rPr>
          <w:rFonts w:ascii="Arial" w:hAnsi="Arial" w:cs="Arial"/>
          <w:sz w:val="20"/>
          <w:szCs w:val="20"/>
        </w:rPr>
        <w:t>)</w:t>
      </w:r>
    </w:p>
    <w:p w14:paraId="32490F45"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PW</w:t>
      </w:r>
      <w:r w:rsidRPr="00925BCD">
        <w:rPr>
          <w:rFonts w:ascii="Arial" w:hAnsi="Arial" w:cs="Arial"/>
          <w:sz w:val="20"/>
          <w:szCs w:val="20"/>
        </w:rPr>
        <w:t>);</w:t>
      </w:r>
    </w:p>
    <w:p w14:paraId="37DB9FB6"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czynnych wymagających programów monitorowania:</w:t>
      </w:r>
    </w:p>
    <w:p w14:paraId="7F8AD431"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Monit.</w:t>
      </w:r>
      <w:r w:rsidRPr="00925BCD">
        <w:rPr>
          <w:rFonts w:ascii="Arial" w:hAnsi="Arial" w:cs="Arial"/>
          <w:sz w:val="20"/>
          <w:szCs w:val="20"/>
        </w:rPr>
        <w:t xml:space="preserve">), </w:t>
      </w:r>
    </w:p>
    <w:p w14:paraId="0BFB5C28" w14:textId="0321CB08" w:rsidR="00056846" w:rsidRPr="00925BCD" w:rsidRDefault="00E54725">
      <w:pPr>
        <w:pStyle w:val="Standard"/>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Monit.</w:t>
      </w:r>
      <w:r w:rsidRPr="00925BCD">
        <w:rPr>
          <w:rFonts w:ascii="Arial" w:hAnsi="Arial" w:cs="Arial"/>
          <w:sz w:val="20"/>
          <w:szCs w:val="20"/>
        </w:rPr>
        <w:t>)</w:t>
      </w:r>
    </w:p>
    <w:p w14:paraId="450B23DA" w14:textId="5DBDF6C6" w:rsidR="00056846" w:rsidRPr="00925BCD" w:rsidRDefault="00E54725">
      <w:pPr>
        <w:pStyle w:val="NormalnyWeb"/>
        <w:tabs>
          <w:tab w:val="left" w:pos="284"/>
        </w:tabs>
        <w:spacing w:before="120" w:beforeAutospacing="0" w:after="120" w:afterAutospacing="0" w:line="360" w:lineRule="auto"/>
        <w:jc w:val="both"/>
        <w:rPr>
          <w:rFonts w:ascii="Arial" w:hAnsi="Arial" w:cs="Arial"/>
        </w:rPr>
      </w:pPr>
      <w:r w:rsidRPr="00925BCD">
        <w:rPr>
          <w:rFonts w:ascii="Arial" w:hAnsi="Arial" w:cs="Arial"/>
        </w:rPr>
        <w:t>przy czym wskaźnik W</w:t>
      </w:r>
      <w:r w:rsidRPr="00925BCD">
        <w:rPr>
          <w:rFonts w:ascii="Arial" w:hAnsi="Arial" w:cs="Arial"/>
          <w:vertAlign w:val="subscript"/>
        </w:rPr>
        <w:t>S.Kontrola</w:t>
      </w:r>
      <w:r w:rsidRPr="00925BCD">
        <w:rPr>
          <w:rFonts w:ascii="Arial" w:hAnsi="Arial" w:cs="Arial"/>
        </w:rPr>
        <w:t xml:space="preserve"> stanowi główny miernik służący do monitorowania stopnia realizacji celów KPD 2018-2022. Zgodnie z założeniami wartość tego wskaźnika w trakcie realizacji KPD nie powinna przekroczyć 1,5. W latach 2014</w:t>
      </w:r>
      <w:r w:rsidR="003A6096" w:rsidRPr="00772A61">
        <w:rPr>
          <w:rFonts w:ascii="Arial" w:hAnsi="Arial" w:cs="Arial"/>
        </w:rPr>
        <w:t>–</w:t>
      </w:r>
      <w:r w:rsidRPr="00925BCD">
        <w:rPr>
          <w:rFonts w:ascii="Arial" w:hAnsi="Arial" w:cs="Arial"/>
        </w:rPr>
        <w:t>201</w:t>
      </w:r>
      <w:r w:rsidR="00736BA3" w:rsidRPr="00925BCD">
        <w:rPr>
          <w:rFonts w:ascii="Arial" w:hAnsi="Arial" w:cs="Arial"/>
        </w:rPr>
        <w:t>8</w:t>
      </w:r>
      <w:r w:rsidRPr="00925BCD">
        <w:rPr>
          <w:rFonts w:ascii="Arial" w:hAnsi="Arial" w:cs="Arial"/>
        </w:rPr>
        <w:t xml:space="preserve"> wartość wskaźnika wahała się w przedziale 0,9-1,1 nie wykazując istotnej tendencji wzrostowej.</w:t>
      </w:r>
      <w:r w:rsidR="00736BA3" w:rsidRPr="00925BCD">
        <w:t xml:space="preserve"> </w:t>
      </w:r>
      <w:r w:rsidR="00736BA3" w:rsidRPr="005A3EC6">
        <w:rPr>
          <w:rFonts w:ascii="Arial" w:hAnsi="Arial" w:cs="Arial"/>
        </w:rPr>
        <w:t xml:space="preserve">W 2019 r. zaobserwowano </w:t>
      </w:r>
      <w:r w:rsidR="00C87DCC">
        <w:rPr>
          <w:rFonts w:ascii="Arial" w:hAnsi="Arial" w:cs="Arial"/>
        </w:rPr>
        <w:t>nieznaczny</w:t>
      </w:r>
      <w:r w:rsidR="00C87DCC" w:rsidRPr="005A3EC6">
        <w:rPr>
          <w:rFonts w:ascii="Arial" w:hAnsi="Arial" w:cs="Arial"/>
        </w:rPr>
        <w:t xml:space="preserve"> </w:t>
      </w:r>
      <w:r w:rsidR="00736BA3" w:rsidRPr="005A3EC6">
        <w:rPr>
          <w:rFonts w:ascii="Arial" w:hAnsi="Arial" w:cs="Arial"/>
        </w:rPr>
        <w:t>wzrost wartości wskaźnika do 1,324, co jednak nie wykracza poza założenia KPD.</w:t>
      </w:r>
      <w:r w:rsidR="001339A8" w:rsidRPr="005A3EC6">
        <w:t xml:space="preserve"> </w:t>
      </w:r>
      <w:r w:rsidR="001339A8" w:rsidRPr="005A3EC6">
        <w:rPr>
          <w:rFonts w:ascii="Arial" w:hAnsi="Arial" w:cs="Arial"/>
        </w:rPr>
        <w:t>W</w:t>
      </w:r>
      <w:r w:rsidR="001339A8" w:rsidRPr="001339A8">
        <w:rPr>
          <w:rFonts w:ascii="Arial" w:hAnsi="Arial" w:cs="Arial"/>
        </w:rPr>
        <w:t xml:space="preserve"> 2020 </w:t>
      </w:r>
      <w:r w:rsidR="00763E6D">
        <w:rPr>
          <w:rFonts w:ascii="Arial" w:hAnsi="Arial" w:cs="Arial"/>
        </w:rPr>
        <w:t xml:space="preserve">r. </w:t>
      </w:r>
      <w:r w:rsidR="001339A8" w:rsidRPr="001339A8">
        <w:rPr>
          <w:rFonts w:ascii="Arial" w:hAnsi="Arial" w:cs="Arial"/>
        </w:rPr>
        <w:t>nastąpił spadek wartości wskaźnika do 1,279</w:t>
      </w:r>
      <w:r w:rsidR="00AA2A0A">
        <w:rPr>
          <w:rFonts w:ascii="Arial" w:hAnsi="Arial" w:cs="Arial"/>
        </w:rPr>
        <w:t xml:space="preserve">, </w:t>
      </w:r>
      <w:r w:rsidR="003313B1">
        <w:rPr>
          <w:rFonts w:ascii="Arial" w:hAnsi="Arial" w:cs="Arial"/>
        </w:rPr>
        <w:t>a w kolejnych latach wzrost do 1,358 i 1,369</w:t>
      </w:r>
      <w:r w:rsidR="001339A8" w:rsidRPr="001339A8">
        <w:rPr>
          <w:rFonts w:ascii="Arial" w:hAnsi="Arial" w:cs="Arial"/>
        </w:rPr>
        <w:t xml:space="preserve">. Nie mniej jednak jest to wartość </w:t>
      </w:r>
      <w:r w:rsidR="00C87DCC">
        <w:rPr>
          <w:rFonts w:ascii="Arial" w:hAnsi="Arial" w:cs="Arial"/>
        </w:rPr>
        <w:t>poniżej wartości docelowej KPD</w:t>
      </w:r>
      <w:r w:rsidR="001339A8" w:rsidRPr="001339A8">
        <w:rPr>
          <w:rFonts w:ascii="Arial" w:hAnsi="Arial" w:cs="Arial"/>
        </w:rPr>
        <w:t>.</w:t>
      </w:r>
    </w:p>
    <w:p w14:paraId="04A4AE71" w14:textId="7AB27135" w:rsidR="00582080" w:rsidRPr="00582080" w:rsidRDefault="00C87DCC" w:rsidP="00582080">
      <w:pPr>
        <w:spacing w:after="0" w:line="360" w:lineRule="auto"/>
        <w:ind w:firstLine="360"/>
        <w:jc w:val="both"/>
        <w:rPr>
          <w:rFonts w:ascii="Arial" w:eastAsia="Times New Roman" w:hAnsi="Arial" w:cs="Arial"/>
          <w:sz w:val="20"/>
          <w:szCs w:val="20"/>
          <w:lang w:eastAsia="pl-PL"/>
        </w:rPr>
      </w:pPr>
      <w:r>
        <w:rPr>
          <w:rFonts w:ascii="Arial" w:hAnsi="Arial" w:cs="Arial"/>
          <w:sz w:val="20"/>
          <w:szCs w:val="20"/>
        </w:rPr>
        <w:t>P</w:t>
      </w:r>
      <w:r w:rsidR="00582080" w:rsidRPr="00582080">
        <w:rPr>
          <w:rFonts w:ascii="Arial" w:eastAsia="Times New Roman" w:hAnsi="Arial" w:cs="Arial"/>
          <w:sz w:val="20"/>
          <w:szCs w:val="20"/>
          <w:lang w:eastAsia="pl-PL"/>
        </w:rPr>
        <w:t>rzeprowadzono obliczenia wszystkich wskaźników oraz opracowano K</w:t>
      </w:r>
      <w:r w:rsidR="00582080" w:rsidRPr="00582080">
        <w:rPr>
          <w:rFonts w:ascii="Arial" w:eastAsia="Times New Roman" w:hAnsi="Arial" w:cs="Arial"/>
          <w:spacing w:val="-2"/>
          <w:sz w:val="20"/>
          <w:szCs w:val="20"/>
          <w:lang w:eastAsia="pl-PL"/>
        </w:rPr>
        <w:t>ompleksową ocenę w</w:t>
      </w:r>
      <w:r w:rsidR="003C28C2">
        <w:rPr>
          <w:rFonts w:ascii="Arial" w:eastAsia="Times New Roman" w:hAnsi="Arial" w:cs="Arial"/>
          <w:spacing w:val="-2"/>
          <w:sz w:val="20"/>
          <w:szCs w:val="20"/>
          <w:lang w:eastAsia="pl-PL"/>
        </w:rPr>
        <w:t> </w:t>
      </w:r>
      <w:r w:rsidR="00582080" w:rsidRPr="00582080">
        <w:rPr>
          <w:rFonts w:ascii="Arial" w:eastAsia="Times New Roman" w:hAnsi="Arial" w:cs="Arial"/>
          <w:spacing w:val="-2"/>
          <w:sz w:val="20"/>
          <w:szCs w:val="20"/>
          <w:lang w:eastAsia="pl-PL"/>
        </w:rPr>
        <w:t>zakresie krajowego bezpieczeństwa pestycydowego.</w:t>
      </w:r>
      <w:r w:rsidR="00582080" w:rsidRPr="00582080">
        <w:rPr>
          <w:rFonts w:ascii="Arial" w:eastAsia="Times New Roman" w:hAnsi="Arial" w:cs="Arial"/>
          <w:sz w:val="20"/>
          <w:szCs w:val="20"/>
          <w:lang w:eastAsia="pl-PL"/>
        </w:rPr>
        <w:t xml:space="preserve"> Uwzględniono również nowo powstały unijny zharmonizowany wskaźnik ryzyka związanego ze stosowaniem pestycydów HRI1, w kontekście opracowywanej obecnie przez Komisję Europejską strategii „Od pola do stołu”.</w:t>
      </w:r>
    </w:p>
    <w:p w14:paraId="47A8D9EA" w14:textId="77777777" w:rsidR="00056846" w:rsidRPr="00925BCD" w:rsidRDefault="00E54725">
      <w:pPr>
        <w:pStyle w:val="Nagwek1"/>
        <w:numPr>
          <w:ilvl w:val="1"/>
          <w:numId w:val="9"/>
        </w:numPr>
        <w:tabs>
          <w:tab w:val="left" w:pos="284"/>
        </w:tabs>
        <w:ind w:left="426" w:hanging="426"/>
        <w:jc w:val="both"/>
        <w:rPr>
          <w:i w:val="0"/>
          <w:sz w:val="22"/>
          <w:szCs w:val="22"/>
        </w:rPr>
      </w:pPr>
      <w:bookmarkStart w:id="140" w:name="_Toc161744909"/>
      <w:bookmarkEnd w:id="139"/>
      <w:r w:rsidRPr="00925BCD">
        <w:rPr>
          <w:i w:val="0"/>
          <w:sz w:val="22"/>
          <w:szCs w:val="22"/>
        </w:rPr>
        <w:t>Mierniki służące monitorowaniu</w:t>
      </w:r>
      <w:bookmarkEnd w:id="140"/>
    </w:p>
    <w:p w14:paraId="33BCD175" w14:textId="447EFE75" w:rsidR="00056846" w:rsidRDefault="00E54725" w:rsidP="00EC2F01">
      <w:pPr>
        <w:pStyle w:val="napakapit"/>
        <w:spacing w:before="0"/>
        <w:ind w:firstLine="357"/>
        <w:rPr>
          <w:rFonts w:cs="Arial"/>
        </w:rPr>
      </w:pPr>
      <w:r w:rsidRPr="00925BCD">
        <w:rPr>
          <w:rFonts w:cs="Arial"/>
        </w:rPr>
        <w:t>Ze względu na charakter działania, mającego na celu zwiększenie efektywności innych działań ujętych w krajowym planie działania, nie zostały wyodrębnione do oceny jego realizacji indywidualne mierniki.</w:t>
      </w:r>
    </w:p>
    <w:p w14:paraId="6DBC3B1C" w14:textId="77777777" w:rsidR="00056846" w:rsidRPr="00925BCD" w:rsidRDefault="00E54725">
      <w:pPr>
        <w:pStyle w:val="Nagwek1"/>
        <w:numPr>
          <w:ilvl w:val="0"/>
          <w:numId w:val="9"/>
        </w:numPr>
        <w:jc w:val="both"/>
        <w:rPr>
          <w:i w:val="0"/>
          <w:sz w:val="22"/>
          <w:szCs w:val="22"/>
        </w:rPr>
      </w:pPr>
      <w:bookmarkStart w:id="141" w:name="_Toc3418760791"/>
      <w:bookmarkStart w:id="142" w:name="_Toc3013345971"/>
      <w:bookmarkStart w:id="143" w:name="_Toc3009162081"/>
      <w:bookmarkStart w:id="144" w:name="_Toc161744910"/>
      <w:bookmarkEnd w:id="141"/>
      <w:bookmarkEnd w:id="142"/>
      <w:bookmarkEnd w:id="143"/>
      <w:r w:rsidRPr="00925BCD">
        <w:rPr>
          <w:i w:val="0"/>
          <w:sz w:val="22"/>
          <w:szCs w:val="22"/>
        </w:rPr>
        <w:t>Działanie 12. Utrzymanie efektywnego nadzoru nad obrotem i stosowaniem środków ochrony roślin</w:t>
      </w:r>
      <w:bookmarkEnd w:id="144"/>
      <w:r w:rsidRPr="00925BCD">
        <w:rPr>
          <w:i w:val="0"/>
          <w:sz w:val="22"/>
          <w:szCs w:val="22"/>
        </w:rPr>
        <w:t xml:space="preserve"> </w:t>
      </w:r>
    </w:p>
    <w:p w14:paraId="693497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Ograniczaniu ryzyka pojawienia się nieprawidłowości związanych z prowadzeniem obrotu i konfekcjonowania oraz stosowaniem środków ochrony roślin służy nie tylko działalność polegająca na wyposażeniu użytkowników profesjonalnych tych środków w odpowiednią wiedzę i narzędzia pozwalające na ograniczenie stosowania tych środków do niezbędnego minimum. Konieczne w tym </w:t>
      </w:r>
      <w:r w:rsidRPr="00925BCD">
        <w:rPr>
          <w:rFonts w:ascii="Arial" w:hAnsi="Arial" w:cs="Arial"/>
        </w:rPr>
        <w:lastRenderedPageBreak/>
        <w:t xml:space="preserve">zakresie są także działania kontrolne służb państwowych, mające na celu eliminowanie stwierdzanych nieprawidłowości. Działania te, w celu zapewnienia odpowiedniej efektywności, bazują na analizie ryzyka pozwalającej na ukierunkowanie kontroli na obszary o największym prawdopodobieństwie występowania nieprawidłowości. </w:t>
      </w:r>
    </w:p>
    <w:p w14:paraId="21A7227E" w14:textId="76864305"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Zgodnie z przepisami ustawy z dnia 18 grudnia 2003</w:t>
      </w:r>
      <w:r w:rsidR="000D5CB7">
        <w:rPr>
          <w:rFonts w:ascii="Arial" w:hAnsi="Arial" w:cs="Arial"/>
        </w:rPr>
        <w:t> </w:t>
      </w:r>
      <w:r w:rsidRPr="00925BCD">
        <w:rPr>
          <w:rFonts w:ascii="Arial" w:hAnsi="Arial" w:cs="Arial"/>
        </w:rPr>
        <w:t xml:space="preserve">r. o ochronie roślin, nadzór nad obrotem i konfekcjonowaniem oraz stosowaniem środków ochrony roślin należy do obowiązków Państwowej Inspekcji Ochrony Roślin i Nasiennictwa. Eliminowanie przypadków naruszania norm prawnych w zakresie obrotu i konfekcjonowania środków ochrony roślin w zasadniczy sposób wpływa na ograniczenie ryzyka związanego z ich obrotem, a w dalszej kolejności z ich stosowaniem. </w:t>
      </w:r>
    </w:p>
    <w:p w14:paraId="23E2F193"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Zakres ww. zadań realizowanych przez Państwową Inspekcję Ochrony Roślin i Nasiennictwa obejmuje:</w:t>
      </w:r>
    </w:p>
    <w:p w14:paraId="545A57E9" w14:textId="77777777" w:rsidR="00056846" w:rsidRPr="00925BCD" w:rsidRDefault="00E54725" w:rsidP="00EC2F01">
      <w:pPr>
        <w:pStyle w:val="napakapit"/>
        <w:numPr>
          <w:ilvl w:val="0"/>
          <w:numId w:val="4"/>
        </w:numPr>
        <w:spacing w:before="0"/>
        <w:rPr>
          <w:rFonts w:cs="Arial"/>
        </w:rPr>
      </w:pPr>
      <w:r w:rsidRPr="00925BCD">
        <w:rPr>
          <w:rFonts w:cs="Arial"/>
        </w:rPr>
        <w:t>kontrolę obrotu środkami ochrony roślin (zapobieganie wprowadzaniu i eliminowanie z obrotu środków niedopuszczonych do obrotu lub podrobionych, stanowiących nieznane zagrożenie dla ludzi, zwierząt i środowiska);</w:t>
      </w:r>
    </w:p>
    <w:p w14:paraId="28EB78BC" w14:textId="77777777" w:rsidR="00056846" w:rsidRPr="00925BCD" w:rsidRDefault="00E54725" w:rsidP="00EC2F01">
      <w:pPr>
        <w:pStyle w:val="napakapit"/>
        <w:numPr>
          <w:ilvl w:val="0"/>
          <w:numId w:val="4"/>
        </w:numPr>
        <w:spacing w:before="0"/>
        <w:rPr>
          <w:rFonts w:cs="Arial"/>
        </w:rPr>
      </w:pPr>
      <w:r w:rsidRPr="00925BCD">
        <w:rPr>
          <w:rFonts w:cs="Arial"/>
        </w:rPr>
        <w:t>badanie jakości środków ochrony roślin znajdujących się w obrocie;</w:t>
      </w:r>
    </w:p>
    <w:p w14:paraId="6C839E22" w14:textId="77777777" w:rsidR="00056846" w:rsidRPr="00925BCD" w:rsidRDefault="00E54725" w:rsidP="00EC2F01">
      <w:pPr>
        <w:pStyle w:val="napakapit"/>
        <w:numPr>
          <w:ilvl w:val="0"/>
          <w:numId w:val="4"/>
        </w:numPr>
        <w:spacing w:before="0"/>
        <w:rPr>
          <w:rFonts w:cs="Arial"/>
        </w:rPr>
      </w:pPr>
      <w:r w:rsidRPr="00925BCD">
        <w:rPr>
          <w:rFonts w:cs="Arial"/>
        </w:rPr>
        <w:t>kontrolę stosowania środków ochrony roślin w gospodarstwach z produkcją roślinną, w miejscach zaprawiania materiału siewnego, wykonywania zabiegów metodą fumigacji, w magazynach płodów rolnych, w miejscach, gdzie stosowanie środków ochrony roślin może podlegać ograniczeniom lub być zabronione, a także w innych miejscach stosowania tych środków, w tym stosowania zasad integrowanej ochrony roślin;</w:t>
      </w:r>
    </w:p>
    <w:p w14:paraId="10567664" w14:textId="77777777" w:rsidR="00056846" w:rsidRPr="00925BCD" w:rsidRDefault="00E54725" w:rsidP="00EC2F01">
      <w:pPr>
        <w:pStyle w:val="napakapit"/>
        <w:numPr>
          <w:ilvl w:val="0"/>
          <w:numId w:val="4"/>
        </w:numPr>
        <w:spacing w:before="0"/>
        <w:rPr>
          <w:rFonts w:cs="Arial"/>
        </w:rPr>
      </w:pPr>
      <w:r w:rsidRPr="00925BCD">
        <w:rPr>
          <w:rFonts w:cs="Arial"/>
        </w:rPr>
        <w:t>nadzór nad stosowaniem środków ochrony roślin sprzętem montowanym na statkach powietrznych;</w:t>
      </w:r>
    </w:p>
    <w:p w14:paraId="60088D81" w14:textId="77777777" w:rsidR="00056846" w:rsidRPr="00925BCD" w:rsidRDefault="00E54725" w:rsidP="00EC2F01">
      <w:pPr>
        <w:pStyle w:val="napakapit"/>
        <w:numPr>
          <w:ilvl w:val="0"/>
          <w:numId w:val="4"/>
        </w:numPr>
        <w:spacing w:before="0"/>
        <w:rPr>
          <w:rFonts w:cs="Arial"/>
        </w:rPr>
      </w:pPr>
      <w:r w:rsidRPr="00925BCD">
        <w:rPr>
          <w:rFonts w:cs="Arial"/>
        </w:rPr>
        <w:t>badanie pozostałości środków ochrony roślin w płodach rolnych w ramach kontroli prawidłowości stosowania środków ochrony roślin.</w:t>
      </w:r>
    </w:p>
    <w:p w14:paraId="0FADFCB8" w14:textId="442E2D40" w:rsidR="00807C40" w:rsidRDefault="00167372" w:rsidP="00EC2F0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502ED6">
        <w:rPr>
          <w:rFonts w:ascii="Arial" w:hAnsi="Arial" w:cs="Arial"/>
        </w:rPr>
        <w:t xml:space="preserve"> </w:t>
      </w:r>
      <w:r w:rsidR="003A763B">
        <w:rPr>
          <w:rFonts w:ascii="Arial" w:hAnsi="Arial" w:cs="Arial"/>
        </w:rPr>
        <w:t xml:space="preserve">latach </w:t>
      </w:r>
      <w:r w:rsidR="00E54725" w:rsidRPr="00925BCD">
        <w:rPr>
          <w:rFonts w:ascii="Arial" w:hAnsi="Arial" w:cs="Arial"/>
        </w:rPr>
        <w:t>2018</w:t>
      </w:r>
      <w:r w:rsidR="003A763B">
        <w:rPr>
          <w:rFonts w:ascii="Arial" w:hAnsi="Arial" w:cs="Arial"/>
        </w:rPr>
        <w:t>-2022</w:t>
      </w:r>
      <w:r w:rsidR="00E54725" w:rsidRPr="00925BCD">
        <w:rPr>
          <w:rFonts w:ascii="Arial" w:hAnsi="Arial" w:cs="Arial"/>
        </w:rPr>
        <w:t xml:space="preserve"> </w:t>
      </w:r>
      <w:r w:rsidR="00FF4CB7">
        <w:rPr>
          <w:rFonts w:ascii="Arial" w:hAnsi="Arial" w:cs="Arial"/>
        </w:rPr>
        <w:t>i</w:t>
      </w:r>
      <w:r w:rsidR="00FF4CB7" w:rsidRPr="00925BCD">
        <w:rPr>
          <w:rFonts w:ascii="Arial" w:hAnsi="Arial" w:cs="Arial"/>
        </w:rPr>
        <w:t xml:space="preserve">nspektorzy </w:t>
      </w:r>
      <w:r w:rsidR="00FF4CB7">
        <w:rPr>
          <w:rFonts w:ascii="Arial" w:hAnsi="Arial" w:cs="Arial"/>
        </w:rPr>
        <w:t>p</w:t>
      </w:r>
      <w:r w:rsidR="00FF4CB7" w:rsidRPr="00167372">
        <w:rPr>
          <w:rFonts w:ascii="Arial" w:hAnsi="Arial" w:cs="Arial"/>
        </w:rPr>
        <w:t>rowadzili kontro</w:t>
      </w:r>
      <w:r w:rsidR="00FF4CB7">
        <w:rPr>
          <w:rFonts w:ascii="Arial" w:hAnsi="Arial" w:cs="Arial"/>
        </w:rPr>
        <w:t>le</w:t>
      </w:r>
      <w:r w:rsidR="00FF4CB7" w:rsidRPr="00167372">
        <w:rPr>
          <w:rFonts w:ascii="Arial" w:hAnsi="Arial" w:cs="Arial"/>
        </w:rPr>
        <w:t xml:space="preserve"> w punktach obrotu i konfekcjonowania środków ochrony roślin</w:t>
      </w:r>
      <w:r w:rsidR="00FF4CB7">
        <w:rPr>
          <w:rFonts w:ascii="Arial" w:hAnsi="Arial" w:cs="Arial"/>
        </w:rPr>
        <w:t>. Szczegółowe dane przedstawia tabela poniżej.</w:t>
      </w:r>
      <w:r w:rsidR="00E54725" w:rsidRPr="00925BCD">
        <w:rPr>
          <w:rFonts w:ascii="Arial" w:hAnsi="Arial" w:cs="Arial"/>
        </w:rPr>
        <w:t xml:space="preserve"> </w:t>
      </w:r>
    </w:p>
    <w:tbl>
      <w:tblPr>
        <w:tblStyle w:val="Tabela-Siatka"/>
        <w:tblW w:w="9067" w:type="dxa"/>
        <w:tblLook w:val="04A0" w:firstRow="1" w:lastRow="0" w:firstColumn="1" w:lastColumn="0" w:noHBand="0" w:noVBand="1"/>
      </w:tblPr>
      <w:tblGrid>
        <w:gridCol w:w="3020"/>
        <w:gridCol w:w="1209"/>
        <w:gridCol w:w="1209"/>
        <w:gridCol w:w="1210"/>
        <w:gridCol w:w="1209"/>
        <w:gridCol w:w="1210"/>
      </w:tblGrid>
      <w:tr w:rsidR="008B57A0" w14:paraId="23B5121A" w14:textId="42898E85" w:rsidTr="0018664E">
        <w:tc>
          <w:tcPr>
            <w:tcW w:w="3020" w:type="dxa"/>
          </w:tcPr>
          <w:p w14:paraId="54BD1B22" w14:textId="6165E39E" w:rsidR="008B57A0" w:rsidRPr="008E393D" w:rsidRDefault="008B57A0" w:rsidP="00EC2F01">
            <w:pPr>
              <w:pStyle w:val="NormalnyWeb"/>
              <w:tabs>
                <w:tab w:val="left" w:pos="284"/>
              </w:tabs>
              <w:spacing w:beforeAutospacing="0" w:after="120" w:afterAutospacing="0" w:line="360" w:lineRule="auto"/>
              <w:jc w:val="both"/>
              <w:rPr>
                <w:rFonts w:ascii="Arial" w:hAnsi="Arial" w:cs="Arial"/>
                <w:b/>
                <w:bCs/>
              </w:rPr>
            </w:pPr>
            <w:r w:rsidRPr="008E393D">
              <w:rPr>
                <w:rFonts w:ascii="Arial" w:hAnsi="Arial" w:cs="Arial"/>
                <w:b/>
                <w:bCs/>
              </w:rPr>
              <w:t>Rok</w:t>
            </w:r>
          </w:p>
        </w:tc>
        <w:tc>
          <w:tcPr>
            <w:tcW w:w="1209" w:type="dxa"/>
            <w:vAlign w:val="center"/>
          </w:tcPr>
          <w:p w14:paraId="75C6CFCC" w14:textId="1D709094" w:rsidR="008B57A0" w:rsidRPr="008E393D" w:rsidRDefault="008B57A0" w:rsidP="0018664E">
            <w:pPr>
              <w:pStyle w:val="NormalnyWeb"/>
              <w:tabs>
                <w:tab w:val="left" w:pos="284"/>
              </w:tabs>
              <w:spacing w:beforeAutospacing="0" w:after="120" w:afterAutospacing="0" w:line="360" w:lineRule="auto"/>
              <w:jc w:val="center"/>
              <w:rPr>
                <w:rFonts w:ascii="Arial" w:hAnsi="Arial" w:cs="Arial"/>
                <w:b/>
                <w:bCs/>
              </w:rPr>
            </w:pPr>
            <w:r w:rsidRPr="008E393D">
              <w:rPr>
                <w:rFonts w:ascii="Arial" w:hAnsi="Arial" w:cs="Arial"/>
                <w:b/>
                <w:bCs/>
              </w:rPr>
              <w:t>2018</w:t>
            </w:r>
          </w:p>
        </w:tc>
        <w:tc>
          <w:tcPr>
            <w:tcW w:w="1209" w:type="dxa"/>
            <w:vAlign w:val="center"/>
          </w:tcPr>
          <w:p w14:paraId="671ECD41" w14:textId="55CC7DDA" w:rsidR="008B57A0" w:rsidRPr="008E393D" w:rsidRDefault="008B57A0" w:rsidP="0018664E">
            <w:pPr>
              <w:pStyle w:val="NormalnyWeb"/>
              <w:tabs>
                <w:tab w:val="left" w:pos="284"/>
              </w:tabs>
              <w:spacing w:beforeAutospacing="0" w:after="120" w:afterAutospacing="0" w:line="360" w:lineRule="auto"/>
              <w:jc w:val="center"/>
              <w:rPr>
                <w:rFonts w:ascii="Arial" w:hAnsi="Arial" w:cs="Arial"/>
                <w:b/>
                <w:bCs/>
              </w:rPr>
            </w:pPr>
            <w:r w:rsidRPr="008E393D">
              <w:rPr>
                <w:rFonts w:ascii="Arial" w:hAnsi="Arial" w:cs="Arial"/>
                <w:b/>
                <w:bCs/>
              </w:rPr>
              <w:t>2019</w:t>
            </w:r>
          </w:p>
        </w:tc>
        <w:tc>
          <w:tcPr>
            <w:tcW w:w="1210" w:type="dxa"/>
            <w:vAlign w:val="center"/>
          </w:tcPr>
          <w:p w14:paraId="549DE926" w14:textId="5B08B897" w:rsidR="008B57A0" w:rsidRPr="008E393D" w:rsidRDefault="008B57A0" w:rsidP="0018664E">
            <w:pPr>
              <w:pStyle w:val="NormalnyWeb"/>
              <w:tabs>
                <w:tab w:val="left" w:pos="284"/>
              </w:tabs>
              <w:spacing w:beforeAutospacing="0" w:after="120" w:afterAutospacing="0" w:line="360" w:lineRule="auto"/>
              <w:jc w:val="center"/>
              <w:rPr>
                <w:rFonts w:ascii="Arial" w:hAnsi="Arial" w:cs="Arial"/>
                <w:b/>
                <w:bCs/>
              </w:rPr>
            </w:pPr>
            <w:r w:rsidRPr="008E393D">
              <w:rPr>
                <w:rFonts w:ascii="Arial" w:hAnsi="Arial" w:cs="Arial"/>
                <w:b/>
                <w:bCs/>
              </w:rPr>
              <w:t>2020</w:t>
            </w:r>
          </w:p>
        </w:tc>
        <w:tc>
          <w:tcPr>
            <w:tcW w:w="1209" w:type="dxa"/>
            <w:vAlign w:val="center"/>
          </w:tcPr>
          <w:p w14:paraId="74D1BAF3" w14:textId="53306F29" w:rsidR="008B57A0" w:rsidRPr="008E393D" w:rsidRDefault="008B57A0" w:rsidP="0018664E">
            <w:pPr>
              <w:pStyle w:val="NormalnyWeb"/>
              <w:tabs>
                <w:tab w:val="left" w:pos="284"/>
              </w:tabs>
              <w:spacing w:beforeAutospacing="0" w:after="120" w:afterAutospacing="0" w:line="360" w:lineRule="auto"/>
              <w:jc w:val="center"/>
              <w:rPr>
                <w:rFonts w:ascii="Arial" w:hAnsi="Arial" w:cs="Arial"/>
                <w:b/>
                <w:bCs/>
              </w:rPr>
            </w:pPr>
            <w:r w:rsidRPr="008E393D">
              <w:rPr>
                <w:rFonts w:ascii="Arial" w:hAnsi="Arial" w:cs="Arial"/>
                <w:b/>
                <w:bCs/>
              </w:rPr>
              <w:t>2021</w:t>
            </w:r>
          </w:p>
        </w:tc>
        <w:tc>
          <w:tcPr>
            <w:tcW w:w="1210" w:type="dxa"/>
            <w:vAlign w:val="center"/>
          </w:tcPr>
          <w:p w14:paraId="322D5D55" w14:textId="0DD258C1" w:rsidR="008B57A0" w:rsidRPr="008E393D" w:rsidRDefault="008B57A0" w:rsidP="0018664E">
            <w:pPr>
              <w:pStyle w:val="NormalnyWeb"/>
              <w:tabs>
                <w:tab w:val="left" w:pos="284"/>
              </w:tabs>
              <w:spacing w:beforeAutospacing="0" w:after="120" w:afterAutospacing="0" w:line="360" w:lineRule="auto"/>
              <w:jc w:val="center"/>
              <w:rPr>
                <w:rFonts w:ascii="Arial" w:hAnsi="Arial" w:cs="Arial"/>
                <w:b/>
                <w:bCs/>
              </w:rPr>
            </w:pPr>
            <w:r w:rsidRPr="008E393D">
              <w:rPr>
                <w:rFonts w:ascii="Arial" w:hAnsi="Arial" w:cs="Arial"/>
                <w:b/>
                <w:bCs/>
              </w:rPr>
              <w:t>2022</w:t>
            </w:r>
          </w:p>
        </w:tc>
      </w:tr>
      <w:tr w:rsidR="008B57A0" w14:paraId="5B1ACB63" w14:textId="194FE027" w:rsidTr="008B57A0">
        <w:tc>
          <w:tcPr>
            <w:tcW w:w="3020" w:type="dxa"/>
          </w:tcPr>
          <w:p w14:paraId="748440F7" w14:textId="2B37DC81" w:rsidR="008B57A0" w:rsidRDefault="008B57A0" w:rsidP="00EC2F01">
            <w:pPr>
              <w:pStyle w:val="NormalnyWeb"/>
              <w:tabs>
                <w:tab w:val="left" w:pos="284"/>
              </w:tabs>
              <w:spacing w:beforeAutospacing="0" w:after="120" w:afterAutospacing="0" w:line="360" w:lineRule="auto"/>
              <w:jc w:val="both"/>
              <w:rPr>
                <w:rFonts w:ascii="Arial" w:hAnsi="Arial" w:cs="Arial"/>
              </w:rPr>
            </w:pPr>
            <w:r>
              <w:rPr>
                <w:rFonts w:ascii="Arial" w:hAnsi="Arial" w:cs="Arial"/>
              </w:rPr>
              <w:t>Liczba kontroli w punktach obrotu i konfekcjonowania</w:t>
            </w:r>
          </w:p>
        </w:tc>
        <w:tc>
          <w:tcPr>
            <w:tcW w:w="1209" w:type="dxa"/>
            <w:vAlign w:val="center"/>
          </w:tcPr>
          <w:p w14:paraId="10BD358D" w14:textId="403C06DD"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6 626</w:t>
            </w:r>
          </w:p>
        </w:tc>
        <w:tc>
          <w:tcPr>
            <w:tcW w:w="1209" w:type="dxa"/>
            <w:vAlign w:val="center"/>
          </w:tcPr>
          <w:p w14:paraId="45BC1267" w14:textId="2549C33A"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6 773</w:t>
            </w:r>
          </w:p>
        </w:tc>
        <w:tc>
          <w:tcPr>
            <w:tcW w:w="1210" w:type="dxa"/>
            <w:vAlign w:val="center"/>
          </w:tcPr>
          <w:p w14:paraId="50DDB4D0" w14:textId="573D74E0"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5 595</w:t>
            </w:r>
          </w:p>
        </w:tc>
        <w:tc>
          <w:tcPr>
            <w:tcW w:w="1209" w:type="dxa"/>
            <w:vAlign w:val="center"/>
          </w:tcPr>
          <w:p w14:paraId="45CAD12A" w14:textId="0C6DD6BA" w:rsidR="008B57A0" w:rsidRDefault="003A763B"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5 121</w:t>
            </w:r>
          </w:p>
        </w:tc>
        <w:tc>
          <w:tcPr>
            <w:tcW w:w="1210" w:type="dxa"/>
            <w:vAlign w:val="center"/>
          </w:tcPr>
          <w:p w14:paraId="2857044C" w14:textId="35AD23A4" w:rsidR="008B57A0" w:rsidRDefault="000675A0"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5 846</w:t>
            </w:r>
          </w:p>
        </w:tc>
      </w:tr>
      <w:tr w:rsidR="008B57A0" w14:paraId="4D81FFD6" w14:textId="3A0AD089" w:rsidTr="008B57A0">
        <w:tc>
          <w:tcPr>
            <w:tcW w:w="3020" w:type="dxa"/>
          </w:tcPr>
          <w:p w14:paraId="2DF98A3B" w14:textId="48BE45D1" w:rsidR="008B57A0" w:rsidRDefault="008B57A0" w:rsidP="00EC2F01">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          - w tym rekontroli</w:t>
            </w:r>
          </w:p>
        </w:tc>
        <w:tc>
          <w:tcPr>
            <w:tcW w:w="1209" w:type="dxa"/>
            <w:vAlign w:val="center"/>
          </w:tcPr>
          <w:p w14:paraId="5938B72C" w14:textId="0745E9C0"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38</w:t>
            </w:r>
          </w:p>
        </w:tc>
        <w:tc>
          <w:tcPr>
            <w:tcW w:w="1209" w:type="dxa"/>
            <w:vAlign w:val="center"/>
          </w:tcPr>
          <w:p w14:paraId="6FD80699" w14:textId="59A8841F"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36</w:t>
            </w:r>
          </w:p>
        </w:tc>
        <w:tc>
          <w:tcPr>
            <w:tcW w:w="1210" w:type="dxa"/>
            <w:vAlign w:val="center"/>
          </w:tcPr>
          <w:p w14:paraId="3E7B01EA" w14:textId="1C3A895F" w:rsidR="008B57A0" w:rsidRDefault="00B66DE5"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35</w:t>
            </w:r>
          </w:p>
        </w:tc>
        <w:tc>
          <w:tcPr>
            <w:tcW w:w="1209" w:type="dxa"/>
            <w:vAlign w:val="center"/>
          </w:tcPr>
          <w:p w14:paraId="76DC28A6" w14:textId="04686D8D" w:rsidR="008B57A0" w:rsidRDefault="003A763B"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14</w:t>
            </w:r>
          </w:p>
        </w:tc>
        <w:tc>
          <w:tcPr>
            <w:tcW w:w="1210" w:type="dxa"/>
            <w:vAlign w:val="center"/>
          </w:tcPr>
          <w:p w14:paraId="4BEEDBE1" w14:textId="2DDD6F63" w:rsidR="008B57A0" w:rsidRDefault="00996BA6" w:rsidP="008B57A0">
            <w:pPr>
              <w:pStyle w:val="NormalnyWeb"/>
              <w:tabs>
                <w:tab w:val="left" w:pos="284"/>
              </w:tabs>
              <w:spacing w:beforeAutospacing="0" w:after="120" w:afterAutospacing="0" w:line="360" w:lineRule="auto"/>
              <w:jc w:val="center"/>
              <w:rPr>
                <w:rFonts w:ascii="Arial" w:hAnsi="Arial" w:cs="Arial"/>
              </w:rPr>
            </w:pPr>
            <w:r>
              <w:rPr>
                <w:rFonts w:ascii="Arial" w:hAnsi="Arial" w:cs="Arial"/>
              </w:rPr>
              <w:t>14</w:t>
            </w:r>
          </w:p>
        </w:tc>
      </w:tr>
    </w:tbl>
    <w:p w14:paraId="43296A06" w14:textId="185D3045" w:rsidR="00056846" w:rsidRPr="00366515" w:rsidRDefault="00E54725" w:rsidP="00101AE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Kontrole przeprowadzane były zarówno w miejscach zaewidencjonowanych przez Inspekcję w</w:t>
      </w:r>
      <w:r w:rsidR="005A53D1">
        <w:rPr>
          <w:rFonts w:ascii="Arial" w:hAnsi="Arial" w:cs="Arial"/>
        </w:rPr>
        <w:t> </w:t>
      </w:r>
      <w:r w:rsidRPr="00925BCD">
        <w:rPr>
          <w:rFonts w:ascii="Arial" w:hAnsi="Arial" w:cs="Arial"/>
        </w:rPr>
        <w:t>rejestrach przedsiębiorców wykonujących działalność w zakresie konfekcjonowania lub obrotu środkami ochrony roślin, tj.</w:t>
      </w:r>
      <w:r w:rsidR="00534399">
        <w:rPr>
          <w:rFonts w:ascii="Arial" w:hAnsi="Arial" w:cs="Arial"/>
        </w:rPr>
        <w:t> </w:t>
      </w:r>
      <w:r w:rsidRPr="00925BCD">
        <w:rPr>
          <w:rFonts w:ascii="Arial" w:hAnsi="Arial" w:cs="Arial"/>
        </w:rPr>
        <w:t>w</w:t>
      </w:r>
      <w:r w:rsidR="005A53D1">
        <w:rPr>
          <w:rFonts w:ascii="Arial" w:hAnsi="Arial" w:cs="Arial"/>
        </w:rPr>
        <w:t xml:space="preserve"> </w:t>
      </w:r>
      <w:r w:rsidRPr="00925BCD">
        <w:rPr>
          <w:rFonts w:ascii="Arial" w:hAnsi="Arial" w:cs="Arial"/>
        </w:rPr>
        <w:t>hurtowniach, punktach obrotu detalicznego, punktach konfekcjonowania środków ochrony roślin, a</w:t>
      </w:r>
      <w:r w:rsidR="00E95ED9">
        <w:rPr>
          <w:rFonts w:ascii="Arial" w:hAnsi="Arial" w:cs="Arial"/>
        </w:rPr>
        <w:t> </w:t>
      </w:r>
      <w:r w:rsidRPr="00925BCD">
        <w:rPr>
          <w:rFonts w:ascii="Arial" w:hAnsi="Arial" w:cs="Arial"/>
        </w:rPr>
        <w:t>także miejscach produkcji środków ochrony roślin, u producentów środków ochrony roślin, jak również w innych miejscach, w których jest lub może być prowadzony obrót takimi środkami i</w:t>
      </w:r>
      <w:r w:rsidR="004E3716" w:rsidRPr="00925BCD">
        <w:rPr>
          <w:rFonts w:ascii="Arial" w:hAnsi="Arial" w:cs="Arial"/>
        </w:rPr>
        <w:t> </w:t>
      </w:r>
      <w:r w:rsidRPr="00925BCD">
        <w:rPr>
          <w:rFonts w:ascii="Arial" w:hAnsi="Arial" w:cs="Arial"/>
        </w:rPr>
        <w:t xml:space="preserve">zaprawionym materiałem siewnym (np. targowiska). Przeprowadzano także kontrole obrotu </w:t>
      </w:r>
      <w:r w:rsidRPr="00925BCD">
        <w:rPr>
          <w:rFonts w:ascii="Arial" w:hAnsi="Arial" w:cs="Arial"/>
        </w:rPr>
        <w:lastRenderedPageBreak/>
        <w:t>środkami ochrony roślin w grupach producenckich, u posiadaczy zezwoleń Ministra Rolnictwa i Rozwoju Wsi na wprowadzanie do obrotu środków ochrony roślin lub pozwoleń na handel równoległy tymi produktami, w miejscach składowania środków ochrony roślin, w firmach logistycznych, transportowych i</w:t>
      </w:r>
      <w:r w:rsidR="004E3716" w:rsidRPr="00925BCD">
        <w:rPr>
          <w:rFonts w:ascii="Arial" w:hAnsi="Arial" w:cs="Arial"/>
        </w:rPr>
        <w:t> </w:t>
      </w:r>
      <w:r w:rsidRPr="00925BCD">
        <w:rPr>
          <w:rFonts w:ascii="Arial" w:hAnsi="Arial" w:cs="Arial"/>
        </w:rPr>
        <w:t>u</w:t>
      </w:r>
      <w:r w:rsidR="004E3716" w:rsidRPr="00925BCD">
        <w:rPr>
          <w:rFonts w:ascii="Arial" w:hAnsi="Arial" w:cs="Arial"/>
        </w:rPr>
        <w:t> </w:t>
      </w:r>
      <w:r w:rsidRPr="00925BCD">
        <w:rPr>
          <w:rFonts w:ascii="Arial" w:hAnsi="Arial" w:cs="Arial"/>
        </w:rPr>
        <w:t xml:space="preserve">przewoźników środków ochrony roślin oraz na przejściach </w:t>
      </w:r>
      <w:r w:rsidRPr="00366515">
        <w:rPr>
          <w:rFonts w:ascii="Arial" w:hAnsi="Arial" w:cs="Arial"/>
        </w:rPr>
        <w:t>granicznych.</w:t>
      </w:r>
    </w:p>
    <w:p w14:paraId="26D5520E" w14:textId="4F8BACDE"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66515">
        <w:rPr>
          <w:rFonts w:ascii="Arial" w:hAnsi="Arial" w:cs="Arial"/>
        </w:rPr>
        <w:t>Spośród przeprowadz</w:t>
      </w:r>
      <w:r w:rsidR="003C73F7" w:rsidRPr="00366515">
        <w:rPr>
          <w:rFonts w:ascii="Arial" w:hAnsi="Arial" w:cs="Arial"/>
        </w:rPr>
        <w:t>a</w:t>
      </w:r>
      <w:r w:rsidR="00366515" w:rsidRPr="00366515">
        <w:rPr>
          <w:rFonts w:ascii="Arial" w:hAnsi="Arial" w:cs="Arial"/>
        </w:rPr>
        <w:t>n</w:t>
      </w:r>
      <w:r w:rsidRPr="00366515">
        <w:rPr>
          <w:rFonts w:ascii="Arial" w:hAnsi="Arial" w:cs="Arial"/>
        </w:rPr>
        <w:t>ych</w:t>
      </w:r>
      <w:r w:rsidR="004E3716" w:rsidRPr="00366515">
        <w:rPr>
          <w:rFonts w:ascii="Arial" w:hAnsi="Arial" w:cs="Arial"/>
        </w:rPr>
        <w:t xml:space="preserve"> </w:t>
      </w:r>
      <w:r w:rsidR="00366515">
        <w:rPr>
          <w:rFonts w:ascii="Arial" w:hAnsi="Arial" w:cs="Arial"/>
        </w:rPr>
        <w:t xml:space="preserve">kontroli </w:t>
      </w:r>
      <w:r w:rsidR="003C73F7" w:rsidRPr="00366515">
        <w:rPr>
          <w:rFonts w:ascii="Arial" w:hAnsi="Arial" w:cs="Arial"/>
        </w:rPr>
        <w:t xml:space="preserve">co roku </w:t>
      </w:r>
      <w:r w:rsidRPr="00366515">
        <w:rPr>
          <w:rFonts w:ascii="Arial" w:hAnsi="Arial" w:cs="Arial"/>
        </w:rPr>
        <w:t>stwierdzono nieprawidłowości.</w:t>
      </w:r>
      <w:r w:rsidRPr="00925BCD">
        <w:rPr>
          <w:rFonts w:ascii="Arial" w:hAnsi="Arial" w:cs="Arial"/>
        </w:rPr>
        <w:t xml:space="preserve"> Najczęściej stwierdzane to: brak szkolenia w zakresie doradztwa, oferowanie przeterminowanych środków ochrony roślin </w:t>
      </w:r>
      <w:r w:rsidR="00366515" w:rsidRPr="00925BCD">
        <w:rPr>
          <w:rFonts w:ascii="Arial" w:hAnsi="Arial" w:cs="Arial"/>
        </w:rPr>
        <w:t>i</w:t>
      </w:r>
      <w:r w:rsidR="00366515">
        <w:rPr>
          <w:rFonts w:ascii="Arial" w:hAnsi="Arial" w:cs="Arial"/>
        </w:rPr>
        <w:t> </w:t>
      </w:r>
      <w:r w:rsidRPr="00925BCD">
        <w:rPr>
          <w:rFonts w:ascii="Arial" w:hAnsi="Arial" w:cs="Arial"/>
        </w:rPr>
        <w:t xml:space="preserve">niewłaściwie zaetykietowanych. </w:t>
      </w:r>
    </w:p>
    <w:p w14:paraId="60B9AFD0" w14:textId="11C247B7" w:rsidR="0005684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ze stwierdzonymi nieprawidłowościami wyda</w:t>
      </w:r>
      <w:r w:rsidR="003C73F7">
        <w:rPr>
          <w:rFonts w:ascii="Arial" w:hAnsi="Arial" w:cs="Arial"/>
        </w:rPr>
        <w:t>wa</w:t>
      </w:r>
      <w:r w:rsidRPr="00925BCD">
        <w:rPr>
          <w:rFonts w:ascii="Arial" w:hAnsi="Arial" w:cs="Arial"/>
        </w:rPr>
        <w:t>no mandat</w:t>
      </w:r>
      <w:r w:rsidR="003C73F7">
        <w:rPr>
          <w:rFonts w:ascii="Arial" w:hAnsi="Arial" w:cs="Arial"/>
        </w:rPr>
        <w:t>y</w:t>
      </w:r>
      <w:r w:rsidRPr="00925BCD">
        <w:rPr>
          <w:rFonts w:ascii="Arial" w:hAnsi="Arial" w:cs="Arial"/>
        </w:rPr>
        <w:t xml:space="preserve"> karn</w:t>
      </w:r>
      <w:r w:rsidR="003C73F7">
        <w:rPr>
          <w:rFonts w:ascii="Arial" w:hAnsi="Arial" w:cs="Arial"/>
        </w:rPr>
        <w:t>e</w:t>
      </w:r>
      <w:r w:rsidRPr="00925BCD">
        <w:rPr>
          <w:rFonts w:ascii="Arial" w:hAnsi="Arial" w:cs="Arial"/>
        </w:rPr>
        <w:t xml:space="preserve">, decyzje o określeniu opłaty sankcyjnej, </w:t>
      </w:r>
      <w:r w:rsidR="003C73F7">
        <w:rPr>
          <w:rFonts w:ascii="Arial" w:hAnsi="Arial" w:cs="Arial"/>
        </w:rPr>
        <w:t>oraz</w:t>
      </w:r>
      <w:r w:rsidRPr="00925BCD">
        <w:rPr>
          <w:rFonts w:ascii="Arial" w:hAnsi="Arial" w:cs="Arial"/>
        </w:rPr>
        <w:t xml:space="preserve"> decyzj</w:t>
      </w:r>
      <w:r w:rsidR="003C73F7">
        <w:rPr>
          <w:rFonts w:ascii="Arial" w:hAnsi="Arial" w:cs="Arial"/>
        </w:rPr>
        <w:t>e</w:t>
      </w:r>
      <w:r w:rsidRPr="00925BCD">
        <w:rPr>
          <w:rFonts w:ascii="Arial" w:hAnsi="Arial" w:cs="Arial"/>
        </w:rPr>
        <w:t xml:space="preserve"> o wycofaniu środków ochrony roślin z obrotu i wniosk</w:t>
      </w:r>
      <w:r w:rsidR="007E22E3">
        <w:rPr>
          <w:rFonts w:ascii="Arial" w:hAnsi="Arial" w:cs="Arial"/>
        </w:rPr>
        <w:t>i</w:t>
      </w:r>
      <w:r w:rsidRPr="00925BCD">
        <w:rPr>
          <w:rFonts w:ascii="Arial" w:hAnsi="Arial" w:cs="Arial"/>
        </w:rPr>
        <w:t xml:space="preserve"> do sądu.</w:t>
      </w:r>
    </w:p>
    <w:p w14:paraId="4C87A027" w14:textId="3B35FD6F" w:rsidR="003C73F7" w:rsidRDefault="003C73F7" w:rsidP="00EC2F0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p>
    <w:tbl>
      <w:tblPr>
        <w:tblStyle w:val="Tabela-Siatka"/>
        <w:tblW w:w="0" w:type="auto"/>
        <w:tblLook w:val="04A0" w:firstRow="1" w:lastRow="0" w:firstColumn="1" w:lastColumn="0" w:noHBand="0" w:noVBand="1"/>
      </w:tblPr>
      <w:tblGrid>
        <w:gridCol w:w="1100"/>
        <w:gridCol w:w="1175"/>
        <w:gridCol w:w="1883"/>
        <w:gridCol w:w="1206"/>
        <w:gridCol w:w="1262"/>
        <w:gridCol w:w="1248"/>
        <w:gridCol w:w="1188"/>
      </w:tblGrid>
      <w:tr w:rsidR="00366515" w14:paraId="3DD7D5E6" w14:textId="77777777" w:rsidTr="002C2375">
        <w:tc>
          <w:tcPr>
            <w:tcW w:w="1100" w:type="dxa"/>
            <w:vAlign w:val="center"/>
          </w:tcPr>
          <w:p w14:paraId="23B1FBE5" w14:textId="5CA8AD7E"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1175" w:type="dxa"/>
            <w:vAlign w:val="center"/>
          </w:tcPr>
          <w:p w14:paraId="7E1944BF" w14:textId="6389DE0A"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w:t>
            </w:r>
            <w:r w:rsidR="00366515" w:rsidRPr="005066B5">
              <w:rPr>
                <w:rFonts w:ascii="Arial" w:hAnsi="Arial" w:cs="Arial"/>
                <w:b/>
                <w:bCs/>
              </w:rPr>
              <w:t xml:space="preserve"> ogółem</w:t>
            </w:r>
          </w:p>
        </w:tc>
        <w:tc>
          <w:tcPr>
            <w:tcW w:w="1883" w:type="dxa"/>
            <w:vAlign w:val="center"/>
          </w:tcPr>
          <w:p w14:paraId="2A6F5B4F" w14:textId="3876D993"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 w toku których stwierdzono nieprawidłowości</w:t>
            </w:r>
          </w:p>
        </w:tc>
        <w:tc>
          <w:tcPr>
            <w:tcW w:w="1206" w:type="dxa"/>
            <w:vAlign w:val="center"/>
          </w:tcPr>
          <w:p w14:paraId="0D0EAC5C" w14:textId="4D4887A0"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Mandaty karne</w:t>
            </w:r>
          </w:p>
        </w:tc>
        <w:tc>
          <w:tcPr>
            <w:tcW w:w="1262" w:type="dxa"/>
            <w:vAlign w:val="center"/>
          </w:tcPr>
          <w:p w14:paraId="06F703EA" w14:textId="7DCE4CE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określeniu opłaty sankcyjnej</w:t>
            </w:r>
          </w:p>
        </w:tc>
        <w:tc>
          <w:tcPr>
            <w:tcW w:w="1248" w:type="dxa"/>
            <w:vAlign w:val="center"/>
          </w:tcPr>
          <w:p w14:paraId="4D5DEE37" w14:textId="716B533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wycofaniu środków ochrony roślin</w:t>
            </w:r>
          </w:p>
        </w:tc>
        <w:tc>
          <w:tcPr>
            <w:tcW w:w="1188" w:type="dxa"/>
            <w:vAlign w:val="center"/>
          </w:tcPr>
          <w:p w14:paraId="27889564" w14:textId="5A940044"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Wnioski do sądu</w:t>
            </w:r>
          </w:p>
        </w:tc>
      </w:tr>
      <w:tr w:rsidR="00366515" w14:paraId="6D3DF03B" w14:textId="77777777" w:rsidTr="002C2375">
        <w:tc>
          <w:tcPr>
            <w:tcW w:w="1100" w:type="dxa"/>
          </w:tcPr>
          <w:p w14:paraId="1C35B7B7" w14:textId="124E3DC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175" w:type="dxa"/>
          </w:tcPr>
          <w:p w14:paraId="53D5B52E" w14:textId="0CE032A6"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626</w:t>
            </w:r>
          </w:p>
        </w:tc>
        <w:tc>
          <w:tcPr>
            <w:tcW w:w="1883" w:type="dxa"/>
          </w:tcPr>
          <w:p w14:paraId="48948D69" w14:textId="5839315F"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213</w:t>
            </w:r>
          </w:p>
        </w:tc>
        <w:tc>
          <w:tcPr>
            <w:tcW w:w="1206" w:type="dxa"/>
          </w:tcPr>
          <w:p w14:paraId="0601DDF9" w14:textId="60C0EF16"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156</w:t>
            </w:r>
          </w:p>
        </w:tc>
        <w:tc>
          <w:tcPr>
            <w:tcW w:w="1262" w:type="dxa"/>
          </w:tcPr>
          <w:p w14:paraId="10AD515B" w14:textId="3F785072"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w:t>
            </w:r>
          </w:p>
        </w:tc>
        <w:tc>
          <w:tcPr>
            <w:tcW w:w="1248" w:type="dxa"/>
          </w:tcPr>
          <w:p w14:paraId="6416D6DD" w14:textId="3E33BB1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c>
          <w:tcPr>
            <w:tcW w:w="1188" w:type="dxa"/>
          </w:tcPr>
          <w:p w14:paraId="5B3DCF13" w14:textId="5864B215"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w:t>
            </w:r>
          </w:p>
        </w:tc>
      </w:tr>
      <w:tr w:rsidR="00366515" w14:paraId="4E3BFFD4" w14:textId="77777777" w:rsidTr="002C2375">
        <w:tc>
          <w:tcPr>
            <w:tcW w:w="1100" w:type="dxa"/>
          </w:tcPr>
          <w:p w14:paraId="7C35E996" w14:textId="4617C3C2"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175" w:type="dxa"/>
          </w:tcPr>
          <w:p w14:paraId="3B4F1DE6" w14:textId="1003C32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773</w:t>
            </w:r>
          </w:p>
        </w:tc>
        <w:tc>
          <w:tcPr>
            <w:tcW w:w="1883" w:type="dxa"/>
          </w:tcPr>
          <w:p w14:paraId="653AC483" w14:textId="4733B163"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653</w:t>
            </w:r>
          </w:p>
        </w:tc>
        <w:tc>
          <w:tcPr>
            <w:tcW w:w="1206" w:type="dxa"/>
          </w:tcPr>
          <w:p w14:paraId="1A91CC21" w14:textId="3CDEB9E9"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262" w:type="dxa"/>
          </w:tcPr>
          <w:p w14:paraId="6650CF19" w14:textId="5B8A3A8B"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36</w:t>
            </w:r>
          </w:p>
        </w:tc>
        <w:tc>
          <w:tcPr>
            <w:tcW w:w="1248" w:type="dxa"/>
          </w:tcPr>
          <w:p w14:paraId="4525EC5D" w14:textId="27BA3DF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58</w:t>
            </w:r>
          </w:p>
        </w:tc>
        <w:tc>
          <w:tcPr>
            <w:tcW w:w="1188" w:type="dxa"/>
          </w:tcPr>
          <w:p w14:paraId="5AE99668" w14:textId="193C3F17"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r w:rsidR="00366515" w14:paraId="2FAE7E5E" w14:textId="77777777" w:rsidTr="002C2375">
        <w:tc>
          <w:tcPr>
            <w:tcW w:w="1100" w:type="dxa"/>
          </w:tcPr>
          <w:p w14:paraId="6ED23F01" w14:textId="2ACF8187"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175" w:type="dxa"/>
          </w:tcPr>
          <w:p w14:paraId="12C80526" w14:textId="7B636A03"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w:t>
            </w:r>
            <w:r w:rsidR="00E27378" w:rsidRPr="005066B5">
              <w:rPr>
                <w:rFonts w:ascii="Arial" w:hAnsi="Arial" w:cs="Arial"/>
              </w:rPr>
              <w:t xml:space="preserve"> </w:t>
            </w:r>
            <w:r w:rsidRPr="005066B5">
              <w:rPr>
                <w:rFonts w:ascii="Arial" w:hAnsi="Arial" w:cs="Arial"/>
              </w:rPr>
              <w:t>595</w:t>
            </w:r>
          </w:p>
        </w:tc>
        <w:tc>
          <w:tcPr>
            <w:tcW w:w="1883" w:type="dxa"/>
          </w:tcPr>
          <w:p w14:paraId="1E7A38FB" w14:textId="482A2FC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229</w:t>
            </w:r>
          </w:p>
        </w:tc>
        <w:tc>
          <w:tcPr>
            <w:tcW w:w="1206" w:type="dxa"/>
          </w:tcPr>
          <w:p w14:paraId="51E8B52C" w14:textId="0F499E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123</w:t>
            </w:r>
          </w:p>
        </w:tc>
        <w:tc>
          <w:tcPr>
            <w:tcW w:w="1262" w:type="dxa"/>
          </w:tcPr>
          <w:p w14:paraId="677B3778" w14:textId="21AEE1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28</w:t>
            </w:r>
          </w:p>
        </w:tc>
        <w:tc>
          <w:tcPr>
            <w:tcW w:w="1248" w:type="dxa"/>
          </w:tcPr>
          <w:p w14:paraId="7D0BD24D" w14:textId="401535D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34</w:t>
            </w:r>
          </w:p>
        </w:tc>
        <w:tc>
          <w:tcPr>
            <w:tcW w:w="1188" w:type="dxa"/>
          </w:tcPr>
          <w:p w14:paraId="498FE0C3" w14:textId="33EB656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r w:rsidR="00E95ED9" w14:paraId="551EA995" w14:textId="77777777" w:rsidTr="002C2375">
        <w:tc>
          <w:tcPr>
            <w:tcW w:w="1100" w:type="dxa"/>
          </w:tcPr>
          <w:p w14:paraId="576A0E1C" w14:textId="2DDAFBF5"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175" w:type="dxa"/>
          </w:tcPr>
          <w:p w14:paraId="1AAC3113" w14:textId="06A179EA"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5 121</w:t>
            </w:r>
          </w:p>
        </w:tc>
        <w:tc>
          <w:tcPr>
            <w:tcW w:w="1883" w:type="dxa"/>
          </w:tcPr>
          <w:p w14:paraId="5AE364C4" w14:textId="5BD5C7E0"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325</w:t>
            </w:r>
          </w:p>
        </w:tc>
        <w:tc>
          <w:tcPr>
            <w:tcW w:w="1206" w:type="dxa"/>
          </w:tcPr>
          <w:p w14:paraId="609D9C40" w14:textId="40C37CF8"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99</w:t>
            </w:r>
          </w:p>
        </w:tc>
        <w:tc>
          <w:tcPr>
            <w:tcW w:w="1262" w:type="dxa"/>
          </w:tcPr>
          <w:p w14:paraId="1980366B" w14:textId="2604BC7B"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26</w:t>
            </w:r>
          </w:p>
        </w:tc>
        <w:tc>
          <w:tcPr>
            <w:tcW w:w="1248" w:type="dxa"/>
          </w:tcPr>
          <w:p w14:paraId="66B46150" w14:textId="5BA0555F"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35</w:t>
            </w:r>
          </w:p>
        </w:tc>
        <w:tc>
          <w:tcPr>
            <w:tcW w:w="1188" w:type="dxa"/>
          </w:tcPr>
          <w:p w14:paraId="31062DFA" w14:textId="2B457E1A" w:rsidR="00E95ED9" w:rsidRPr="005066B5" w:rsidRDefault="00E95ED9"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15</w:t>
            </w:r>
          </w:p>
        </w:tc>
      </w:tr>
      <w:tr w:rsidR="000F0230" w14:paraId="1B31ECFF" w14:textId="77777777" w:rsidTr="002C2375">
        <w:tc>
          <w:tcPr>
            <w:tcW w:w="1100" w:type="dxa"/>
          </w:tcPr>
          <w:p w14:paraId="6841A202" w14:textId="3139098D" w:rsidR="000F0230" w:rsidRDefault="000F0230"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2022</w:t>
            </w:r>
          </w:p>
        </w:tc>
        <w:tc>
          <w:tcPr>
            <w:tcW w:w="1175" w:type="dxa"/>
          </w:tcPr>
          <w:p w14:paraId="38F122CF" w14:textId="17DE6C2A" w:rsidR="000F0230" w:rsidRDefault="000F0230"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5 8</w:t>
            </w:r>
            <w:r w:rsidR="00D35CDC">
              <w:rPr>
                <w:rFonts w:ascii="Arial" w:hAnsi="Arial" w:cs="Arial"/>
              </w:rPr>
              <w:t>46</w:t>
            </w:r>
          </w:p>
        </w:tc>
        <w:tc>
          <w:tcPr>
            <w:tcW w:w="1883" w:type="dxa"/>
          </w:tcPr>
          <w:p w14:paraId="15D13140" w14:textId="4569C2E5" w:rsidR="000F0230" w:rsidRDefault="000B55BE"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245</w:t>
            </w:r>
          </w:p>
        </w:tc>
        <w:tc>
          <w:tcPr>
            <w:tcW w:w="1206" w:type="dxa"/>
          </w:tcPr>
          <w:p w14:paraId="155B13C2" w14:textId="52727A0D" w:rsidR="000F0230" w:rsidRDefault="008D0C77"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91</w:t>
            </w:r>
          </w:p>
        </w:tc>
        <w:tc>
          <w:tcPr>
            <w:tcW w:w="1262" w:type="dxa"/>
          </w:tcPr>
          <w:p w14:paraId="6211B318" w14:textId="32A983B1" w:rsidR="000F0230" w:rsidRDefault="00F31716"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50</w:t>
            </w:r>
          </w:p>
        </w:tc>
        <w:tc>
          <w:tcPr>
            <w:tcW w:w="1248" w:type="dxa"/>
          </w:tcPr>
          <w:p w14:paraId="5C1093B5" w14:textId="779D7235" w:rsidR="000F0230" w:rsidRDefault="00F31716"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48</w:t>
            </w:r>
          </w:p>
        </w:tc>
        <w:tc>
          <w:tcPr>
            <w:tcW w:w="1188" w:type="dxa"/>
          </w:tcPr>
          <w:p w14:paraId="02FF677E" w14:textId="2DFC4322" w:rsidR="000F0230" w:rsidRDefault="00AA538B" w:rsidP="00366515">
            <w:pPr>
              <w:pStyle w:val="NormalnyWeb"/>
              <w:tabs>
                <w:tab w:val="left" w:pos="284"/>
              </w:tabs>
              <w:spacing w:beforeAutospacing="0" w:after="120" w:afterAutospacing="0" w:line="360" w:lineRule="auto"/>
              <w:jc w:val="center"/>
              <w:rPr>
                <w:rFonts w:ascii="Arial" w:hAnsi="Arial" w:cs="Arial"/>
              </w:rPr>
            </w:pPr>
            <w:r>
              <w:rPr>
                <w:rFonts w:ascii="Arial" w:hAnsi="Arial" w:cs="Arial"/>
              </w:rPr>
              <w:t>54</w:t>
            </w:r>
          </w:p>
        </w:tc>
      </w:tr>
    </w:tbl>
    <w:p w14:paraId="4B5FAA5E" w14:textId="77777777" w:rsidR="003C73F7" w:rsidRPr="00925BCD" w:rsidRDefault="003C73F7" w:rsidP="00EC2F01">
      <w:pPr>
        <w:pStyle w:val="NormalnyWeb"/>
        <w:tabs>
          <w:tab w:val="left" w:pos="284"/>
        </w:tabs>
        <w:spacing w:beforeAutospacing="0" w:after="120" w:afterAutospacing="0" w:line="360" w:lineRule="auto"/>
        <w:ind w:firstLine="284"/>
        <w:jc w:val="both"/>
        <w:rPr>
          <w:rFonts w:ascii="Arial" w:hAnsi="Arial" w:cs="Arial"/>
        </w:rPr>
      </w:pPr>
    </w:p>
    <w:p w14:paraId="1BD57918" w14:textId="4BF1184C" w:rsidR="00056846" w:rsidRPr="003D1152" w:rsidRDefault="00274A8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E22E3">
        <w:rPr>
          <w:rFonts w:ascii="Arial" w:hAnsi="Arial" w:cs="Arial"/>
        </w:rPr>
        <w:t xml:space="preserve">latach </w:t>
      </w:r>
      <w:r w:rsidRPr="00925BCD">
        <w:rPr>
          <w:rFonts w:ascii="Arial" w:hAnsi="Arial" w:cs="Arial"/>
        </w:rPr>
        <w:t>2018</w:t>
      </w:r>
      <w:r w:rsidR="007E22E3" w:rsidRPr="003D1152">
        <w:rPr>
          <w:rFonts w:ascii="Arial" w:hAnsi="Arial" w:cs="Arial"/>
        </w:rPr>
        <w:t>–</w:t>
      </w:r>
      <w:r w:rsidR="007E22E3">
        <w:rPr>
          <w:rFonts w:ascii="Arial" w:hAnsi="Arial" w:cs="Arial"/>
        </w:rPr>
        <w:t>2020</w:t>
      </w:r>
      <w:r w:rsidR="00E54725" w:rsidRPr="00925BCD">
        <w:rPr>
          <w:rFonts w:ascii="Arial" w:hAnsi="Arial" w:cs="Arial"/>
        </w:rPr>
        <w:t xml:space="preserve"> kontrola składu i właściwości fizyko–chemicznych środków ochrony roślin prowadzona była przez Państwową Inspekcję Ochrony Roślin i Nasiennictwa w powiązaniu z realizowanymi przez Instytut Ochrony Roślin – PIB zadaniami programu wieloletniego pod nazwą „Ochrona roślin uprawnych z uwzględnieniem bezpieczeństwa żywności oraz ograniczenia strat w plonach i zagrożeń dla zdrowia ludzi, zwierząt domowych i środowiska”</w:t>
      </w:r>
      <w:r w:rsidR="00D139BE">
        <w:rPr>
          <w:rFonts w:ascii="Arial" w:hAnsi="Arial" w:cs="Arial"/>
        </w:rPr>
        <w:t xml:space="preserve"> </w:t>
      </w:r>
      <w:r w:rsidR="000A6396">
        <w:rPr>
          <w:rFonts w:ascii="Arial" w:hAnsi="Arial" w:cs="Arial"/>
        </w:rPr>
        <w:t xml:space="preserve">natomiast </w:t>
      </w:r>
      <w:r w:rsidR="00D139BE">
        <w:rPr>
          <w:rFonts w:ascii="Arial" w:hAnsi="Arial" w:cs="Arial"/>
        </w:rPr>
        <w:t>w 2021 r.</w:t>
      </w:r>
      <w:r w:rsidR="000A6396">
        <w:rPr>
          <w:rFonts w:ascii="Arial" w:hAnsi="Arial" w:cs="Arial"/>
        </w:rPr>
        <w:t xml:space="preserve"> i 2022 r.</w:t>
      </w:r>
      <w:r w:rsidR="00D139BE">
        <w:rPr>
          <w:rFonts w:ascii="Arial" w:hAnsi="Arial" w:cs="Arial"/>
        </w:rPr>
        <w:t xml:space="preserve"> w ramach dotacji celowej</w:t>
      </w:r>
      <w:r w:rsidR="00E54725" w:rsidRPr="00925BCD">
        <w:rPr>
          <w:rFonts w:ascii="Arial" w:hAnsi="Arial" w:cs="Arial"/>
        </w:rPr>
        <w:t>. Zgodnie z opracowanymi wytycznymi dla Państwowej Inspekcji Ochrony Roślin i</w:t>
      </w:r>
      <w:r w:rsidR="00D139BE">
        <w:rPr>
          <w:rFonts w:ascii="Arial" w:hAnsi="Arial" w:cs="Arial"/>
        </w:rPr>
        <w:t> </w:t>
      </w:r>
      <w:r w:rsidR="00E54725" w:rsidRPr="00925BCD">
        <w:rPr>
          <w:rFonts w:ascii="Arial" w:hAnsi="Arial" w:cs="Arial"/>
        </w:rPr>
        <w:t xml:space="preserve">Nasiennictwa kontrola w powyższym zakresie była ukierunkowana na prewencję, czyli skuteczne wykrywanie możliwie dużej liczby nieprawidłowości w </w:t>
      </w:r>
      <w:r w:rsidR="00E54725" w:rsidRPr="003D1152">
        <w:rPr>
          <w:rFonts w:ascii="Arial" w:hAnsi="Arial" w:cs="Arial"/>
        </w:rPr>
        <w:t>sprzedawanych środkach oraz na monitoring, mający na celu uzyskanie obrazu krajowej sytuacji w zakresie jakości środków ochrony roślin znajdujących się w obrocie. Po uwzględnieniu parametrów wykazujących największe korelacje z nieprawidłowościami, tj.:</w:t>
      </w:r>
    </w:p>
    <w:p w14:paraId="679340BE"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rodzaj zezwolenia na wprowadzenie środka ochrony roślin do obrotu,</w:t>
      </w:r>
    </w:p>
    <w:p w14:paraId="1727AD9D"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przeznaczenie środka ochrony roślin (herbicyd, fungicyd, insektycyd, inne),</w:t>
      </w:r>
    </w:p>
    <w:p w14:paraId="683C2BC9"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formulacja środka</w:t>
      </w:r>
    </w:p>
    <w:p w14:paraId="6768B05C" w14:textId="24FFC477" w:rsidR="00056846" w:rsidRPr="003D1152" w:rsidRDefault="00274A8C" w:rsidP="00EC2F01">
      <w:pPr>
        <w:tabs>
          <w:tab w:val="center" w:pos="4536"/>
          <w:tab w:val="right" w:pos="9072"/>
        </w:tabs>
        <w:spacing w:after="120" w:line="360" w:lineRule="auto"/>
        <w:jc w:val="both"/>
        <w:rPr>
          <w:rFonts w:ascii="Arial" w:hAnsi="Arial" w:cs="Arial"/>
          <w:sz w:val="20"/>
          <w:szCs w:val="20"/>
        </w:rPr>
      </w:pPr>
      <w:r w:rsidRPr="003D1152">
        <w:rPr>
          <w:rFonts w:ascii="Arial" w:hAnsi="Arial" w:cs="Arial"/>
          <w:sz w:val="20"/>
          <w:szCs w:val="20"/>
        </w:rPr>
        <w:lastRenderedPageBreak/>
        <w:t xml:space="preserve">ustalono w 2018 r. – 16, w 2019 r. </w:t>
      </w:r>
      <w:bookmarkStart w:id="145" w:name="_Hlk94711924"/>
      <w:r w:rsidRPr="003D1152">
        <w:rPr>
          <w:rFonts w:ascii="Arial" w:hAnsi="Arial" w:cs="Arial"/>
          <w:sz w:val="20"/>
          <w:szCs w:val="20"/>
        </w:rPr>
        <w:t xml:space="preserve">– </w:t>
      </w:r>
      <w:bookmarkEnd w:id="145"/>
      <w:r w:rsidRPr="003D1152">
        <w:rPr>
          <w:rFonts w:ascii="Arial" w:hAnsi="Arial" w:cs="Arial"/>
          <w:sz w:val="20"/>
          <w:szCs w:val="20"/>
        </w:rPr>
        <w:t>13</w:t>
      </w:r>
      <w:r w:rsidR="007E22E3">
        <w:rPr>
          <w:rFonts w:ascii="Arial" w:hAnsi="Arial" w:cs="Arial"/>
          <w:sz w:val="20"/>
          <w:szCs w:val="20"/>
        </w:rPr>
        <w:t>,</w:t>
      </w:r>
      <w:r w:rsidR="007E22E3" w:rsidRPr="007E22E3">
        <w:rPr>
          <w:rFonts w:ascii="Arial" w:hAnsi="Arial" w:cs="Arial"/>
          <w:sz w:val="20"/>
          <w:szCs w:val="20"/>
        </w:rPr>
        <w:t xml:space="preserve"> </w:t>
      </w:r>
      <w:r w:rsidR="007E22E3">
        <w:rPr>
          <w:rFonts w:ascii="Arial" w:hAnsi="Arial" w:cs="Arial"/>
          <w:sz w:val="20"/>
          <w:szCs w:val="20"/>
        </w:rPr>
        <w:t xml:space="preserve">w 2020 r. </w:t>
      </w:r>
      <w:r w:rsidR="007E22E3" w:rsidRPr="003D1152">
        <w:rPr>
          <w:rFonts w:ascii="Arial" w:hAnsi="Arial" w:cs="Arial"/>
          <w:sz w:val="20"/>
          <w:szCs w:val="20"/>
        </w:rPr>
        <w:t xml:space="preserve">– </w:t>
      </w:r>
      <w:r w:rsidR="007E22E3">
        <w:rPr>
          <w:rFonts w:ascii="Arial" w:hAnsi="Arial" w:cs="Arial"/>
          <w:sz w:val="20"/>
          <w:szCs w:val="20"/>
        </w:rPr>
        <w:t>14</w:t>
      </w:r>
      <w:r w:rsidR="00CD567A">
        <w:rPr>
          <w:rFonts w:ascii="Arial" w:hAnsi="Arial" w:cs="Arial"/>
          <w:sz w:val="20"/>
          <w:szCs w:val="20"/>
        </w:rPr>
        <w:t>, a w 2021 r.</w:t>
      </w:r>
      <w:r w:rsidR="00297C10">
        <w:rPr>
          <w:rFonts w:ascii="Arial" w:hAnsi="Arial" w:cs="Arial"/>
          <w:sz w:val="20"/>
          <w:szCs w:val="20"/>
        </w:rPr>
        <w:t xml:space="preserve"> i 2022 r.</w:t>
      </w:r>
      <w:r w:rsidR="00CD567A">
        <w:rPr>
          <w:rFonts w:ascii="Arial" w:hAnsi="Arial" w:cs="Arial"/>
          <w:sz w:val="20"/>
          <w:szCs w:val="20"/>
        </w:rPr>
        <w:t xml:space="preserve"> </w:t>
      </w:r>
      <w:r w:rsidR="00CD567A" w:rsidRPr="00CD567A">
        <w:rPr>
          <w:rFonts w:ascii="Arial" w:hAnsi="Arial" w:cs="Arial"/>
          <w:sz w:val="20"/>
          <w:szCs w:val="20"/>
        </w:rPr>
        <w:t>– 1</w:t>
      </w:r>
      <w:r w:rsidR="00CD567A">
        <w:rPr>
          <w:rFonts w:ascii="Arial" w:hAnsi="Arial" w:cs="Arial"/>
          <w:sz w:val="20"/>
          <w:szCs w:val="20"/>
        </w:rPr>
        <w:t>2</w:t>
      </w:r>
      <w:r w:rsidR="00E54725" w:rsidRPr="003D1152">
        <w:rPr>
          <w:rFonts w:ascii="Arial" w:hAnsi="Arial" w:cs="Arial"/>
          <w:sz w:val="20"/>
          <w:szCs w:val="20"/>
        </w:rPr>
        <w:t xml:space="preserve"> charakterystycznych grup środków ochrony roślin, którym przypisano odpowiednią liczbę pobieranych próbek.</w:t>
      </w:r>
    </w:p>
    <w:p w14:paraId="36429A4E" w14:textId="322B8E5C" w:rsidR="00056846" w:rsidRPr="00EC046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D1152">
        <w:rPr>
          <w:rFonts w:ascii="Arial" w:hAnsi="Arial" w:cs="Arial"/>
        </w:rPr>
        <w:t>Aplikacja wspierająca Państwową Inspekcję Ochrony Roślin i Nasiennictwa pn. e-kontrole, umożliwiła bezpośrednie przekazywanie danych o statusie pobranych</w:t>
      </w:r>
      <w:r w:rsidRPr="00925BCD">
        <w:rPr>
          <w:rFonts w:ascii="Arial" w:hAnsi="Arial" w:cs="Arial"/>
        </w:rPr>
        <w:t xml:space="preserve"> prób i stopniu realizacji poboru w</w:t>
      </w:r>
      <w:r w:rsidR="004E3716" w:rsidRPr="00925BCD">
        <w:rPr>
          <w:rFonts w:ascii="Arial" w:hAnsi="Arial" w:cs="Arial"/>
        </w:rPr>
        <w:t> </w:t>
      </w:r>
      <w:r w:rsidRPr="00925BCD">
        <w:rPr>
          <w:rFonts w:ascii="Arial" w:hAnsi="Arial" w:cs="Arial"/>
        </w:rPr>
        <w:t xml:space="preserve">ustalonych grupach środków ochrony roślin. Próbki te, po uwzględnieniu liczby punktów sprzedaży, szacunkowego zużycia środków ochrony roślin oraz powierzchni upraw w poszczególnych województwach, przydzielono do pobrania wojewódzkim inspektoratom. Niezależnie od kontroli podstawowej pobierano także próbki do badań </w:t>
      </w:r>
      <w:r w:rsidRPr="00EC0466">
        <w:rPr>
          <w:rFonts w:ascii="Arial" w:hAnsi="Arial" w:cs="Arial"/>
        </w:rPr>
        <w:t xml:space="preserve">interwencyjnych. </w:t>
      </w:r>
      <w:r w:rsidRPr="00EC0466">
        <w:rPr>
          <w:rFonts w:ascii="Arial" w:hAnsi="Arial" w:cs="Arial"/>
          <w:bCs/>
        </w:rPr>
        <w:t xml:space="preserve">W </w:t>
      </w:r>
      <w:r w:rsidR="001212E1" w:rsidRPr="00EC0466">
        <w:rPr>
          <w:rFonts w:ascii="Arial" w:hAnsi="Arial" w:cs="Arial"/>
          <w:bCs/>
        </w:rPr>
        <w:t xml:space="preserve">latach </w:t>
      </w:r>
      <w:r w:rsidRPr="00EC0466">
        <w:rPr>
          <w:rFonts w:ascii="Arial" w:hAnsi="Arial" w:cs="Arial"/>
          <w:bCs/>
        </w:rPr>
        <w:t>2018</w:t>
      </w:r>
      <w:r w:rsidR="003A6096" w:rsidRPr="00772A61">
        <w:rPr>
          <w:rFonts w:ascii="Arial" w:hAnsi="Arial" w:cs="Arial"/>
        </w:rPr>
        <w:t>–</w:t>
      </w:r>
      <w:r w:rsidR="00CD567A">
        <w:rPr>
          <w:rFonts w:ascii="Arial" w:hAnsi="Arial" w:cs="Arial"/>
          <w:bCs/>
        </w:rPr>
        <w:t>202</w:t>
      </w:r>
      <w:r w:rsidR="004D6440">
        <w:rPr>
          <w:rFonts w:ascii="Arial" w:hAnsi="Arial" w:cs="Arial"/>
          <w:bCs/>
        </w:rPr>
        <w:t>2</w:t>
      </w:r>
      <w:r w:rsidR="001212E1" w:rsidRPr="00EC0466">
        <w:rPr>
          <w:rFonts w:ascii="Arial" w:hAnsi="Arial" w:cs="Arial"/>
          <w:b/>
        </w:rPr>
        <w:t xml:space="preserve"> </w:t>
      </w:r>
      <w:r w:rsidRPr="00EC0466">
        <w:rPr>
          <w:rFonts w:ascii="Arial" w:hAnsi="Arial" w:cs="Arial"/>
        </w:rPr>
        <w:t>pob</w:t>
      </w:r>
      <w:r w:rsidR="001212E1" w:rsidRPr="00EC0466">
        <w:rPr>
          <w:rFonts w:ascii="Arial" w:hAnsi="Arial" w:cs="Arial"/>
        </w:rPr>
        <w:t>ie</w:t>
      </w:r>
      <w:r w:rsidRPr="00EC0466">
        <w:rPr>
          <w:rFonts w:ascii="Arial" w:hAnsi="Arial" w:cs="Arial"/>
        </w:rPr>
        <w:t>rano i</w:t>
      </w:r>
      <w:r w:rsidR="00AF5954">
        <w:rPr>
          <w:rFonts w:ascii="Arial" w:hAnsi="Arial" w:cs="Arial"/>
        </w:rPr>
        <w:t> </w:t>
      </w:r>
      <w:r w:rsidRPr="00EC0466">
        <w:rPr>
          <w:rFonts w:ascii="Arial" w:hAnsi="Arial" w:cs="Arial"/>
        </w:rPr>
        <w:t>dostarczono próbk</w:t>
      </w:r>
      <w:r w:rsidR="00FF543E" w:rsidRPr="00EC0466">
        <w:rPr>
          <w:rFonts w:ascii="Arial" w:hAnsi="Arial" w:cs="Arial"/>
        </w:rPr>
        <w:t>i</w:t>
      </w:r>
      <w:r w:rsidRPr="00EC0466">
        <w:rPr>
          <w:rFonts w:ascii="Arial" w:hAnsi="Arial" w:cs="Arial"/>
        </w:rPr>
        <w:t xml:space="preserve"> kontroln</w:t>
      </w:r>
      <w:r w:rsidR="00FF543E" w:rsidRPr="00EC0466">
        <w:rPr>
          <w:rFonts w:ascii="Arial" w:hAnsi="Arial" w:cs="Arial"/>
        </w:rPr>
        <w:t xml:space="preserve">e i </w:t>
      </w:r>
      <w:r w:rsidRPr="00EC0466">
        <w:rPr>
          <w:rFonts w:ascii="Arial" w:hAnsi="Arial" w:cs="Arial"/>
        </w:rPr>
        <w:t>interwencyjn</w:t>
      </w:r>
      <w:r w:rsidR="00FF543E" w:rsidRPr="00EC0466">
        <w:rPr>
          <w:rFonts w:ascii="Arial" w:hAnsi="Arial" w:cs="Arial"/>
        </w:rPr>
        <w:t>e</w:t>
      </w:r>
      <w:r w:rsidRPr="00EC0466">
        <w:rPr>
          <w:rFonts w:ascii="Arial" w:hAnsi="Arial" w:cs="Arial"/>
        </w:rPr>
        <w:t>. W trakcie badań analizowano podstawowe cechy jakościowe środków ochrony roślin, takie jak zawartość substancji aktywnych, właściwości fizyko-chemiczne oraz sprawdzano zgodność uzyskanych wyników oznaczeń z wymaganiami określonymi w</w:t>
      </w:r>
      <w:r w:rsidR="00534399">
        <w:rPr>
          <w:rFonts w:ascii="Arial" w:hAnsi="Arial" w:cs="Arial"/>
        </w:rPr>
        <w:t> </w:t>
      </w:r>
      <w:r w:rsidRPr="00EC0466">
        <w:rPr>
          <w:rFonts w:ascii="Arial" w:hAnsi="Arial" w:cs="Arial"/>
        </w:rPr>
        <w:t>procesie rejestracji.</w:t>
      </w:r>
      <w:r w:rsidR="00C07265" w:rsidRPr="00EC0466">
        <w:rPr>
          <w:rFonts w:ascii="Arial" w:hAnsi="Arial" w:cs="Arial"/>
        </w:rPr>
        <w:t xml:space="preserve"> </w:t>
      </w:r>
    </w:p>
    <w:p w14:paraId="4E7E7B54" w14:textId="77777777" w:rsidR="00B4291C"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kontroli planowanej realizowano również kontrolę interwencyjną, w zakresie której do laboratorium dostarczane były środki ochrony roślin reklamowane ze względu na brak skuteczności bądź niewłaściwy efekt po zastosowaniu oraz środki w stosunku do których istniało podejrzenie co do nieoryginalności lub nielegalnego pochodzenia.</w:t>
      </w:r>
    </w:p>
    <w:p w14:paraId="030586D1" w14:textId="654E1B4E" w:rsidR="0086597B" w:rsidRPr="00EC0466"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EC0466">
        <w:rPr>
          <w:rFonts w:ascii="Arial" w:hAnsi="Arial" w:cs="Arial"/>
        </w:rPr>
        <w:t>Wyniki badań przedstawia poniższa tabela.</w:t>
      </w:r>
    </w:p>
    <w:tbl>
      <w:tblPr>
        <w:tblStyle w:val="Tabela-Siatka"/>
        <w:tblW w:w="0" w:type="auto"/>
        <w:tblLook w:val="04A0" w:firstRow="1" w:lastRow="0" w:firstColumn="1" w:lastColumn="0" w:noHBand="0" w:noVBand="1"/>
      </w:tblPr>
      <w:tblGrid>
        <w:gridCol w:w="1358"/>
        <w:gridCol w:w="1481"/>
        <w:gridCol w:w="1784"/>
        <w:gridCol w:w="1421"/>
        <w:gridCol w:w="1468"/>
        <w:gridCol w:w="1550"/>
      </w:tblGrid>
      <w:tr w:rsidR="00A76616" w:rsidRPr="00EC0466" w14:paraId="44416379" w14:textId="77777777" w:rsidTr="00AF73BF">
        <w:tc>
          <w:tcPr>
            <w:tcW w:w="1487" w:type="dxa"/>
            <w:vMerge w:val="restart"/>
            <w:vAlign w:val="center"/>
          </w:tcPr>
          <w:p w14:paraId="57D62CF3" w14:textId="2878203D"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3142" w:type="dxa"/>
            <w:gridSpan w:val="2"/>
            <w:vAlign w:val="center"/>
          </w:tcPr>
          <w:p w14:paraId="39B2E288" w14:textId="167D1005"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pobranych próbek</w:t>
            </w:r>
          </w:p>
        </w:tc>
        <w:tc>
          <w:tcPr>
            <w:tcW w:w="1477" w:type="dxa"/>
            <w:vMerge w:val="restart"/>
            <w:vAlign w:val="center"/>
          </w:tcPr>
          <w:p w14:paraId="1EA94B82" w14:textId="3F2BDD6A"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oznaczeń</w:t>
            </w:r>
          </w:p>
        </w:tc>
        <w:tc>
          <w:tcPr>
            <w:tcW w:w="1478" w:type="dxa"/>
            <w:vAlign w:val="center"/>
          </w:tcPr>
          <w:p w14:paraId="5FC2745F" w14:textId="1A8EE77E" w:rsidR="00A76616" w:rsidRPr="005066B5" w:rsidRDefault="004C0D79"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podstawowa </w:t>
            </w:r>
          </w:p>
        </w:tc>
        <w:tc>
          <w:tcPr>
            <w:tcW w:w="1478" w:type="dxa"/>
            <w:vAlign w:val="center"/>
          </w:tcPr>
          <w:p w14:paraId="41F7388D" w14:textId="5B82C7B9" w:rsidR="00A76616" w:rsidRPr="005066B5" w:rsidRDefault="00177207"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interwencyjna </w:t>
            </w:r>
          </w:p>
        </w:tc>
      </w:tr>
      <w:tr w:rsidR="00826F6B" w:rsidRPr="00EC0466" w14:paraId="6A56DBE0" w14:textId="77777777" w:rsidTr="00DC3817">
        <w:trPr>
          <w:trHeight w:val="372"/>
        </w:trPr>
        <w:tc>
          <w:tcPr>
            <w:tcW w:w="1487" w:type="dxa"/>
            <w:vMerge/>
            <w:vAlign w:val="center"/>
          </w:tcPr>
          <w:p w14:paraId="1B91E22A"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1503" w:type="dxa"/>
            <w:vAlign w:val="center"/>
          </w:tcPr>
          <w:p w14:paraId="469E2A7E" w14:textId="5F025629"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kontrolnych</w:t>
            </w:r>
          </w:p>
        </w:tc>
        <w:tc>
          <w:tcPr>
            <w:tcW w:w="1639" w:type="dxa"/>
            <w:vAlign w:val="center"/>
          </w:tcPr>
          <w:p w14:paraId="3CD0F752" w14:textId="77B03ED4"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interwencyjnych</w:t>
            </w:r>
          </w:p>
        </w:tc>
        <w:tc>
          <w:tcPr>
            <w:tcW w:w="1477" w:type="dxa"/>
            <w:vMerge/>
            <w:vAlign w:val="center"/>
          </w:tcPr>
          <w:p w14:paraId="37ACCC92"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2956" w:type="dxa"/>
            <w:gridSpan w:val="2"/>
            <w:vAlign w:val="center"/>
          </w:tcPr>
          <w:p w14:paraId="1BC186A3" w14:textId="7672B92D"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atesty negatywne</w:t>
            </w:r>
          </w:p>
        </w:tc>
      </w:tr>
      <w:tr w:rsidR="009571ED" w:rsidRPr="00EC0466" w14:paraId="291EA365" w14:textId="77777777" w:rsidTr="00DC3817">
        <w:trPr>
          <w:trHeight w:val="293"/>
        </w:trPr>
        <w:tc>
          <w:tcPr>
            <w:tcW w:w="1487" w:type="dxa"/>
            <w:vAlign w:val="center"/>
          </w:tcPr>
          <w:p w14:paraId="213E1737" w14:textId="6DFCBC83"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503" w:type="dxa"/>
            <w:vAlign w:val="center"/>
          </w:tcPr>
          <w:p w14:paraId="660D4F9A" w14:textId="335189AA" w:rsidR="009571ED" w:rsidRPr="005066B5" w:rsidRDefault="00A7661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257</w:t>
            </w:r>
          </w:p>
        </w:tc>
        <w:tc>
          <w:tcPr>
            <w:tcW w:w="1639" w:type="dxa"/>
            <w:vAlign w:val="center"/>
          </w:tcPr>
          <w:p w14:paraId="27B3B0BF" w14:textId="42C610B7"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55</w:t>
            </w:r>
          </w:p>
        </w:tc>
        <w:tc>
          <w:tcPr>
            <w:tcW w:w="1477" w:type="dxa"/>
            <w:vAlign w:val="center"/>
          </w:tcPr>
          <w:p w14:paraId="33905525" w14:textId="77682F08"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1545</w:t>
            </w:r>
          </w:p>
        </w:tc>
        <w:tc>
          <w:tcPr>
            <w:tcW w:w="1478" w:type="dxa"/>
            <w:vAlign w:val="center"/>
          </w:tcPr>
          <w:p w14:paraId="431F4A67" w14:textId="1763D0B2"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w:t>
            </w:r>
          </w:p>
        </w:tc>
        <w:tc>
          <w:tcPr>
            <w:tcW w:w="1478" w:type="dxa"/>
            <w:vAlign w:val="center"/>
          </w:tcPr>
          <w:p w14:paraId="227622B8" w14:textId="2C16529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r w:rsidR="009571ED" w:rsidRPr="00EC0466" w14:paraId="7D7233D9" w14:textId="77777777" w:rsidTr="00826F6B">
        <w:tc>
          <w:tcPr>
            <w:tcW w:w="1487" w:type="dxa"/>
            <w:vAlign w:val="center"/>
          </w:tcPr>
          <w:p w14:paraId="176F1629" w14:textId="3A944D72"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503" w:type="dxa"/>
            <w:vAlign w:val="center"/>
          </w:tcPr>
          <w:p w14:paraId="1BB1ECC7" w14:textId="3DF58858"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639" w:type="dxa"/>
            <w:vAlign w:val="center"/>
          </w:tcPr>
          <w:p w14:paraId="13D54585" w14:textId="36296CB9"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68</w:t>
            </w:r>
          </w:p>
        </w:tc>
        <w:tc>
          <w:tcPr>
            <w:tcW w:w="1477" w:type="dxa"/>
            <w:vAlign w:val="center"/>
          </w:tcPr>
          <w:p w14:paraId="77D8ADC5" w14:textId="5DE756F7"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1455</w:t>
            </w:r>
          </w:p>
        </w:tc>
        <w:tc>
          <w:tcPr>
            <w:tcW w:w="1478" w:type="dxa"/>
            <w:vAlign w:val="center"/>
          </w:tcPr>
          <w:p w14:paraId="4E8F5015" w14:textId="6B49EA71"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p>
        </w:tc>
        <w:tc>
          <w:tcPr>
            <w:tcW w:w="1478" w:type="dxa"/>
            <w:vAlign w:val="center"/>
          </w:tcPr>
          <w:p w14:paraId="6B0016A9" w14:textId="1045E4E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r>
      <w:tr w:rsidR="009571ED" w14:paraId="103FAEB4" w14:textId="77777777" w:rsidTr="00DC3817">
        <w:trPr>
          <w:trHeight w:val="283"/>
        </w:trPr>
        <w:tc>
          <w:tcPr>
            <w:tcW w:w="1487" w:type="dxa"/>
            <w:vAlign w:val="center"/>
          </w:tcPr>
          <w:p w14:paraId="213BFFC0" w14:textId="373C0F40"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503" w:type="dxa"/>
            <w:vAlign w:val="center"/>
          </w:tcPr>
          <w:p w14:paraId="15CF1C3B" w14:textId="028E18D3"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237</w:t>
            </w:r>
          </w:p>
        </w:tc>
        <w:tc>
          <w:tcPr>
            <w:tcW w:w="1639" w:type="dxa"/>
            <w:vAlign w:val="center"/>
          </w:tcPr>
          <w:p w14:paraId="457AAEBE" w14:textId="73F977CE"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73</w:t>
            </w:r>
          </w:p>
        </w:tc>
        <w:tc>
          <w:tcPr>
            <w:tcW w:w="1477" w:type="dxa"/>
            <w:vAlign w:val="center"/>
          </w:tcPr>
          <w:p w14:paraId="0E8E886B" w14:textId="443C86EF" w:rsidR="009571ED" w:rsidRPr="005066B5" w:rsidRDefault="008B2D4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1766</w:t>
            </w:r>
          </w:p>
        </w:tc>
        <w:tc>
          <w:tcPr>
            <w:tcW w:w="1478" w:type="dxa"/>
            <w:vAlign w:val="center"/>
          </w:tcPr>
          <w:p w14:paraId="0D1418BD" w14:textId="28F5C862" w:rsidR="009571ED" w:rsidRPr="005066B5" w:rsidRDefault="007D495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w:t>
            </w:r>
          </w:p>
        </w:tc>
        <w:tc>
          <w:tcPr>
            <w:tcW w:w="1478" w:type="dxa"/>
            <w:vAlign w:val="center"/>
          </w:tcPr>
          <w:p w14:paraId="5705B00C" w14:textId="5CE2F7C6" w:rsidR="009571ED" w:rsidRPr="005066B5" w:rsidRDefault="001212E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r w:rsidR="00CD567A" w14:paraId="1CDCF77B" w14:textId="77777777" w:rsidTr="00DC3817">
        <w:trPr>
          <w:trHeight w:val="283"/>
        </w:trPr>
        <w:tc>
          <w:tcPr>
            <w:tcW w:w="1487" w:type="dxa"/>
            <w:vAlign w:val="center"/>
          </w:tcPr>
          <w:p w14:paraId="69C2D718" w14:textId="20D149F9"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503" w:type="dxa"/>
            <w:vAlign w:val="center"/>
          </w:tcPr>
          <w:p w14:paraId="72C2A36F" w14:textId="33A69A87"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268</w:t>
            </w:r>
          </w:p>
        </w:tc>
        <w:tc>
          <w:tcPr>
            <w:tcW w:w="1639" w:type="dxa"/>
            <w:vAlign w:val="center"/>
          </w:tcPr>
          <w:p w14:paraId="3004D2DC" w14:textId="3D3FC56A"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43</w:t>
            </w:r>
          </w:p>
        </w:tc>
        <w:tc>
          <w:tcPr>
            <w:tcW w:w="1477" w:type="dxa"/>
            <w:vAlign w:val="center"/>
          </w:tcPr>
          <w:p w14:paraId="441A0D60" w14:textId="113C12AC"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1651</w:t>
            </w:r>
          </w:p>
        </w:tc>
        <w:tc>
          <w:tcPr>
            <w:tcW w:w="1478" w:type="dxa"/>
            <w:vAlign w:val="center"/>
          </w:tcPr>
          <w:p w14:paraId="367FF258" w14:textId="2A208184"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0</w:t>
            </w:r>
          </w:p>
        </w:tc>
        <w:tc>
          <w:tcPr>
            <w:tcW w:w="1478" w:type="dxa"/>
            <w:vAlign w:val="center"/>
          </w:tcPr>
          <w:p w14:paraId="6580E4F8" w14:textId="40996A42" w:rsidR="00CD567A" w:rsidRPr="005066B5" w:rsidRDefault="00CD567A"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25</w:t>
            </w:r>
          </w:p>
        </w:tc>
      </w:tr>
      <w:tr w:rsidR="00C60565" w14:paraId="78DFE0D1" w14:textId="77777777" w:rsidTr="00DC3817">
        <w:trPr>
          <w:trHeight w:val="283"/>
        </w:trPr>
        <w:tc>
          <w:tcPr>
            <w:tcW w:w="1487" w:type="dxa"/>
            <w:vAlign w:val="center"/>
          </w:tcPr>
          <w:p w14:paraId="4796192E" w14:textId="5BE1C7B1" w:rsidR="00C60565" w:rsidRDefault="00C60565"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2022</w:t>
            </w:r>
          </w:p>
        </w:tc>
        <w:tc>
          <w:tcPr>
            <w:tcW w:w="1503" w:type="dxa"/>
            <w:vAlign w:val="center"/>
          </w:tcPr>
          <w:p w14:paraId="6450C683" w14:textId="5A3C9B34" w:rsidR="00C60565" w:rsidRDefault="000B229F"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246</w:t>
            </w:r>
          </w:p>
        </w:tc>
        <w:tc>
          <w:tcPr>
            <w:tcW w:w="1639" w:type="dxa"/>
            <w:vAlign w:val="center"/>
          </w:tcPr>
          <w:p w14:paraId="09DC7067" w14:textId="3F051E9B" w:rsidR="00C60565" w:rsidRDefault="000B229F"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73</w:t>
            </w:r>
          </w:p>
        </w:tc>
        <w:tc>
          <w:tcPr>
            <w:tcW w:w="1477" w:type="dxa"/>
            <w:vAlign w:val="center"/>
          </w:tcPr>
          <w:p w14:paraId="68D0C69A" w14:textId="0324F5FE" w:rsidR="00C60565" w:rsidRDefault="006E782C"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1957</w:t>
            </w:r>
          </w:p>
        </w:tc>
        <w:tc>
          <w:tcPr>
            <w:tcW w:w="1478" w:type="dxa"/>
            <w:vAlign w:val="center"/>
          </w:tcPr>
          <w:p w14:paraId="2C600213" w14:textId="5A9E5D4D" w:rsidR="00C60565" w:rsidRDefault="00D11586"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8</w:t>
            </w:r>
          </w:p>
        </w:tc>
        <w:tc>
          <w:tcPr>
            <w:tcW w:w="1478" w:type="dxa"/>
            <w:vAlign w:val="center"/>
          </w:tcPr>
          <w:p w14:paraId="7A3C5D9A" w14:textId="08353CA8" w:rsidR="00C60565" w:rsidRDefault="00D11586" w:rsidP="00826F6B">
            <w:pPr>
              <w:pStyle w:val="NormalnyWeb"/>
              <w:tabs>
                <w:tab w:val="left" w:pos="284"/>
              </w:tabs>
              <w:spacing w:beforeAutospacing="0" w:after="120" w:afterAutospacing="0" w:line="360" w:lineRule="auto"/>
              <w:jc w:val="center"/>
              <w:rPr>
                <w:rFonts w:ascii="Arial" w:hAnsi="Arial" w:cs="Arial"/>
              </w:rPr>
            </w:pPr>
            <w:r>
              <w:rPr>
                <w:rFonts w:ascii="Arial" w:hAnsi="Arial" w:cs="Arial"/>
              </w:rPr>
              <w:t>35</w:t>
            </w:r>
          </w:p>
        </w:tc>
      </w:tr>
    </w:tbl>
    <w:p w14:paraId="42AA8534" w14:textId="207BC696" w:rsidR="00056846" w:rsidRPr="00925BCD" w:rsidRDefault="00E54725" w:rsidP="007B2AC5">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Współpraca Instytutu Ochrony Roślin – PIB Oddział Sośnicowice oraz Państwowej Inspekcji Ochrony Roślin i Nasiennictwa pozwoliła na opracowanie sposobu postępowania mającego na celu weryfikację obligatoryjnej identyczności środków z handlu równoległego w stosunku do środka referencyjnego, wykrywania fałszerstw oraz zmian recepturowych środków ochrony roślin. O skuteczności wypracowanego podejścia świadczy fakt, że fałszerstwa, brak identyczności i zmiany w recepturze środka stanowiły podstawową przyczynę do wydania atestów negatywnych zarówno w kontroli podstawowej jak i interwencyjnej. </w:t>
      </w:r>
    </w:p>
    <w:p w14:paraId="22C4E6F9" w14:textId="66A3D827" w:rsidR="00056846" w:rsidRPr="00384522" w:rsidRDefault="00E54725" w:rsidP="00EC2F01">
      <w:pPr>
        <w:pStyle w:val="NormalnyWeb"/>
        <w:tabs>
          <w:tab w:val="left" w:pos="284"/>
        </w:tabs>
        <w:spacing w:beforeAutospacing="0" w:after="120" w:afterAutospacing="0" w:line="360" w:lineRule="auto"/>
        <w:ind w:firstLine="284"/>
        <w:jc w:val="both"/>
        <w:rPr>
          <w:rFonts w:ascii="Arial" w:hAnsi="Arial" w:cs="Arial"/>
          <w:b/>
          <w:bCs/>
        </w:rPr>
      </w:pPr>
      <w:r w:rsidRPr="00925BCD">
        <w:rPr>
          <w:rFonts w:ascii="Arial" w:hAnsi="Arial" w:cs="Arial"/>
        </w:rPr>
        <w:t xml:space="preserve">Inspekcja przeprowadzała także kontrole stosowania środków ochrony roślin w miejscach produkcji rolnej, leśnej, miejscach fumigacji i zaprawiania materiału siewnego oraz terenach kolejowych, zieleni miejskiej, u użytkowników profesjonalnych świadczących usługi w zakresie wykonywania zabiegów z zastosowaniem środków ochrony roślin, w miejscach w których stosowanie środków ochrony roślin </w:t>
      </w:r>
      <w:r w:rsidRPr="00925BCD">
        <w:rPr>
          <w:rFonts w:ascii="Arial" w:hAnsi="Arial" w:cs="Arial"/>
        </w:rPr>
        <w:lastRenderedPageBreak/>
        <w:t xml:space="preserve">jest ograniczone (wyszczególnione w art. 36 ustawy o środkach np.: na terenach placów zabaw, żłobków, przedszkoli, szkół podstawowych, szpitali, itp.) oraz innych, gdzie mogły być stosowane środki ochrony roślin. W ramach nadzoru nad prawidłowością stosowania środków ochrony roślin </w:t>
      </w:r>
      <w:r w:rsidRPr="00925BCD">
        <w:rPr>
          <w:rFonts w:ascii="Arial" w:hAnsi="Arial" w:cs="Arial"/>
          <w:b/>
        </w:rPr>
        <w:t>w 2018</w:t>
      </w:r>
      <w:r w:rsidR="002028DB">
        <w:rPr>
          <w:rFonts w:ascii="Arial" w:hAnsi="Arial" w:cs="Arial"/>
          <w:b/>
        </w:rPr>
        <w:t> </w:t>
      </w:r>
      <w:r w:rsidRPr="00925BCD">
        <w:rPr>
          <w:rFonts w:ascii="Arial" w:hAnsi="Arial" w:cs="Arial"/>
          <w:b/>
        </w:rPr>
        <w:t>r.</w:t>
      </w:r>
      <w:r w:rsidRPr="00925BCD">
        <w:rPr>
          <w:rFonts w:ascii="Arial" w:hAnsi="Arial" w:cs="Arial"/>
        </w:rPr>
        <w:t xml:space="preserve"> inspektorzy Państwowej Inspekcji Ochrony Roślin i Nasiennictwa przeprowadzili </w:t>
      </w:r>
      <w:r w:rsidRPr="00925BCD">
        <w:rPr>
          <w:rFonts w:ascii="Arial" w:hAnsi="Arial" w:cs="Arial"/>
          <w:b/>
        </w:rPr>
        <w:t>23 312 kontroli</w:t>
      </w:r>
      <w:r w:rsidR="004E3716" w:rsidRPr="00925BCD">
        <w:rPr>
          <w:rFonts w:ascii="Arial" w:hAnsi="Arial" w:cs="Arial"/>
        </w:rPr>
        <w:t xml:space="preserve">, </w:t>
      </w:r>
      <w:r w:rsidR="006A1E81" w:rsidRPr="00925BCD">
        <w:rPr>
          <w:rFonts w:ascii="Arial" w:hAnsi="Arial" w:cs="Arial"/>
          <w:b/>
        </w:rPr>
        <w:t>w</w:t>
      </w:r>
      <w:r w:rsidR="006A1E81">
        <w:rPr>
          <w:rFonts w:ascii="Arial" w:hAnsi="Arial" w:cs="Arial"/>
          <w:b/>
        </w:rPr>
        <w:t> </w:t>
      </w:r>
      <w:r w:rsidR="004E3716" w:rsidRPr="00925BCD">
        <w:rPr>
          <w:rFonts w:ascii="Arial" w:hAnsi="Arial" w:cs="Arial"/>
          <w:b/>
        </w:rPr>
        <w:t>2019 r. – 23 296</w:t>
      </w:r>
      <w:r w:rsidR="00C56353">
        <w:rPr>
          <w:rFonts w:ascii="Arial" w:hAnsi="Arial" w:cs="Arial"/>
          <w:b/>
        </w:rPr>
        <w:t>,</w:t>
      </w:r>
      <w:r w:rsidR="00C56353" w:rsidRPr="00C56353">
        <w:rPr>
          <w:rFonts w:ascii="Arial" w:hAnsi="Arial" w:cs="Arial"/>
        </w:rPr>
        <w:t xml:space="preserve"> </w:t>
      </w:r>
      <w:r w:rsidR="00C56353" w:rsidRPr="00F969AF">
        <w:rPr>
          <w:rFonts w:ascii="Arial" w:hAnsi="Arial" w:cs="Arial"/>
          <w:b/>
          <w:bCs/>
        </w:rPr>
        <w:t>w</w:t>
      </w:r>
      <w:r w:rsidR="00C56353">
        <w:rPr>
          <w:rFonts w:ascii="Arial" w:hAnsi="Arial" w:cs="Arial"/>
        </w:rPr>
        <w:t xml:space="preserve"> </w:t>
      </w:r>
      <w:r w:rsidR="00C56353" w:rsidRPr="00C56353">
        <w:rPr>
          <w:rFonts w:ascii="Arial" w:hAnsi="Arial" w:cs="Arial"/>
          <w:b/>
          <w:bCs/>
        </w:rPr>
        <w:t>2020 r</w:t>
      </w:r>
      <w:r w:rsidR="00C56353" w:rsidRPr="00384522">
        <w:rPr>
          <w:rFonts w:ascii="Arial" w:hAnsi="Arial" w:cs="Arial"/>
          <w:b/>
          <w:bCs/>
        </w:rPr>
        <w:t xml:space="preserve">. </w:t>
      </w:r>
      <w:r w:rsidR="00384522" w:rsidRPr="00384522">
        <w:rPr>
          <w:rFonts w:ascii="Arial" w:hAnsi="Arial" w:cs="Arial"/>
          <w:b/>
          <w:bCs/>
        </w:rPr>
        <w:t xml:space="preserve">– </w:t>
      </w:r>
      <w:r w:rsidR="00C56353" w:rsidRPr="00384522">
        <w:rPr>
          <w:rFonts w:ascii="Arial" w:hAnsi="Arial" w:cs="Arial"/>
          <w:b/>
          <w:bCs/>
        </w:rPr>
        <w:t>18</w:t>
      </w:r>
      <w:r w:rsidR="00CD567A">
        <w:rPr>
          <w:rFonts w:ascii="Arial" w:hAnsi="Arial" w:cs="Arial"/>
          <w:b/>
          <w:bCs/>
        </w:rPr>
        <w:t> </w:t>
      </w:r>
      <w:r w:rsidR="00C56353" w:rsidRPr="00384522">
        <w:rPr>
          <w:rFonts w:ascii="Arial" w:hAnsi="Arial" w:cs="Arial"/>
          <w:b/>
          <w:bCs/>
        </w:rPr>
        <w:t>109</w:t>
      </w:r>
      <w:bookmarkStart w:id="146" w:name="_Hlk148010816"/>
      <w:r w:rsidR="00CD567A">
        <w:rPr>
          <w:rFonts w:ascii="Arial" w:hAnsi="Arial" w:cs="Arial"/>
          <w:b/>
          <w:bCs/>
        </w:rPr>
        <w:t>,</w:t>
      </w:r>
      <w:r w:rsidR="00CD567A" w:rsidRPr="00CD567A">
        <w:t xml:space="preserve"> </w:t>
      </w:r>
      <w:r w:rsidR="00CD567A" w:rsidRPr="00CD567A">
        <w:rPr>
          <w:rFonts w:ascii="Arial" w:hAnsi="Arial" w:cs="Arial"/>
          <w:b/>
          <w:bCs/>
        </w:rPr>
        <w:t>w 202</w:t>
      </w:r>
      <w:r w:rsidR="00CD567A">
        <w:rPr>
          <w:rFonts w:ascii="Arial" w:hAnsi="Arial" w:cs="Arial"/>
          <w:b/>
          <w:bCs/>
        </w:rPr>
        <w:t>1</w:t>
      </w:r>
      <w:r w:rsidR="00CD567A" w:rsidRPr="00CD567A">
        <w:rPr>
          <w:rFonts w:ascii="Arial" w:hAnsi="Arial" w:cs="Arial"/>
          <w:b/>
          <w:bCs/>
        </w:rPr>
        <w:t xml:space="preserve"> r. – </w:t>
      </w:r>
      <w:r w:rsidR="00BC2450">
        <w:rPr>
          <w:rFonts w:ascii="Arial" w:hAnsi="Arial" w:cs="Arial"/>
          <w:b/>
          <w:bCs/>
        </w:rPr>
        <w:t>2</w:t>
      </w:r>
      <w:r w:rsidR="00CD567A" w:rsidRPr="00CD567A">
        <w:rPr>
          <w:rFonts w:ascii="Arial" w:hAnsi="Arial" w:cs="Arial"/>
          <w:b/>
          <w:bCs/>
        </w:rPr>
        <w:t>1</w:t>
      </w:r>
      <w:r w:rsidR="005849FB">
        <w:rPr>
          <w:rFonts w:ascii="Arial" w:hAnsi="Arial" w:cs="Arial"/>
          <w:b/>
          <w:bCs/>
        </w:rPr>
        <w:t> </w:t>
      </w:r>
      <w:r w:rsidR="00CD567A" w:rsidRPr="00CD567A">
        <w:rPr>
          <w:rFonts w:ascii="Arial" w:hAnsi="Arial" w:cs="Arial"/>
          <w:b/>
          <w:bCs/>
        </w:rPr>
        <w:t>1</w:t>
      </w:r>
      <w:r w:rsidR="00BC2450">
        <w:rPr>
          <w:rFonts w:ascii="Arial" w:hAnsi="Arial" w:cs="Arial"/>
          <w:b/>
          <w:bCs/>
        </w:rPr>
        <w:t>32</w:t>
      </w:r>
      <w:bookmarkEnd w:id="146"/>
      <w:r w:rsidR="005849FB">
        <w:rPr>
          <w:rFonts w:ascii="Arial" w:hAnsi="Arial" w:cs="Arial"/>
          <w:b/>
          <w:bCs/>
        </w:rPr>
        <w:t>,</w:t>
      </w:r>
      <w:r w:rsidR="005849FB" w:rsidRPr="005849FB">
        <w:rPr>
          <w:rFonts w:ascii="Arial" w:hAnsi="Arial" w:cs="Arial"/>
          <w:b/>
          <w:bCs/>
        </w:rPr>
        <w:t xml:space="preserve"> </w:t>
      </w:r>
      <w:r w:rsidR="005849FB" w:rsidRPr="00CD567A">
        <w:rPr>
          <w:rFonts w:ascii="Arial" w:hAnsi="Arial" w:cs="Arial"/>
          <w:b/>
          <w:bCs/>
        </w:rPr>
        <w:t>natomiast</w:t>
      </w:r>
      <w:r w:rsidR="00B83C1D">
        <w:rPr>
          <w:rFonts w:ascii="Arial" w:hAnsi="Arial" w:cs="Arial"/>
          <w:b/>
          <w:bCs/>
        </w:rPr>
        <w:t xml:space="preserve"> </w:t>
      </w:r>
      <w:r w:rsidR="00B83C1D" w:rsidRPr="00B83C1D">
        <w:rPr>
          <w:rFonts w:ascii="Arial" w:hAnsi="Arial" w:cs="Arial"/>
          <w:b/>
          <w:bCs/>
        </w:rPr>
        <w:t>w 202</w:t>
      </w:r>
      <w:r w:rsidR="00B83C1D">
        <w:rPr>
          <w:rFonts w:ascii="Arial" w:hAnsi="Arial" w:cs="Arial"/>
          <w:b/>
          <w:bCs/>
        </w:rPr>
        <w:t>2</w:t>
      </w:r>
      <w:r w:rsidR="00B83C1D" w:rsidRPr="00B83C1D">
        <w:rPr>
          <w:rFonts w:ascii="Arial" w:hAnsi="Arial" w:cs="Arial"/>
          <w:b/>
          <w:bCs/>
        </w:rPr>
        <w:t xml:space="preserve"> r. – 21</w:t>
      </w:r>
      <w:r w:rsidR="00B83C1D">
        <w:rPr>
          <w:rFonts w:ascii="Arial" w:hAnsi="Arial" w:cs="Arial"/>
          <w:b/>
          <w:bCs/>
        </w:rPr>
        <w:t> 346.</w:t>
      </w:r>
    </w:p>
    <w:p w14:paraId="060CB790" w14:textId="4BD926D3" w:rsidR="00882BE9"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Przedmiotem kontroli było sprawdzenie wykonania, przez stosujących środki ochrony roślin, obowiązków wynikających z ustawy o środkach ochrony roślin oraz rozporządzenia Parlamentu Europejskiego i Rady nr 1107/2009. Sprawdzano w szczególności ukończenie szkolenia uprawniającego do stosowania środków ochrony </w:t>
      </w:r>
      <w:r w:rsidR="00DC07AD" w:rsidRPr="00925BCD">
        <w:rPr>
          <w:rFonts w:ascii="Arial" w:hAnsi="Arial" w:cs="Arial"/>
        </w:rPr>
        <w:t>roślin</w:t>
      </w:r>
      <w:r w:rsidRPr="00925BCD">
        <w:rPr>
          <w:rFonts w:ascii="Arial" w:hAnsi="Arial" w:cs="Arial"/>
        </w:rPr>
        <w:t xml:space="preserve"> potwierdzonego aktualnym zaświadczeniem lub innych uprawnień w tym zakresie, poprawność prowadzenia dokumentacji wykonywanych zabiegów, sprawność techniczną sprzętu </w:t>
      </w:r>
      <w:r w:rsidR="00D402BE">
        <w:rPr>
          <w:rFonts w:ascii="Arial" w:hAnsi="Arial" w:cs="Arial"/>
        </w:rPr>
        <w:t xml:space="preserve">przeznaczonego </w:t>
      </w:r>
      <w:r w:rsidRPr="00925BCD">
        <w:rPr>
          <w:rFonts w:ascii="Arial" w:hAnsi="Arial" w:cs="Arial"/>
        </w:rPr>
        <w:t xml:space="preserve">do wykonywania zabiegów i posiadanie dokumentów potwierdzających tę sprawność oraz wykonywanie zabiegów ochrony roślin zgodnie z zaleceniami zawartymi w etykiecie środka. </w:t>
      </w:r>
      <w:r w:rsidRPr="008972A8">
        <w:rPr>
          <w:rFonts w:ascii="Arial" w:hAnsi="Arial" w:cs="Arial"/>
        </w:rPr>
        <w:t xml:space="preserve">W wyniku przeprowadzonych </w:t>
      </w:r>
      <w:r w:rsidR="004E3716" w:rsidRPr="008972A8">
        <w:rPr>
          <w:rFonts w:ascii="Arial" w:hAnsi="Arial" w:cs="Arial"/>
          <w:bCs/>
        </w:rPr>
        <w:t xml:space="preserve">w </w:t>
      </w:r>
      <w:r w:rsidR="00492D79" w:rsidRPr="008972A8">
        <w:rPr>
          <w:rFonts w:ascii="Arial" w:hAnsi="Arial" w:cs="Arial"/>
          <w:bCs/>
        </w:rPr>
        <w:t>lat</w:t>
      </w:r>
      <w:r w:rsidR="00657758" w:rsidRPr="008972A8">
        <w:rPr>
          <w:rFonts w:ascii="Arial" w:hAnsi="Arial" w:cs="Arial"/>
          <w:bCs/>
        </w:rPr>
        <w:t xml:space="preserve">ach </w:t>
      </w:r>
      <w:r w:rsidR="004E3716" w:rsidRPr="008972A8">
        <w:rPr>
          <w:rFonts w:ascii="Arial" w:hAnsi="Arial" w:cs="Arial"/>
          <w:bCs/>
        </w:rPr>
        <w:t>2018</w:t>
      </w:r>
      <w:r w:rsidR="003A6096" w:rsidRPr="00772A61">
        <w:rPr>
          <w:rFonts w:ascii="Arial" w:hAnsi="Arial" w:cs="Arial"/>
        </w:rPr>
        <w:t>–</w:t>
      </w:r>
      <w:r w:rsidR="00657758" w:rsidRPr="008972A8">
        <w:rPr>
          <w:rFonts w:ascii="Arial" w:hAnsi="Arial" w:cs="Arial"/>
          <w:bCs/>
        </w:rPr>
        <w:t>202</w:t>
      </w:r>
      <w:r w:rsidR="00FC3C85">
        <w:rPr>
          <w:rFonts w:ascii="Arial" w:hAnsi="Arial" w:cs="Arial"/>
          <w:bCs/>
        </w:rPr>
        <w:t>2</w:t>
      </w:r>
      <w:r w:rsidR="00657758" w:rsidRPr="008972A8">
        <w:rPr>
          <w:rFonts w:ascii="Arial" w:hAnsi="Arial" w:cs="Arial"/>
          <w:b/>
        </w:rPr>
        <w:t xml:space="preserve"> </w:t>
      </w:r>
      <w:r w:rsidRPr="008972A8">
        <w:rPr>
          <w:rFonts w:ascii="Arial" w:hAnsi="Arial" w:cs="Arial"/>
        </w:rPr>
        <w:t>kontroli stwierdz</w:t>
      </w:r>
      <w:r w:rsidR="00B0755A">
        <w:rPr>
          <w:rFonts w:ascii="Arial" w:hAnsi="Arial" w:cs="Arial"/>
        </w:rPr>
        <w:t>a</w:t>
      </w:r>
      <w:r w:rsidRPr="008972A8">
        <w:rPr>
          <w:rFonts w:ascii="Arial" w:hAnsi="Arial" w:cs="Arial"/>
        </w:rPr>
        <w:t>no nieprawidłowości, wystawi</w:t>
      </w:r>
      <w:r w:rsidR="00A11119" w:rsidRPr="008972A8">
        <w:rPr>
          <w:rFonts w:ascii="Arial" w:hAnsi="Arial" w:cs="Arial"/>
        </w:rPr>
        <w:t>a</w:t>
      </w:r>
      <w:r w:rsidRPr="008972A8">
        <w:rPr>
          <w:rFonts w:ascii="Arial" w:hAnsi="Arial" w:cs="Arial"/>
        </w:rPr>
        <w:t xml:space="preserve">no mandaty karne oraz </w:t>
      </w:r>
      <w:r w:rsidR="00A11119" w:rsidRPr="008972A8">
        <w:rPr>
          <w:rFonts w:ascii="Arial" w:hAnsi="Arial" w:cs="Arial"/>
        </w:rPr>
        <w:t>składano</w:t>
      </w:r>
      <w:r w:rsidR="00882BE9" w:rsidRPr="008972A8">
        <w:rPr>
          <w:rFonts w:ascii="Arial" w:hAnsi="Arial" w:cs="Arial"/>
        </w:rPr>
        <w:t xml:space="preserve"> wnioski</w:t>
      </w:r>
      <w:r w:rsidR="00B0755A">
        <w:rPr>
          <w:rFonts w:ascii="Arial" w:hAnsi="Arial" w:cs="Arial"/>
        </w:rPr>
        <w:t xml:space="preserve"> do sądu</w:t>
      </w:r>
      <w:r w:rsidR="00882BE9" w:rsidRPr="008972A8">
        <w:rPr>
          <w:rFonts w:ascii="Arial" w:hAnsi="Arial" w:cs="Arial"/>
        </w:rPr>
        <w:t>.</w:t>
      </w:r>
    </w:p>
    <w:p w14:paraId="4C749881" w14:textId="77777777" w:rsidR="00886EC9" w:rsidRDefault="00E54725" w:rsidP="00886EC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Nieprawidłowości dotyczyły przede wszystkim: użycia środka ochrony roślin niezgodnie z zakresem stosowania określonym w etykiecie środka, braku ukończenia szkolenia, niepoprawnego prowadzenia dokumentacji zabiegów wykonywanych przy użyciu środków ochrony roślin oraz braku badania sprawności technicznej sprzętu do wykonywania zabiegów.</w:t>
      </w:r>
    </w:p>
    <w:p w14:paraId="198B1FB4" w14:textId="300B5C83" w:rsidR="00886EC9" w:rsidRPr="00925BCD" w:rsidRDefault="00886EC9" w:rsidP="00886EC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r w:rsidRPr="00925BCD">
        <w:rPr>
          <w:rFonts w:ascii="Arial" w:hAnsi="Arial" w:cs="Arial"/>
        </w:rPr>
        <w:t xml:space="preserve"> </w:t>
      </w:r>
    </w:p>
    <w:tbl>
      <w:tblPr>
        <w:tblStyle w:val="Tabela-Siatka"/>
        <w:tblW w:w="0" w:type="auto"/>
        <w:tblLook w:val="04A0" w:firstRow="1" w:lastRow="0" w:firstColumn="1" w:lastColumn="0" w:noHBand="0" w:noVBand="1"/>
      </w:tblPr>
      <w:tblGrid>
        <w:gridCol w:w="1789"/>
        <w:gridCol w:w="1795"/>
        <w:gridCol w:w="1883"/>
        <w:gridCol w:w="1798"/>
        <w:gridCol w:w="1797"/>
      </w:tblGrid>
      <w:tr w:rsidR="00B35F41" w14:paraId="28FC11C7" w14:textId="77777777" w:rsidTr="008972A8">
        <w:tc>
          <w:tcPr>
            <w:tcW w:w="1812" w:type="dxa"/>
            <w:vAlign w:val="center"/>
          </w:tcPr>
          <w:p w14:paraId="5F957239" w14:textId="2FDE67BD" w:rsidR="00B35F41" w:rsidRPr="00B56C2A" w:rsidRDefault="00B35F41"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Rok</w:t>
            </w:r>
          </w:p>
        </w:tc>
        <w:tc>
          <w:tcPr>
            <w:tcW w:w="1812" w:type="dxa"/>
            <w:vAlign w:val="center"/>
          </w:tcPr>
          <w:p w14:paraId="034BE494" w14:textId="7A37274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kontroli</w:t>
            </w:r>
          </w:p>
        </w:tc>
        <w:tc>
          <w:tcPr>
            <w:tcW w:w="1812" w:type="dxa"/>
            <w:vAlign w:val="center"/>
          </w:tcPr>
          <w:p w14:paraId="118CBC83" w14:textId="08E673AF"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nieprawidłowości</w:t>
            </w:r>
          </w:p>
        </w:tc>
        <w:tc>
          <w:tcPr>
            <w:tcW w:w="1813" w:type="dxa"/>
            <w:vAlign w:val="center"/>
          </w:tcPr>
          <w:p w14:paraId="5F28B0A7" w14:textId="0BF0BCAC"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Mandaty</w:t>
            </w:r>
          </w:p>
        </w:tc>
        <w:tc>
          <w:tcPr>
            <w:tcW w:w="1813" w:type="dxa"/>
            <w:vAlign w:val="center"/>
          </w:tcPr>
          <w:p w14:paraId="370DD6F4" w14:textId="4DDD8FA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Wnioski do sądu</w:t>
            </w:r>
          </w:p>
        </w:tc>
      </w:tr>
      <w:tr w:rsidR="00B35F41" w14:paraId="6BAE7D74" w14:textId="77777777" w:rsidTr="008972A8">
        <w:tc>
          <w:tcPr>
            <w:tcW w:w="1812" w:type="dxa"/>
            <w:vAlign w:val="center"/>
          </w:tcPr>
          <w:p w14:paraId="6942CF8A" w14:textId="78E155D5"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2018</w:t>
            </w:r>
          </w:p>
        </w:tc>
        <w:tc>
          <w:tcPr>
            <w:tcW w:w="1812" w:type="dxa"/>
            <w:vAlign w:val="center"/>
          </w:tcPr>
          <w:p w14:paraId="4320CF94" w14:textId="7384EA50"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23 312</w:t>
            </w:r>
          </w:p>
        </w:tc>
        <w:tc>
          <w:tcPr>
            <w:tcW w:w="1812" w:type="dxa"/>
            <w:vAlign w:val="center"/>
          </w:tcPr>
          <w:p w14:paraId="5CC83090" w14:textId="2D82B986"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w:t>
            </w:r>
            <w:r w:rsidR="00A9013B" w:rsidRPr="00B56C2A">
              <w:rPr>
                <w:rFonts w:ascii="Arial" w:hAnsi="Arial" w:cs="Arial"/>
              </w:rPr>
              <w:t> </w:t>
            </w:r>
            <w:r w:rsidRPr="00B56C2A">
              <w:rPr>
                <w:rFonts w:ascii="Arial" w:hAnsi="Arial" w:cs="Arial"/>
              </w:rPr>
              <w:t>512</w:t>
            </w:r>
          </w:p>
        </w:tc>
        <w:tc>
          <w:tcPr>
            <w:tcW w:w="1813" w:type="dxa"/>
            <w:vAlign w:val="center"/>
          </w:tcPr>
          <w:p w14:paraId="06FBEF50" w14:textId="748CECC9"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A18923A" w14:textId="5D64C950"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8</w:t>
            </w:r>
          </w:p>
        </w:tc>
      </w:tr>
      <w:tr w:rsidR="00B35F41" w14:paraId="1C2EA9E6" w14:textId="77777777" w:rsidTr="008972A8">
        <w:tc>
          <w:tcPr>
            <w:tcW w:w="1812" w:type="dxa"/>
            <w:vAlign w:val="center"/>
          </w:tcPr>
          <w:p w14:paraId="200FC8CC" w14:textId="6DA582F1"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2019</w:t>
            </w:r>
          </w:p>
        </w:tc>
        <w:tc>
          <w:tcPr>
            <w:tcW w:w="1812" w:type="dxa"/>
            <w:vAlign w:val="center"/>
          </w:tcPr>
          <w:p w14:paraId="1897051E" w14:textId="1B38122B"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23 296</w:t>
            </w:r>
          </w:p>
        </w:tc>
        <w:tc>
          <w:tcPr>
            <w:tcW w:w="1812" w:type="dxa"/>
            <w:vAlign w:val="center"/>
          </w:tcPr>
          <w:p w14:paraId="74ABFC8E" w14:textId="238B21E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2 108</w:t>
            </w:r>
          </w:p>
        </w:tc>
        <w:tc>
          <w:tcPr>
            <w:tcW w:w="1813" w:type="dxa"/>
            <w:vAlign w:val="center"/>
          </w:tcPr>
          <w:p w14:paraId="0504B752" w14:textId="4D1F9198"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1 687</w:t>
            </w:r>
          </w:p>
        </w:tc>
        <w:tc>
          <w:tcPr>
            <w:tcW w:w="1813" w:type="dxa"/>
            <w:vAlign w:val="center"/>
          </w:tcPr>
          <w:p w14:paraId="20F96F47" w14:textId="4F214E5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6</w:t>
            </w:r>
          </w:p>
        </w:tc>
      </w:tr>
      <w:tr w:rsidR="00B35F41" w14:paraId="612AF836" w14:textId="77777777" w:rsidTr="008972A8">
        <w:tc>
          <w:tcPr>
            <w:tcW w:w="1812" w:type="dxa"/>
            <w:vAlign w:val="center"/>
          </w:tcPr>
          <w:p w14:paraId="45388B63" w14:textId="0031569F"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2020</w:t>
            </w:r>
          </w:p>
        </w:tc>
        <w:tc>
          <w:tcPr>
            <w:tcW w:w="1812" w:type="dxa"/>
            <w:vAlign w:val="center"/>
          </w:tcPr>
          <w:p w14:paraId="25481C99" w14:textId="3123D68C"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18 109</w:t>
            </w:r>
          </w:p>
        </w:tc>
        <w:tc>
          <w:tcPr>
            <w:tcW w:w="1812" w:type="dxa"/>
            <w:vAlign w:val="center"/>
          </w:tcPr>
          <w:p w14:paraId="5A7DE5EF" w14:textId="6493FA45"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1 412</w:t>
            </w:r>
          </w:p>
        </w:tc>
        <w:tc>
          <w:tcPr>
            <w:tcW w:w="1813" w:type="dxa"/>
            <w:vAlign w:val="center"/>
          </w:tcPr>
          <w:p w14:paraId="2AEADF30" w14:textId="0B141583"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F80F45B" w14:textId="4BED8720"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11</w:t>
            </w:r>
          </w:p>
        </w:tc>
      </w:tr>
      <w:tr w:rsidR="00BC2450" w14:paraId="25F93976" w14:textId="77777777" w:rsidTr="008972A8">
        <w:tc>
          <w:tcPr>
            <w:tcW w:w="1812" w:type="dxa"/>
            <w:vAlign w:val="center"/>
          </w:tcPr>
          <w:p w14:paraId="050B6834" w14:textId="3AC427FC"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2021</w:t>
            </w:r>
          </w:p>
        </w:tc>
        <w:tc>
          <w:tcPr>
            <w:tcW w:w="1812" w:type="dxa"/>
            <w:vAlign w:val="center"/>
          </w:tcPr>
          <w:p w14:paraId="21A93B34" w14:textId="22E762C1"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21 132</w:t>
            </w:r>
          </w:p>
        </w:tc>
        <w:tc>
          <w:tcPr>
            <w:tcW w:w="1812" w:type="dxa"/>
            <w:vAlign w:val="center"/>
          </w:tcPr>
          <w:p w14:paraId="74510916" w14:textId="3513FB74"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1 559</w:t>
            </w:r>
          </w:p>
        </w:tc>
        <w:tc>
          <w:tcPr>
            <w:tcW w:w="1813" w:type="dxa"/>
            <w:vAlign w:val="center"/>
          </w:tcPr>
          <w:p w14:paraId="63D690F8" w14:textId="129F6444"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1 050</w:t>
            </w:r>
          </w:p>
        </w:tc>
        <w:tc>
          <w:tcPr>
            <w:tcW w:w="1813" w:type="dxa"/>
            <w:vAlign w:val="center"/>
          </w:tcPr>
          <w:p w14:paraId="39845D39" w14:textId="6EC246B7" w:rsidR="00BC2450" w:rsidRPr="00B56C2A" w:rsidRDefault="00BC2450"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10</w:t>
            </w:r>
          </w:p>
        </w:tc>
      </w:tr>
      <w:tr w:rsidR="00306C52" w14:paraId="5A0BD1E9" w14:textId="77777777" w:rsidTr="008972A8">
        <w:tc>
          <w:tcPr>
            <w:tcW w:w="1812" w:type="dxa"/>
            <w:vAlign w:val="center"/>
          </w:tcPr>
          <w:p w14:paraId="767FA2E7" w14:textId="53B64223" w:rsidR="00306C52" w:rsidRDefault="00306C52"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2022</w:t>
            </w:r>
          </w:p>
        </w:tc>
        <w:tc>
          <w:tcPr>
            <w:tcW w:w="1812" w:type="dxa"/>
            <w:vAlign w:val="center"/>
          </w:tcPr>
          <w:p w14:paraId="199966F7" w14:textId="537060E2" w:rsidR="00306C52" w:rsidRDefault="00E13E9E"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21 346</w:t>
            </w:r>
          </w:p>
        </w:tc>
        <w:tc>
          <w:tcPr>
            <w:tcW w:w="1812" w:type="dxa"/>
            <w:vAlign w:val="center"/>
          </w:tcPr>
          <w:p w14:paraId="2D0FCCB3" w14:textId="5E79719D" w:rsidR="00306C52" w:rsidRDefault="007F4E72"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1 316</w:t>
            </w:r>
          </w:p>
        </w:tc>
        <w:tc>
          <w:tcPr>
            <w:tcW w:w="1813" w:type="dxa"/>
            <w:vAlign w:val="center"/>
          </w:tcPr>
          <w:p w14:paraId="522CC6FE" w14:textId="4DECC6D0" w:rsidR="00306C52" w:rsidRDefault="00FC3C85"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1 003</w:t>
            </w:r>
          </w:p>
        </w:tc>
        <w:tc>
          <w:tcPr>
            <w:tcW w:w="1813" w:type="dxa"/>
            <w:vAlign w:val="center"/>
          </w:tcPr>
          <w:p w14:paraId="1ADAE18E" w14:textId="392A10E2" w:rsidR="00306C52" w:rsidRDefault="00FC3C85" w:rsidP="008972A8">
            <w:pPr>
              <w:pStyle w:val="NormalnyWeb"/>
              <w:tabs>
                <w:tab w:val="left" w:pos="284"/>
              </w:tabs>
              <w:spacing w:beforeAutospacing="0" w:after="120" w:afterAutospacing="0" w:line="360" w:lineRule="auto"/>
              <w:jc w:val="center"/>
              <w:rPr>
                <w:rFonts w:ascii="Arial" w:hAnsi="Arial" w:cs="Arial"/>
              </w:rPr>
            </w:pPr>
            <w:r>
              <w:rPr>
                <w:rFonts w:ascii="Arial" w:hAnsi="Arial" w:cs="Arial"/>
              </w:rPr>
              <w:t>17</w:t>
            </w:r>
          </w:p>
        </w:tc>
      </w:tr>
    </w:tbl>
    <w:p w14:paraId="2F72A9A1" w14:textId="4B8CCCAC" w:rsidR="00953B2F" w:rsidRDefault="00E54725" w:rsidP="00C870E9">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Kontrolą objęto wykonywanie zabiegów z zastosowaniem statków powietrznych. </w:t>
      </w:r>
      <w:r w:rsidR="00953B2F" w:rsidRPr="00953B2F">
        <w:rPr>
          <w:rFonts w:ascii="Arial" w:hAnsi="Arial" w:cs="Arial"/>
        </w:rPr>
        <w:t>W latach 2018 – 2022 r. (po weryfikacji danych przez PIORiN) zabiegi agrolotnicze zostały wykonane na obszarze od 11 do 16 województw, obejmując łącznie powierzchnię od 48 869 ha w 2020 do 233 945 ha w 2019 r.</w:t>
      </w:r>
    </w:p>
    <w:p w14:paraId="686CC0F2" w14:textId="52DA443A" w:rsidR="00A1705C" w:rsidRDefault="0008768B" w:rsidP="00E06F82">
      <w:pPr>
        <w:pStyle w:val="NormalnyWeb"/>
        <w:tabs>
          <w:tab w:val="left" w:pos="284"/>
        </w:tabs>
        <w:spacing w:beforeAutospacing="0" w:after="120" w:afterAutospacing="0" w:line="360" w:lineRule="auto"/>
        <w:ind w:firstLine="284"/>
        <w:jc w:val="both"/>
        <w:rPr>
          <w:rFonts w:ascii="Arial" w:hAnsi="Arial" w:cs="Arial"/>
        </w:rPr>
      </w:pPr>
      <w:r w:rsidRPr="0008768B">
        <w:rPr>
          <w:rFonts w:ascii="Arial" w:hAnsi="Arial" w:cs="Arial"/>
        </w:rPr>
        <w:t>Do zwalczania organizmów szkodliwych w drzewostanach iglastych i liściastych zastosowano środki ochrony roślin: Mospilan 20 SP, Dimilin 480 SC oraz Foray 76 B</w:t>
      </w:r>
      <w:r w:rsidR="00F8234B">
        <w:rPr>
          <w:rFonts w:ascii="Arial" w:hAnsi="Arial" w:cs="Arial"/>
        </w:rPr>
        <w:t>.</w:t>
      </w:r>
    </w:p>
    <w:p w14:paraId="3B11753B" w14:textId="3A8FA656" w:rsidR="005D2592" w:rsidRPr="005D2592" w:rsidRDefault="005D2592" w:rsidP="005D2592">
      <w:pPr>
        <w:pStyle w:val="NormalnyWeb"/>
        <w:tabs>
          <w:tab w:val="left" w:pos="284"/>
        </w:tabs>
        <w:spacing w:beforeAutospacing="0" w:after="120" w:afterAutospacing="0" w:line="360" w:lineRule="auto"/>
        <w:ind w:firstLine="284"/>
        <w:jc w:val="both"/>
        <w:rPr>
          <w:rFonts w:ascii="Arial" w:hAnsi="Arial" w:cs="Arial"/>
        </w:rPr>
      </w:pPr>
      <w:r w:rsidRPr="005D2592">
        <w:rPr>
          <w:rFonts w:ascii="Arial" w:hAnsi="Arial" w:cs="Arial"/>
        </w:rPr>
        <w:t xml:space="preserve">W ramach urzędowej kontroli </w:t>
      </w:r>
      <w:r>
        <w:rPr>
          <w:rFonts w:ascii="Arial" w:hAnsi="Arial" w:cs="Arial"/>
        </w:rPr>
        <w:t>w latach 2018-202</w:t>
      </w:r>
      <w:r w:rsidR="00596845">
        <w:rPr>
          <w:rFonts w:ascii="Arial" w:hAnsi="Arial" w:cs="Arial"/>
        </w:rPr>
        <w:t>2</w:t>
      </w:r>
      <w:r>
        <w:rPr>
          <w:rFonts w:ascii="Arial" w:hAnsi="Arial" w:cs="Arial"/>
        </w:rPr>
        <w:t xml:space="preserve"> próbki płodów rolnych badano</w:t>
      </w:r>
      <w:r w:rsidRPr="005D2592">
        <w:rPr>
          <w:rFonts w:ascii="Arial" w:hAnsi="Arial" w:cs="Arial"/>
        </w:rPr>
        <w:t xml:space="preserve"> pod kątem </w:t>
      </w:r>
      <w:r>
        <w:rPr>
          <w:rFonts w:ascii="Arial" w:hAnsi="Arial" w:cs="Arial"/>
        </w:rPr>
        <w:t xml:space="preserve">obecności </w:t>
      </w:r>
      <w:r w:rsidRPr="005D2592">
        <w:rPr>
          <w:rFonts w:ascii="Arial" w:hAnsi="Arial" w:cs="Arial"/>
        </w:rPr>
        <w:t>pozostałości środków ochrony roślin</w:t>
      </w:r>
      <w:r>
        <w:rPr>
          <w:rFonts w:ascii="Arial" w:hAnsi="Arial" w:cs="Arial"/>
        </w:rPr>
        <w:t>.</w:t>
      </w:r>
    </w:p>
    <w:p w14:paraId="45196DAC" w14:textId="5D923AE3"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Pr="00925BCD">
        <w:rPr>
          <w:rFonts w:ascii="Arial" w:hAnsi="Arial" w:cs="Arial"/>
          <w:b/>
        </w:rPr>
        <w:t>2018 r.</w:t>
      </w:r>
      <w:r w:rsidRPr="00925BCD">
        <w:rPr>
          <w:rFonts w:ascii="Arial" w:hAnsi="Arial" w:cs="Arial"/>
        </w:rPr>
        <w:t xml:space="preserve"> pod kątem pozostałości środków ochrony roślin </w:t>
      </w:r>
      <w:r w:rsidR="005D2592">
        <w:rPr>
          <w:rFonts w:ascii="Arial" w:hAnsi="Arial" w:cs="Arial"/>
        </w:rPr>
        <w:t xml:space="preserve">przebadano </w:t>
      </w:r>
      <w:r w:rsidRPr="00925BCD">
        <w:rPr>
          <w:rFonts w:ascii="Arial" w:hAnsi="Arial" w:cs="Arial"/>
          <w:b/>
        </w:rPr>
        <w:t>3 149 próbek płodów rolnych</w:t>
      </w:r>
      <w:r w:rsidRPr="00925BCD">
        <w:rPr>
          <w:rFonts w:ascii="Arial" w:hAnsi="Arial" w:cs="Arial"/>
        </w:rPr>
        <w:t xml:space="preserve">, w tym 1 167 próbek owoców i 1  244 próbek warzyw. 1 440 próbek (45,7%) nie zawierało </w:t>
      </w:r>
      <w:r w:rsidRPr="00925BCD">
        <w:rPr>
          <w:rFonts w:ascii="Arial" w:hAnsi="Arial" w:cs="Arial"/>
        </w:rPr>
        <w:lastRenderedPageBreak/>
        <w:t>pozostałości środków ochrony roślin, w 1 295 próbkach (41,1%) wykryto pozostałości pozostające poniżej najwyższych dopuszczalnych poziomów pozostałości (NDP) zawierających środki ochrony roślin dopuszczone dla danej uprawy, natomiast w 346 próbkach (11 %) oznaczono pozostałości poniżej NDP środków ochrony roślin niedopuszczonych do danej uprawy.</w:t>
      </w:r>
    </w:p>
    <w:p w14:paraId="7B914A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Łącznie, na 3 149 przebadanych próbek, </w:t>
      </w:r>
      <w:r w:rsidRPr="00925BCD">
        <w:rPr>
          <w:rFonts w:ascii="Arial" w:hAnsi="Arial" w:cs="Arial"/>
          <w:b/>
        </w:rPr>
        <w:t>przekroczenia najwyższych dopuszczalnych poziomów (NDP) zastosowanych środków ochrony roślin stwierdzono w 68 próbkach (2,16 %).</w:t>
      </w:r>
      <w:r w:rsidRPr="00925BCD">
        <w:rPr>
          <w:rFonts w:ascii="Arial" w:hAnsi="Arial" w:cs="Arial"/>
        </w:rPr>
        <w:t xml:space="preserve"> </w:t>
      </w:r>
    </w:p>
    <w:p w14:paraId="0FE61915"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Przekroczenia NDP stwierdzono w owocach jabłoni, porzeczki, agrestu, malin, wiśni, w kapuście pekińskiej, brokule, buraku ćwikłowym, grochu zielonym, kapuście głowiastej, kapuście brukselskiej, koprze, pasternaku, pietruszce, pomidorach, marchwi, rukoli, selerze, ogórkach, szpinaku, pszenicy i soi.</w:t>
      </w:r>
    </w:p>
    <w:p w14:paraId="095CF8E6"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urzędowej kontroli przebadano </w:t>
      </w:r>
      <w:r w:rsidRPr="00925BCD">
        <w:rPr>
          <w:rFonts w:ascii="Arial" w:hAnsi="Arial" w:cs="Arial"/>
          <w:b/>
        </w:rPr>
        <w:t>w 2019 r</w:t>
      </w:r>
      <w:r w:rsidRPr="00925BCD">
        <w:rPr>
          <w:rFonts w:ascii="Arial" w:hAnsi="Arial" w:cs="Arial"/>
        </w:rPr>
        <w:t>. pod kątem pozostałości środków ochrony roślin 3 228 próbek płodów rolnych, w tym 1 074 próbki owoców i 1  204 próbki warzyw. 1 480 próbek (45,9%) nie zawierało pozostałości środków ochrony roślin, w 1 221 próbkach (37,8%) wykryto pozostałości pozostające poniżej najwyższych dopuszczalnych poziomów pozostałości (NDP) zawierających środki ochrony roślin dopuszczone dla danej uprawy, natomiast w 410 próbkach (12,7%) oznaczono pozostałości poniżej NDP środków ochrony roślin niedopuszczonych do danej uprawy.</w:t>
      </w:r>
    </w:p>
    <w:p w14:paraId="4EC540DB"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bookmarkStart w:id="147" w:name="_Hlk96081631"/>
      <w:r w:rsidRPr="00925BCD">
        <w:rPr>
          <w:rFonts w:ascii="Arial" w:hAnsi="Arial" w:cs="Arial"/>
        </w:rPr>
        <w:t xml:space="preserve">Łącznie, na 3 228 przebadanych próbek, </w:t>
      </w:r>
      <w:r w:rsidRPr="00925BCD">
        <w:rPr>
          <w:rFonts w:ascii="Arial" w:hAnsi="Arial" w:cs="Arial"/>
          <w:b/>
        </w:rPr>
        <w:t>przekroczenia najwyższych dopuszczalnych poziomów (NDP) zastosowanych środków ochrony roślin stwierdzono w 117 próbkach (3,6%).</w:t>
      </w:r>
      <w:r w:rsidRPr="00925BCD">
        <w:rPr>
          <w:rFonts w:ascii="Arial" w:hAnsi="Arial" w:cs="Arial"/>
        </w:rPr>
        <w:t xml:space="preserve"> </w:t>
      </w:r>
    </w:p>
    <w:bookmarkEnd w:id="147"/>
    <w:p w14:paraId="0055FF55" w14:textId="79054050" w:rsidR="00A1314F" w:rsidRDefault="00A1314F"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Przekroczenia NDP stwierdzono w selerze, pietruszce, koprze, agreście, porzeczce czarnej, malinie, kapuście pekińskiej, pasternaku, gryce, jarmużu, szpinaku, brokule, cebuli siedmiolatce, kapuście brukselskiej, ogórku gruntowym, prosie, rukoli, wiśni, bobie, buraku cukrowym, czereśni, grochu, gruszce, jabłku, kminku, koprze włoskim, kukurydzy, moreli, papryce, pomidorze, porzeczce czerwonej, pszenicy, truskawce, winogronach i ziemniakach.</w:t>
      </w:r>
    </w:p>
    <w:p w14:paraId="59813EFD" w14:textId="27394408" w:rsidR="0023200B" w:rsidRDefault="0023200B" w:rsidP="00EC2F01">
      <w:pPr>
        <w:pStyle w:val="NormalnyWeb"/>
        <w:tabs>
          <w:tab w:val="left" w:pos="284"/>
        </w:tabs>
        <w:spacing w:beforeAutospacing="0" w:after="120" w:afterAutospacing="0" w:line="360" w:lineRule="auto"/>
        <w:ind w:firstLine="284"/>
        <w:jc w:val="both"/>
        <w:rPr>
          <w:rFonts w:ascii="Arial" w:hAnsi="Arial" w:cs="Arial"/>
        </w:rPr>
      </w:pPr>
      <w:r w:rsidRPr="0023200B">
        <w:rPr>
          <w:rFonts w:ascii="Arial" w:hAnsi="Arial" w:cs="Arial"/>
        </w:rPr>
        <w:t xml:space="preserve">Przypadki przekroczeń najwyższych dopuszczalnych poziomów pozostałości w próbkach spełniających kryteria żywności, objęte były procedurą powiadamiania zgodnie z Systemem Wczesnego Ostrzegania o Niebezpiecznej Żywności i Paszach – RASFF. W 2019 r. Główny Inspektorat Ochrony Roślin i Nasiennictwa otrzymał 21 powiadomień RASFF, które dotyczyły w 4 przypadkach pietruszki </w:t>
      </w:r>
      <w:r w:rsidR="00B56C2A" w:rsidRPr="0023200B">
        <w:rPr>
          <w:rFonts w:ascii="Arial" w:hAnsi="Arial" w:cs="Arial"/>
        </w:rPr>
        <w:t>i</w:t>
      </w:r>
      <w:r w:rsidR="00B56C2A">
        <w:rPr>
          <w:rFonts w:ascii="Arial" w:hAnsi="Arial" w:cs="Arial"/>
        </w:rPr>
        <w:t> </w:t>
      </w:r>
      <w:r w:rsidRPr="0023200B">
        <w:rPr>
          <w:rFonts w:ascii="Arial" w:hAnsi="Arial" w:cs="Arial"/>
        </w:rPr>
        <w:t>selera, w 2 – jabłek agrestu i prosa oraz po 1 grochu, gryki, kukurydzy, pomidorów, porzeczki czarnej, pszenicy i ziemniaka.</w:t>
      </w:r>
    </w:p>
    <w:p w14:paraId="61020E26" w14:textId="31B2A3D4" w:rsidR="006D456B" w:rsidRDefault="006D456B" w:rsidP="00EC2F01">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rPr>
        <w:t>Zwiększony poziom przekroczeń najwyższych dopuszczalnych p</w:t>
      </w:r>
      <w:r>
        <w:rPr>
          <w:rFonts w:ascii="Arial" w:hAnsi="Arial" w:cs="Arial"/>
        </w:rPr>
        <w:t xml:space="preserve">oziomów NDP w 2019 r. wynikał </w:t>
      </w:r>
      <w:r w:rsidR="00B56C2A">
        <w:rPr>
          <w:rFonts w:ascii="Arial" w:hAnsi="Arial" w:cs="Arial"/>
        </w:rPr>
        <w:t>z </w:t>
      </w:r>
      <w:r w:rsidRPr="006D456B">
        <w:rPr>
          <w:rFonts w:ascii="Arial" w:hAnsi="Arial" w:cs="Arial"/>
        </w:rPr>
        <w:t xml:space="preserve">nieprawidłowego stosowania przez rolników </w:t>
      </w:r>
      <w:r>
        <w:rPr>
          <w:rFonts w:ascii="Arial" w:hAnsi="Arial" w:cs="Arial"/>
        </w:rPr>
        <w:t>środków ochrony roślin na bazie</w:t>
      </w:r>
      <w:r w:rsidRPr="006D456B">
        <w:rPr>
          <w:rFonts w:ascii="Arial" w:hAnsi="Arial" w:cs="Arial"/>
        </w:rPr>
        <w:t xml:space="preserve"> linuronu [wycofany rozporządzeniem wykonawczym Komisji (UE) 2017/244 z dnia 10 lutego 2017 r. w sprawie nieodnowienia zatwierdzenia substancji czynnej linuron, zgodnie z rozporządzeniem Parlamentu Europejskiego i Rady (WE) nr 1107/2009 dotyczącym wprowadzania do obrotu środków ochrony roślin, oraz w sprawie zmiany załącznika do rozporządzenia wykonawczego Komisji (UE) nr 540/2011 2017/244] oraz chloropiryfosu. Należy wskazać, że stosowanie chloropiryfosu w ostatnich latach było stopniowo ograniczane W 2019 r. mógł on być tylko stosowany wyłącznie w uprawie pszenicy, jęczmienia, rzepaku, śliwy, truskawki, ziemniaka, kapusty brukselskiej, kapusty głowiastej, kalafiora </w:t>
      </w:r>
      <w:r w:rsidR="00B56C2A" w:rsidRPr="006D456B">
        <w:rPr>
          <w:rFonts w:ascii="Arial" w:hAnsi="Arial" w:cs="Arial"/>
        </w:rPr>
        <w:lastRenderedPageBreak/>
        <w:t>i</w:t>
      </w:r>
      <w:r w:rsidR="00B56C2A">
        <w:rPr>
          <w:rFonts w:ascii="Arial" w:hAnsi="Arial" w:cs="Arial"/>
        </w:rPr>
        <w:t> </w:t>
      </w:r>
      <w:r w:rsidRPr="006D456B">
        <w:rPr>
          <w:rFonts w:ascii="Arial" w:hAnsi="Arial" w:cs="Arial"/>
        </w:rPr>
        <w:t>brokuła. Analizując wykryte przekroczenia można też zauważyć, że odsetek przekroczeń gdzie stosowano substancje zalecane do ochrony uprawy jest niższy niż tych przekroczeń gdzie w grę wchodziło stosowanie substancji niedopuszczonych do stosowania.</w:t>
      </w:r>
    </w:p>
    <w:p w14:paraId="45A30C50" w14:textId="7385D123" w:rsidR="002F12D8" w:rsidRPr="002477BC" w:rsidRDefault="00800331"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 xml:space="preserve">W ramach urzędowej kontroli przebadano </w:t>
      </w:r>
      <w:r w:rsidRPr="00FE6585">
        <w:rPr>
          <w:rFonts w:ascii="Arial" w:hAnsi="Arial" w:cs="Arial"/>
          <w:b/>
          <w:bCs/>
        </w:rPr>
        <w:t>w 2020 r.</w:t>
      </w:r>
      <w:r w:rsidRPr="002477BC">
        <w:rPr>
          <w:rFonts w:ascii="Arial" w:hAnsi="Arial" w:cs="Arial"/>
        </w:rPr>
        <w:t xml:space="preserve"> pod kątem pozostałości środków ochrony roślin </w:t>
      </w:r>
      <w:r w:rsidR="002F12D8" w:rsidRPr="002477BC">
        <w:rPr>
          <w:rFonts w:ascii="Arial" w:hAnsi="Arial" w:cs="Arial"/>
        </w:rPr>
        <w:t>przebadano</w:t>
      </w:r>
      <w:r w:rsidRPr="002477BC">
        <w:rPr>
          <w:rFonts w:ascii="Arial" w:hAnsi="Arial" w:cs="Arial"/>
        </w:rPr>
        <w:t xml:space="preserve"> 3 103 próbki</w:t>
      </w:r>
      <w:r w:rsidR="006F2C40" w:rsidRPr="002477BC">
        <w:rPr>
          <w:rFonts w:ascii="Arial" w:hAnsi="Arial" w:cs="Arial"/>
        </w:rPr>
        <w:t>, w tym</w:t>
      </w:r>
      <w:r w:rsidR="002F12D8" w:rsidRPr="002477BC">
        <w:rPr>
          <w:rFonts w:ascii="Arial" w:hAnsi="Arial" w:cs="Arial"/>
        </w:rPr>
        <w:t xml:space="preserve"> 949 pr</w:t>
      </w:r>
      <w:r w:rsidR="002F12D8" w:rsidRPr="002477BC">
        <w:rPr>
          <w:rFonts w:ascii="Arial" w:hAnsi="Arial" w:cs="Arial" w:hint="eastAsia"/>
        </w:rPr>
        <w:t>ó</w:t>
      </w:r>
      <w:r w:rsidR="002F12D8" w:rsidRPr="002477BC">
        <w:rPr>
          <w:rFonts w:ascii="Arial" w:hAnsi="Arial" w:cs="Arial"/>
        </w:rPr>
        <w:t>bek owoc</w:t>
      </w:r>
      <w:r w:rsidR="002F12D8" w:rsidRPr="002477BC">
        <w:rPr>
          <w:rFonts w:ascii="Arial" w:hAnsi="Arial" w:cs="Arial" w:hint="eastAsia"/>
        </w:rPr>
        <w:t>ó</w:t>
      </w:r>
      <w:r w:rsidR="002F12D8" w:rsidRPr="002477BC">
        <w:rPr>
          <w:rFonts w:ascii="Arial" w:hAnsi="Arial" w:cs="Arial"/>
        </w:rPr>
        <w:t>w i 1 189 pr</w:t>
      </w:r>
      <w:r w:rsidR="002F12D8" w:rsidRPr="002477BC">
        <w:rPr>
          <w:rFonts w:ascii="Arial" w:hAnsi="Arial" w:cs="Arial" w:hint="eastAsia"/>
        </w:rPr>
        <w:t>ó</w:t>
      </w:r>
      <w:r w:rsidR="002F12D8" w:rsidRPr="002477BC">
        <w:rPr>
          <w:rFonts w:ascii="Arial" w:hAnsi="Arial" w:cs="Arial"/>
        </w:rPr>
        <w:t>bek</w:t>
      </w:r>
      <w:r w:rsidR="00594326" w:rsidRPr="002477BC">
        <w:rPr>
          <w:rFonts w:ascii="Arial" w:hAnsi="Arial" w:cs="Arial"/>
        </w:rPr>
        <w:t xml:space="preserve"> </w:t>
      </w:r>
      <w:r w:rsidR="002F12D8" w:rsidRPr="002477BC">
        <w:rPr>
          <w:rFonts w:ascii="Arial" w:hAnsi="Arial" w:cs="Arial"/>
        </w:rPr>
        <w:t>warzyw.</w:t>
      </w:r>
      <w:r w:rsidR="008813B8" w:rsidRPr="002477BC">
        <w:rPr>
          <w:rFonts w:ascii="Arial" w:hAnsi="Arial" w:cs="Arial"/>
        </w:rPr>
        <w:t xml:space="preserve"> </w:t>
      </w:r>
      <w:r w:rsidR="002F12D8" w:rsidRPr="002477BC">
        <w:rPr>
          <w:rFonts w:ascii="Arial" w:hAnsi="Arial" w:cs="Arial"/>
        </w:rPr>
        <w:t>1</w:t>
      </w:r>
      <w:r w:rsidR="005A0859">
        <w:rPr>
          <w:rFonts w:ascii="Arial" w:hAnsi="Arial" w:cs="Arial"/>
        </w:rPr>
        <w:t> </w:t>
      </w:r>
      <w:r w:rsidR="002F12D8" w:rsidRPr="002477BC">
        <w:rPr>
          <w:rFonts w:ascii="Arial" w:hAnsi="Arial" w:cs="Arial"/>
        </w:rPr>
        <w:t>516 (48,8%) nie zawiera</w:t>
      </w:r>
      <w:r w:rsidR="002F12D8" w:rsidRPr="002477BC">
        <w:rPr>
          <w:rFonts w:ascii="Arial" w:hAnsi="Arial" w:cs="Arial" w:hint="eastAsia"/>
        </w:rPr>
        <w:t>ł</w:t>
      </w:r>
      <w:r w:rsidR="002F12D8" w:rsidRPr="002477BC">
        <w:rPr>
          <w:rFonts w:ascii="Arial" w:hAnsi="Arial" w:cs="Arial"/>
        </w:rPr>
        <w: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w:t>
      </w:r>
      <w:r w:rsidR="00594326" w:rsidRPr="002477BC">
        <w:rPr>
          <w:rFonts w:ascii="Arial" w:hAnsi="Arial" w:cs="Arial"/>
        </w:rPr>
        <w:t xml:space="preserve"> </w:t>
      </w:r>
      <w:r w:rsidR="002F12D8" w:rsidRPr="002477BC">
        <w:rPr>
          <w:rFonts w:ascii="Arial" w:hAnsi="Arial" w:cs="Arial"/>
        </w:rPr>
        <w:t>ochrony ro</w:t>
      </w:r>
      <w:r w:rsidR="002F12D8" w:rsidRPr="002477BC">
        <w:rPr>
          <w:rFonts w:ascii="Arial" w:hAnsi="Arial" w:cs="Arial" w:hint="eastAsia"/>
        </w:rPr>
        <w:t>ś</w:t>
      </w:r>
      <w:r w:rsidR="002F12D8" w:rsidRPr="002477BC">
        <w:rPr>
          <w:rFonts w:ascii="Arial" w:hAnsi="Arial" w:cs="Arial"/>
        </w:rPr>
        <w:t>lin</w:t>
      </w:r>
      <w:r w:rsidR="0011257F" w:rsidRPr="002477BC">
        <w:rPr>
          <w:rFonts w:ascii="Arial" w:hAnsi="Arial" w:cs="Arial"/>
        </w:rPr>
        <w:t>, w</w:t>
      </w:r>
      <w:r w:rsidR="002F12D8" w:rsidRPr="002477BC">
        <w:rPr>
          <w:rFonts w:ascii="Arial" w:hAnsi="Arial" w:cs="Arial"/>
        </w:rPr>
        <w:t xml:space="preserve"> 1</w:t>
      </w:r>
      <w:r w:rsidR="005A0859">
        <w:rPr>
          <w:rFonts w:ascii="Arial" w:hAnsi="Arial" w:cs="Arial"/>
        </w:rPr>
        <w:t> </w:t>
      </w:r>
      <w:r w:rsidR="002F12D8" w:rsidRPr="002477BC">
        <w:rPr>
          <w:rFonts w:ascii="Arial" w:hAnsi="Arial" w:cs="Arial"/>
        </w:rPr>
        <w:t>520 pr</w:t>
      </w:r>
      <w:r w:rsidR="002F12D8" w:rsidRPr="002477BC">
        <w:rPr>
          <w:rFonts w:ascii="Arial" w:hAnsi="Arial" w:cs="Arial" w:hint="eastAsia"/>
        </w:rPr>
        <w:t>ó</w:t>
      </w:r>
      <w:r w:rsidR="002F12D8" w:rsidRPr="002477BC">
        <w:rPr>
          <w:rFonts w:ascii="Arial" w:hAnsi="Arial" w:cs="Arial"/>
        </w:rPr>
        <w:t>bkach (49%) wykryto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ci pozostaj</w:t>
      </w:r>
      <w:r w:rsidR="002F12D8" w:rsidRPr="002477BC">
        <w:rPr>
          <w:rFonts w:ascii="Arial" w:hAnsi="Arial" w:cs="Arial" w:hint="eastAsia"/>
        </w:rPr>
        <w:t>ą</w:t>
      </w:r>
      <w:r w:rsidR="002F12D8" w:rsidRPr="002477BC">
        <w:rPr>
          <w:rFonts w:ascii="Arial" w:hAnsi="Arial" w:cs="Arial"/>
        </w:rPr>
        <w:t>ce poni</w:t>
      </w:r>
      <w:r w:rsidR="002F12D8" w:rsidRPr="002477BC">
        <w:rPr>
          <w:rFonts w:ascii="Arial" w:hAnsi="Arial" w:cs="Arial" w:hint="eastAsia"/>
        </w:rPr>
        <w:t>ż</w:t>
      </w:r>
      <w:r w:rsidR="002F12D8" w:rsidRPr="002477BC">
        <w:rPr>
          <w:rFonts w:ascii="Arial" w:hAnsi="Arial" w:cs="Arial"/>
        </w:rPr>
        <w:t>ej najwy</w:t>
      </w:r>
      <w:r w:rsidR="002F12D8" w:rsidRPr="002477BC">
        <w:rPr>
          <w:rFonts w:ascii="Arial" w:hAnsi="Arial" w:cs="Arial" w:hint="eastAsia"/>
        </w:rPr>
        <w:t>ż</w:t>
      </w:r>
      <w:r w:rsidR="002F12D8" w:rsidRPr="002477BC">
        <w:rPr>
          <w:rFonts w:ascii="Arial" w:hAnsi="Arial" w:cs="Arial"/>
        </w:rPr>
        <w:t>szych</w:t>
      </w:r>
      <w:r w:rsidR="00594326" w:rsidRPr="002477BC">
        <w:rPr>
          <w:rFonts w:ascii="Arial" w:hAnsi="Arial" w:cs="Arial"/>
        </w:rPr>
        <w:t xml:space="preserve"> </w:t>
      </w:r>
      <w:r w:rsidR="002F12D8" w:rsidRPr="002477BC">
        <w:rPr>
          <w:rFonts w:ascii="Arial" w:hAnsi="Arial" w:cs="Arial"/>
        </w:rPr>
        <w:t>dopuszczalnych poziom</w:t>
      </w:r>
      <w:r w:rsidR="002F12D8" w:rsidRPr="002477BC">
        <w:rPr>
          <w:rFonts w:ascii="Arial" w:hAnsi="Arial" w:cs="Arial" w:hint="eastAsia"/>
        </w:rPr>
        <w:t>ó</w:t>
      </w:r>
      <w:r w:rsidR="002F12D8" w:rsidRPr="002477BC">
        <w:rPr>
          <w:rFonts w:ascii="Arial" w:hAnsi="Arial" w:cs="Arial"/>
        </w:rPr>
        <w:t>w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(NDP)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 ochrony ro</w:t>
      </w:r>
      <w:r w:rsidR="002F12D8" w:rsidRPr="002477BC">
        <w:rPr>
          <w:rFonts w:ascii="Arial" w:hAnsi="Arial" w:cs="Arial" w:hint="eastAsia"/>
        </w:rPr>
        <w:t>ś</w:t>
      </w:r>
      <w:r w:rsidR="002F12D8" w:rsidRPr="002477BC">
        <w:rPr>
          <w:rFonts w:ascii="Arial" w:hAnsi="Arial" w:cs="Arial"/>
        </w:rPr>
        <w:t>lin. W 397 pr</w:t>
      </w:r>
      <w:r w:rsidR="002F12D8" w:rsidRPr="002477BC">
        <w:rPr>
          <w:rFonts w:ascii="Arial" w:hAnsi="Arial" w:cs="Arial" w:hint="eastAsia"/>
        </w:rPr>
        <w:t>ó</w:t>
      </w:r>
      <w:r w:rsidR="002F12D8" w:rsidRPr="002477BC">
        <w:rPr>
          <w:rFonts w:ascii="Arial" w:hAnsi="Arial" w:cs="Arial"/>
        </w:rPr>
        <w:t>bkach</w:t>
      </w:r>
      <w:r w:rsidR="00594326" w:rsidRPr="002477BC">
        <w:rPr>
          <w:rFonts w:ascii="Arial" w:hAnsi="Arial" w:cs="Arial"/>
        </w:rPr>
        <w:t xml:space="preserve"> </w:t>
      </w:r>
      <w:r w:rsidR="002F12D8" w:rsidRPr="002477BC">
        <w:rPr>
          <w:rFonts w:ascii="Arial" w:hAnsi="Arial" w:cs="Arial"/>
        </w:rPr>
        <w:t>(12,8%) stwierdzono obecno</w:t>
      </w:r>
      <w:r w:rsidR="002F12D8" w:rsidRPr="002477BC">
        <w:rPr>
          <w:rFonts w:ascii="Arial" w:hAnsi="Arial" w:cs="Arial" w:hint="eastAsia"/>
        </w:rPr>
        <w:t>ść</w:t>
      </w:r>
      <w:r w:rsidR="002F12D8" w:rsidRPr="002477BC">
        <w:rPr>
          <w:rFonts w:ascii="Arial" w:hAnsi="Arial" w:cs="Arial"/>
        </w:rPr>
        <w:t xml:space="preserve"> substancji czynnych niedozwolonych do stosowania w danej</w:t>
      </w:r>
      <w:r w:rsidR="00594326" w:rsidRPr="002477BC">
        <w:rPr>
          <w:rFonts w:ascii="Arial" w:hAnsi="Arial" w:cs="Arial"/>
        </w:rPr>
        <w:t xml:space="preserve"> </w:t>
      </w:r>
      <w:r w:rsidR="002F12D8" w:rsidRPr="002477BC">
        <w:rPr>
          <w:rFonts w:ascii="Arial" w:hAnsi="Arial" w:cs="Arial"/>
        </w:rPr>
        <w:t>uprawie.</w:t>
      </w:r>
    </w:p>
    <w:p w14:paraId="72BF8E86" w14:textId="381C2D17" w:rsidR="000C4A21" w:rsidRPr="002477BC" w:rsidRDefault="000C4A21" w:rsidP="000C4A21">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Łącznie, na 3 103 przebadan</w:t>
      </w:r>
      <w:r w:rsidR="00C14671" w:rsidRPr="002477BC">
        <w:rPr>
          <w:rFonts w:ascii="Arial" w:hAnsi="Arial" w:cs="Arial"/>
        </w:rPr>
        <w:t>e</w:t>
      </w:r>
      <w:r w:rsidRPr="002477BC">
        <w:rPr>
          <w:rFonts w:ascii="Arial" w:hAnsi="Arial" w:cs="Arial"/>
        </w:rPr>
        <w:t xml:space="preserve"> próbk</w:t>
      </w:r>
      <w:r w:rsidR="00C14671" w:rsidRPr="002477BC">
        <w:rPr>
          <w:rFonts w:ascii="Arial" w:hAnsi="Arial" w:cs="Arial"/>
        </w:rPr>
        <w:t>i</w:t>
      </w:r>
      <w:r w:rsidRPr="002477BC">
        <w:rPr>
          <w:rFonts w:ascii="Arial" w:hAnsi="Arial" w:cs="Arial"/>
        </w:rPr>
        <w:t xml:space="preserve">, </w:t>
      </w:r>
      <w:r w:rsidRPr="00F40B85">
        <w:rPr>
          <w:rFonts w:ascii="Arial" w:hAnsi="Arial" w:cs="Arial"/>
          <w:b/>
          <w:bCs/>
        </w:rPr>
        <w:t xml:space="preserve">przekroczenia najwyższych dopuszczalnych poziomów (NDP) zastosowanych środków ochrony roślin stwierdzono w </w:t>
      </w:r>
      <w:r w:rsidR="00C14671" w:rsidRPr="00F40B85">
        <w:rPr>
          <w:rFonts w:ascii="Arial" w:hAnsi="Arial" w:cs="Arial"/>
          <w:b/>
          <w:bCs/>
        </w:rPr>
        <w:t>67</w:t>
      </w:r>
      <w:r w:rsidRPr="00F40B85">
        <w:rPr>
          <w:rFonts w:ascii="Arial" w:hAnsi="Arial" w:cs="Arial"/>
          <w:b/>
          <w:bCs/>
        </w:rPr>
        <w:t xml:space="preserve"> próbkach (</w:t>
      </w:r>
      <w:r w:rsidR="00C14671" w:rsidRPr="00F40B85">
        <w:rPr>
          <w:rFonts w:ascii="Arial" w:hAnsi="Arial" w:cs="Arial"/>
          <w:b/>
          <w:bCs/>
        </w:rPr>
        <w:t>2,2</w:t>
      </w:r>
      <w:r w:rsidRPr="00F40B85">
        <w:rPr>
          <w:rFonts w:ascii="Arial" w:hAnsi="Arial" w:cs="Arial"/>
          <w:b/>
          <w:bCs/>
        </w:rPr>
        <w:t>%).</w:t>
      </w:r>
      <w:r w:rsidRPr="002477BC">
        <w:rPr>
          <w:rFonts w:ascii="Arial" w:hAnsi="Arial" w:cs="Arial"/>
        </w:rPr>
        <w:t xml:space="preserve"> </w:t>
      </w:r>
    </w:p>
    <w:p w14:paraId="353D4978" w14:textId="583E3A2D" w:rsidR="002F12D8" w:rsidRPr="002477BC"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Przekroczenia NDP stwierdzono w: agre</w:t>
      </w:r>
      <w:r w:rsidRPr="002477BC">
        <w:rPr>
          <w:rFonts w:ascii="Arial" w:hAnsi="Arial" w:cs="Arial" w:hint="eastAsia"/>
        </w:rPr>
        <w:t>ś</w:t>
      </w:r>
      <w:r w:rsidRPr="002477BC">
        <w:rPr>
          <w:rFonts w:ascii="Arial" w:hAnsi="Arial" w:cs="Arial"/>
        </w:rPr>
        <w:t xml:space="preserve">cie, bobie, buraku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owym, brokule, cebuli</w:t>
      </w:r>
      <w:r w:rsidR="00594326" w:rsidRPr="002477BC">
        <w:rPr>
          <w:rFonts w:ascii="Arial" w:hAnsi="Arial" w:cs="Arial"/>
        </w:rPr>
        <w:t xml:space="preserve"> </w:t>
      </w:r>
      <w:r w:rsidRPr="002477BC">
        <w:rPr>
          <w:rFonts w:ascii="Arial" w:hAnsi="Arial" w:cs="Arial"/>
        </w:rPr>
        <w:t>siedmiolatce, gryce, jab</w:t>
      </w:r>
      <w:r w:rsidRPr="002477BC">
        <w:rPr>
          <w:rFonts w:ascii="Arial" w:hAnsi="Arial" w:cs="Arial" w:hint="eastAsia"/>
        </w:rPr>
        <w:t>ł</w:t>
      </w:r>
      <w:r w:rsidRPr="002477BC">
        <w:rPr>
          <w:rFonts w:ascii="Arial" w:hAnsi="Arial" w:cs="Arial"/>
        </w:rPr>
        <w:t>kach, jarmu</w:t>
      </w:r>
      <w:r w:rsidRPr="002477BC">
        <w:rPr>
          <w:rFonts w:ascii="Arial" w:hAnsi="Arial" w:cs="Arial" w:hint="eastAsia"/>
        </w:rPr>
        <w:t>ż</w:t>
      </w:r>
      <w:r w:rsidRPr="002477BC">
        <w:rPr>
          <w:rFonts w:ascii="Arial" w:hAnsi="Arial" w:cs="Arial"/>
        </w:rPr>
        <w:t>u, j</w:t>
      </w:r>
      <w:r w:rsidRPr="002477BC">
        <w:rPr>
          <w:rFonts w:ascii="Arial" w:hAnsi="Arial" w:cs="Arial" w:hint="eastAsia"/>
        </w:rPr>
        <w:t>ę</w:t>
      </w:r>
      <w:r w:rsidRPr="002477BC">
        <w:rPr>
          <w:rFonts w:ascii="Arial" w:hAnsi="Arial" w:cs="Arial"/>
        </w:rPr>
        <w:t>czmieniu, kapu</w:t>
      </w:r>
      <w:r w:rsidRPr="002477BC">
        <w:rPr>
          <w:rFonts w:ascii="Arial" w:hAnsi="Arial" w:cs="Arial" w:hint="eastAsia"/>
        </w:rPr>
        <w:t>ś</w:t>
      </w:r>
      <w:r w:rsidRPr="002477BC">
        <w:rPr>
          <w:rFonts w:ascii="Arial" w:hAnsi="Arial" w:cs="Arial"/>
        </w:rPr>
        <w:t>cie peki</w:t>
      </w:r>
      <w:r w:rsidRPr="002477BC">
        <w:rPr>
          <w:rFonts w:ascii="Arial" w:hAnsi="Arial" w:cs="Arial" w:hint="eastAsia"/>
        </w:rPr>
        <w:t>ń</w:t>
      </w:r>
      <w:r w:rsidRPr="002477BC">
        <w:rPr>
          <w:rFonts w:ascii="Arial" w:hAnsi="Arial" w:cs="Arial"/>
        </w:rPr>
        <w:t>skiej, kapu</w:t>
      </w:r>
      <w:r w:rsidRPr="002477BC">
        <w:rPr>
          <w:rFonts w:ascii="Arial" w:hAnsi="Arial" w:cs="Arial" w:hint="eastAsia"/>
        </w:rPr>
        <w:t>ś</w:t>
      </w:r>
      <w:r w:rsidRPr="002477BC">
        <w:rPr>
          <w:rFonts w:ascii="Arial" w:hAnsi="Arial" w:cs="Arial"/>
        </w:rPr>
        <w:t>cie brukselce,</w:t>
      </w:r>
      <w:r w:rsidR="00594326" w:rsidRPr="002477BC">
        <w:rPr>
          <w:rFonts w:ascii="Arial" w:hAnsi="Arial" w:cs="Arial"/>
        </w:rPr>
        <w:t xml:space="preserve"> </w:t>
      </w:r>
      <w:r w:rsidRPr="002477BC">
        <w:rPr>
          <w:rFonts w:ascii="Arial" w:hAnsi="Arial" w:cs="Arial"/>
        </w:rPr>
        <w:t>koprze, marchwi, malinach, papryce, pasternaku, korzeniu pietruszki, pomidorze spod os</w:t>
      </w:r>
      <w:r w:rsidRPr="002477BC">
        <w:rPr>
          <w:rFonts w:ascii="Arial" w:hAnsi="Arial" w:cs="Arial" w:hint="eastAsia"/>
        </w:rPr>
        <w:t>ł</w:t>
      </w:r>
      <w:r w:rsidRPr="002477BC">
        <w:rPr>
          <w:rFonts w:ascii="Arial" w:hAnsi="Arial" w:cs="Arial"/>
        </w:rPr>
        <w:t>on,</w:t>
      </w:r>
      <w:r w:rsidR="00594326" w:rsidRPr="002477BC">
        <w:rPr>
          <w:rFonts w:ascii="Arial" w:hAnsi="Arial" w:cs="Arial"/>
        </w:rPr>
        <w:t xml:space="preserve"> </w:t>
      </w:r>
      <w:r w:rsidRPr="002477BC">
        <w:rPr>
          <w:rFonts w:ascii="Arial" w:hAnsi="Arial" w:cs="Arial"/>
        </w:rPr>
        <w:t>porzeczce, pszenicy, rzepaku, rzodkiewce, selerze korzeniowym, szpinaku oraz w mieszance</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w:t>
      </w:r>
    </w:p>
    <w:p w14:paraId="513E81DF" w14:textId="74C106E2" w:rsidR="002F12D8"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Przypadki przekrocze</w:t>
      </w:r>
      <w:r w:rsidRPr="002477BC">
        <w:rPr>
          <w:rFonts w:ascii="Arial" w:hAnsi="Arial" w:cs="Arial" w:hint="eastAsia"/>
        </w:rPr>
        <w:t>ń</w:t>
      </w:r>
      <w:r w:rsidRPr="002477BC">
        <w:rPr>
          <w:rFonts w:ascii="Arial" w:hAnsi="Arial" w:cs="Arial"/>
        </w:rPr>
        <w:t xml:space="preserve"> najwy</w:t>
      </w:r>
      <w:r w:rsidRPr="002477BC">
        <w:rPr>
          <w:rFonts w:ascii="Arial" w:hAnsi="Arial" w:cs="Arial" w:hint="eastAsia"/>
        </w:rPr>
        <w:t>ż</w:t>
      </w:r>
      <w:r w:rsidRPr="002477BC">
        <w:rPr>
          <w:rFonts w:ascii="Arial" w:hAnsi="Arial" w:cs="Arial"/>
        </w:rPr>
        <w:t>szych dopuszczalnych poziom</w:t>
      </w:r>
      <w:r w:rsidRPr="002477BC">
        <w:rPr>
          <w:rFonts w:ascii="Arial" w:hAnsi="Arial" w:cs="Arial" w:hint="eastAsia"/>
        </w:rPr>
        <w:t>ó</w:t>
      </w:r>
      <w:r w:rsidRPr="002477BC">
        <w:rPr>
          <w:rFonts w:ascii="Arial" w:hAnsi="Arial" w:cs="Arial"/>
        </w:rPr>
        <w:t>w pozosta</w:t>
      </w:r>
      <w:r w:rsidRPr="002477BC">
        <w:rPr>
          <w:rFonts w:ascii="Arial" w:hAnsi="Arial" w:cs="Arial" w:hint="eastAsia"/>
        </w:rPr>
        <w:t>ł</w:t>
      </w:r>
      <w:r w:rsidRPr="002477BC">
        <w:rPr>
          <w:rFonts w:ascii="Arial" w:hAnsi="Arial" w:cs="Arial"/>
        </w:rPr>
        <w:t>o</w:t>
      </w:r>
      <w:r w:rsidRPr="002477BC">
        <w:rPr>
          <w:rFonts w:ascii="Arial" w:hAnsi="Arial" w:cs="Arial" w:hint="eastAsia"/>
        </w:rPr>
        <w:t>ś</w:t>
      </w:r>
      <w:r w:rsidRPr="002477BC">
        <w:rPr>
          <w:rFonts w:ascii="Arial" w:hAnsi="Arial" w:cs="Arial"/>
        </w:rPr>
        <w:t>ci</w:t>
      </w:r>
      <w:r w:rsidR="00594326" w:rsidRPr="002477BC">
        <w:rPr>
          <w:rFonts w:ascii="Arial" w:hAnsi="Arial" w:cs="Arial"/>
        </w:rPr>
        <w:t xml:space="preserve"> </w:t>
      </w:r>
      <w:r w:rsidRPr="002477BC">
        <w:rPr>
          <w:rFonts w:ascii="Arial" w:hAnsi="Arial" w:cs="Arial"/>
        </w:rPr>
        <w:t>w pr</w:t>
      </w:r>
      <w:r w:rsidRPr="002477BC">
        <w:rPr>
          <w:rFonts w:ascii="Arial" w:hAnsi="Arial" w:cs="Arial" w:hint="eastAsia"/>
        </w:rPr>
        <w:t>ó</w:t>
      </w:r>
      <w:r w:rsidRPr="002477BC">
        <w:rPr>
          <w:rFonts w:ascii="Arial" w:hAnsi="Arial" w:cs="Arial"/>
        </w:rPr>
        <w:t>bkach spe</w:t>
      </w:r>
      <w:r w:rsidRPr="002477BC">
        <w:rPr>
          <w:rFonts w:ascii="Arial" w:hAnsi="Arial" w:cs="Arial" w:hint="eastAsia"/>
        </w:rPr>
        <w:t>ł</w:t>
      </w:r>
      <w:r w:rsidRPr="002477BC">
        <w:rPr>
          <w:rFonts w:ascii="Arial" w:hAnsi="Arial" w:cs="Arial"/>
        </w:rPr>
        <w:t>niaj</w:t>
      </w:r>
      <w:r w:rsidRPr="002477BC">
        <w:rPr>
          <w:rFonts w:ascii="Arial" w:hAnsi="Arial" w:cs="Arial" w:hint="eastAsia"/>
        </w:rPr>
        <w:t>ą</w:t>
      </w:r>
      <w:r w:rsidRPr="002477BC">
        <w:rPr>
          <w:rFonts w:ascii="Arial" w:hAnsi="Arial" w:cs="Arial"/>
        </w:rPr>
        <w:t xml:space="preserve">cych kryteria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ci obj</w:t>
      </w:r>
      <w:r w:rsidRPr="002477BC">
        <w:rPr>
          <w:rFonts w:ascii="Arial" w:hAnsi="Arial" w:cs="Arial" w:hint="eastAsia"/>
        </w:rPr>
        <w:t>ę</w:t>
      </w:r>
      <w:r w:rsidRPr="002477BC">
        <w:rPr>
          <w:rFonts w:ascii="Arial" w:hAnsi="Arial" w:cs="Arial"/>
        </w:rPr>
        <w:t>te by</w:t>
      </w:r>
      <w:r w:rsidRPr="002477BC">
        <w:rPr>
          <w:rFonts w:ascii="Arial" w:hAnsi="Arial" w:cs="Arial" w:hint="eastAsia"/>
        </w:rPr>
        <w:t>ł</w:t>
      </w:r>
      <w:r w:rsidRPr="002477BC">
        <w:rPr>
          <w:rFonts w:ascii="Arial" w:hAnsi="Arial" w:cs="Arial"/>
        </w:rPr>
        <w:t>y procedur</w:t>
      </w:r>
      <w:r w:rsidRPr="002477BC">
        <w:rPr>
          <w:rFonts w:ascii="Arial" w:hAnsi="Arial" w:cs="Arial" w:hint="eastAsia"/>
        </w:rPr>
        <w:t>ą</w:t>
      </w:r>
      <w:r w:rsidRPr="002477BC">
        <w:rPr>
          <w:rFonts w:ascii="Arial" w:hAnsi="Arial" w:cs="Arial"/>
        </w:rPr>
        <w:t xml:space="preserve"> powiadamiania zgodnie</w:t>
      </w:r>
      <w:r w:rsidR="00594326" w:rsidRPr="002477BC">
        <w:rPr>
          <w:rFonts w:ascii="Arial" w:hAnsi="Arial" w:cs="Arial"/>
        </w:rPr>
        <w:t xml:space="preserve"> </w:t>
      </w:r>
      <w:r w:rsidRPr="002477BC">
        <w:rPr>
          <w:rFonts w:ascii="Arial" w:hAnsi="Arial" w:cs="Arial"/>
        </w:rPr>
        <w:t xml:space="preserve">z Systemem Wczesnego Ostrzegania o Niebezpiecznej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 xml:space="preserve">ci i Paszach </w:t>
      </w:r>
      <w:r w:rsidRPr="002477BC">
        <w:rPr>
          <w:rFonts w:ascii="Arial" w:hAnsi="Arial" w:cs="Arial" w:hint="eastAsia"/>
        </w:rPr>
        <w:t>–</w:t>
      </w:r>
      <w:r w:rsidRPr="002477BC">
        <w:rPr>
          <w:rFonts w:ascii="Arial" w:hAnsi="Arial" w:cs="Arial"/>
        </w:rPr>
        <w:t xml:space="preserve"> RASFF. W 2020 r.</w:t>
      </w:r>
      <w:r w:rsidR="0049392A" w:rsidRPr="002477BC">
        <w:rPr>
          <w:rFonts w:ascii="Arial" w:hAnsi="Arial" w:cs="Arial"/>
        </w:rPr>
        <w:t xml:space="preserve"> </w:t>
      </w:r>
      <w:r w:rsidRPr="002477BC">
        <w:rPr>
          <w:rFonts w:ascii="Arial" w:hAnsi="Arial" w:cs="Arial"/>
        </w:rPr>
        <w:t>G</w:t>
      </w:r>
      <w:r w:rsidRPr="002477BC">
        <w:rPr>
          <w:rFonts w:ascii="Arial" w:hAnsi="Arial" w:cs="Arial" w:hint="eastAsia"/>
        </w:rPr>
        <w:t>łó</w:t>
      </w:r>
      <w:r w:rsidRPr="002477BC">
        <w:rPr>
          <w:rFonts w:ascii="Arial" w:hAnsi="Arial" w:cs="Arial"/>
        </w:rPr>
        <w:t>wny Inspektorat Ochrony Ro</w:t>
      </w:r>
      <w:r w:rsidRPr="002477BC">
        <w:rPr>
          <w:rFonts w:ascii="Arial" w:hAnsi="Arial" w:cs="Arial" w:hint="eastAsia"/>
        </w:rPr>
        <w:t>ś</w:t>
      </w:r>
      <w:r w:rsidRPr="002477BC">
        <w:rPr>
          <w:rFonts w:ascii="Arial" w:hAnsi="Arial" w:cs="Arial"/>
        </w:rPr>
        <w:t>lin i Nasiennictwa przekaza</w:t>
      </w:r>
      <w:r w:rsidRPr="002477BC">
        <w:rPr>
          <w:rFonts w:ascii="Arial" w:hAnsi="Arial" w:cs="Arial" w:hint="eastAsia"/>
        </w:rPr>
        <w:t>ł</w:t>
      </w:r>
      <w:r w:rsidRPr="002477BC">
        <w:rPr>
          <w:rFonts w:ascii="Arial" w:hAnsi="Arial" w:cs="Arial"/>
        </w:rPr>
        <w:t xml:space="preserve"> 11 powiadomie</w:t>
      </w:r>
      <w:r w:rsidRPr="002477BC">
        <w:rPr>
          <w:rFonts w:ascii="Arial" w:hAnsi="Arial" w:cs="Arial" w:hint="eastAsia"/>
        </w:rPr>
        <w:t>ń</w:t>
      </w:r>
      <w:r w:rsidRPr="002477BC">
        <w:rPr>
          <w:rFonts w:ascii="Arial" w:hAnsi="Arial" w:cs="Arial"/>
        </w:rPr>
        <w:t xml:space="preserve"> RASFF, kt</w:t>
      </w:r>
      <w:r w:rsidRPr="002477BC">
        <w:rPr>
          <w:rFonts w:ascii="Arial" w:hAnsi="Arial" w:cs="Arial" w:hint="eastAsia"/>
        </w:rPr>
        <w:t>ó</w:t>
      </w:r>
      <w:r w:rsidRPr="002477BC">
        <w:rPr>
          <w:rFonts w:ascii="Arial" w:hAnsi="Arial" w:cs="Arial"/>
        </w:rPr>
        <w:t>re</w:t>
      </w:r>
      <w:r w:rsidR="00594326" w:rsidRPr="002477BC">
        <w:rPr>
          <w:rFonts w:ascii="Arial" w:hAnsi="Arial" w:cs="Arial"/>
        </w:rPr>
        <w:t xml:space="preserve"> </w:t>
      </w:r>
      <w:r w:rsidRPr="002477BC">
        <w:rPr>
          <w:rFonts w:ascii="Arial" w:hAnsi="Arial" w:cs="Arial"/>
        </w:rPr>
        <w:t>dotyczy</w:t>
      </w:r>
      <w:r w:rsidRPr="002477BC">
        <w:rPr>
          <w:rFonts w:ascii="Arial" w:hAnsi="Arial" w:cs="Arial" w:hint="eastAsia"/>
        </w:rPr>
        <w:t>ł</w:t>
      </w:r>
      <w:r w:rsidRPr="002477BC">
        <w:rPr>
          <w:rFonts w:ascii="Arial" w:hAnsi="Arial" w:cs="Arial"/>
        </w:rPr>
        <w:t xml:space="preserve">y: rzepaku (4), gryki (2), buraka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owego (1), jarmu</w:t>
      </w:r>
      <w:r w:rsidRPr="002477BC">
        <w:rPr>
          <w:rFonts w:ascii="Arial" w:hAnsi="Arial" w:cs="Arial" w:hint="eastAsia"/>
        </w:rPr>
        <w:t>ż</w:t>
      </w:r>
      <w:r w:rsidRPr="002477BC">
        <w:rPr>
          <w:rFonts w:ascii="Arial" w:hAnsi="Arial" w:cs="Arial"/>
        </w:rPr>
        <w:t>u (1), j</w:t>
      </w:r>
      <w:r w:rsidRPr="002477BC">
        <w:rPr>
          <w:rFonts w:ascii="Arial" w:hAnsi="Arial" w:cs="Arial" w:hint="eastAsia"/>
        </w:rPr>
        <w:t>ę</w:t>
      </w:r>
      <w:r w:rsidRPr="002477BC">
        <w:rPr>
          <w:rFonts w:ascii="Arial" w:hAnsi="Arial" w:cs="Arial"/>
        </w:rPr>
        <w:t>czmienia (1), mieszanki</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 (1) oraz pszenicy (1).</w:t>
      </w:r>
    </w:p>
    <w:p w14:paraId="697A8163" w14:textId="62EA7E4E" w:rsidR="00A52FBA" w:rsidRPr="00295467" w:rsidRDefault="00295467" w:rsidP="00A52FBA">
      <w:pPr>
        <w:pStyle w:val="NormalnyWeb"/>
        <w:tabs>
          <w:tab w:val="left" w:pos="284"/>
        </w:tabs>
        <w:spacing w:beforeAutospacing="0" w:after="120" w:afterAutospacing="0" w:line="360" w:lineRule="auto"/>
        <w:ind w:firstLine="284"/>
        <w:jc w:val="both"/>
        <w:rPr>
          <w:rFonts w:ascii="Arial" w:hAnsi="Arial" w:cs="Arial"/>
        </w:rPr>
      </w:pPr>
      <w:r w:rsidRPr="00593E71">
        <w:rPr>
          <w:rFonts w:ascii="Arial" w:hAnsi="Arial" w:cs="Arial"/>
          <w:b/>
        </w:rPr>
        <w:t>W 2021 r.</w:t>
      </w:r>
      <w:r w:rsidRPr="00295467">
        <w:rPr>
          <w:rFonts w:ascii="Arial" w:hAnsi="Arial" w:cs="Arial"/>
        </w:rPr>
        <w:t>, w ramach urzędowej kontroli prawidłowości stosowania środków ochrony roślin pobrano zgodnie z harmonogramem 3</w:t>
      </w:r>
      <w:r>
        <w:rPr>
          <w:rFonts w:ascii="Arial" w:hAnsi="Arial" w:cs="Arial"/>
        </w:rPr>
        <w:t> </w:t>
      </w:r>
      <w:r w:rsidRPr="00295467">
        <w:rPr>
          <w:rFonts w:ascii="Arial" w:hAnsi="Arial" w:cs="Arial"/>
        </w:rPr>
        <w:t>844 próbek roślin, w celu przebadania ich pod kątem obecności pozostałości środków ochrony roślin. Badania prowadzone były w Centralnym Laboratorium Głównego Inspektoratu Ochrony Roślin i Nasiennictwa</w:t>
      </w:r>
      <w:r>
        <w:rPr>
          <w:rFonts w:ascii="Arial" w:hAnsi="Arial" w:cs="Arial"/>
        </w:rPr>
        <w:t xml:space="preserve"> </w:t>
      </w:r>
      <w:r w:rsidRPr="00295467">
        <w:rPr>
          <w:rFonts w:ascii="Arial" w:hAnsi="Arial" w:cs="Arial"/>
        </w:rPr>
        <w:t>w Toruniu, w laboratoriach Instytutu Ochrony Roślin – PIB w Poznaniu, Białymstoku i w Sośnicowicach oraz w laboratorium Zakładu Badania Bezpieczeństwa Żywności w Instytucie Ogrodnictwa – PIB w Skierniewicach.</w:t>
      </w:r>
      <w:r>
        <w:rPr>
          <w:rFonts w:ascii="Arial" w:hAnsi="Arial" w:cs="Arial"/>
        </w:rPr>
        <w:t xml:space="preserve"> W</w:t>
      </w:r>
      <w:r w:rsidRPr="00295467">
        <w:rPr>
          <w:rFonts w:ascii="Arial" w:hAnsi="Arial" w:cs="Arial"/>
        </w:rPr>
        <w:t xml:space="preserve"> kontroli przebadano m.in. 954 próbek owoców i 1 771 próbek warzyw. 2 059 (53,6%) nie zawierało pozostałości środków ochrony roślin</w:t>
      </w:r>
      <w:r w:rsidR="00A52FBA">
        <w:rPr>
          <w:rFonts w:ascii="Arial" w:hAnsi="Arial" w:cs="Arial"/>
        </w:rPr>
        <w:t>, w </w:t>
      </w:r>
      <w:r w:rsidRPr="00295467">
        <w:rPr>
          <w:rFonts w:ascii="Arial" w:hAnsi="Arial" w:cs="Arial"/>
        </w:rPr>
        <w:t>1</w:t>
      </w:r>
      <w:r w:rsidR="00A52FBA">
        <w:rPr>
          <w:rFonts w:ascii="Arial" w:hAnsi="Arial" w:cs="Arial"/>
        </w:rPr>
        <w:t> </w:t>
      </w:r>
      <w:r w:rsidRPr="00295467">
        <w:rPr>
          <w:rFonts w:ascii="Arial" w:hAnsi="Arial" w:cs="Arial"/>
        </w:rPr>
        <w:t xml:space="preserve">705 próbkach (44,4%) wykryto pozostałości pozostające poniżej najwyższych dopuszczalnych poziomów pozostałości (NDP) środków ochrony roślin. </w:t>
      </w:r>
      <w:r w:rsidR="00A52FBA" w:rsidRPr="00295467">
        <w:rPr>
          <w:rFonts w:ascii="Arial" w:hAnsi="Arial" w:cs="Arial"/>
        </w:rPr>
        <w:t>W 419 próbkach (11%) stwierdzono obecność substancji czynnych niedozwolonych do stosowania w danej uprawie.</w:t>
      </w:r>
    </w:p>
    <w:p w14:paraId="19ADAEE8" w14:textId="6598B656" w:rsidR="00295467" w:rsidRPr="00295467" w:rsidRDefault="00D53055" w:rsidP="00295467">
      <w:pPr>
        <w:pStyle w:val="NormalnyWeb"/>
        <w:tabs>
          <w:tab w:val="left" w:pos="284"/>
        </w:tabs>
        <w:spacing w:beforeAutospacing="0" w:after="120" w:afterAutospacing="0" w:line="360" w:lineRule="auto"/>
        <w:ind w:firstLine="284"/>
        <w:jc w:val="both"/>
        <w:rPr>
          <w:rFonts w:ascii="Arial" w:hAnsi="Arial" w:cs="Arial"/>
        </w:rPr>
      </w:pPr>
      <w:r w:rsidRPr="00D53055">
        <w:rPr>
          <w:rFonts w:ascii="Arial" w:hAnsi="Arial" w:cs="Arial"/>
        </w:rPr>
        <w:t xml:space="preserve">Łącznie, na 3 </w:t>
      </w:r>
      <w:r>
        <w:rPr>
          <w:rFonts w:ascii="Arial" w:hAnsi="Arial" w:cs="Arial"/>
        </w:rPr>
        <w:t>844</w:t>
      </w:r>
      <w:r w:rsidRPr="00D53055">
        <w:rPr>
          <w:rFonts w:ascii="Arial" w:hAnsi="Arial" w:cs="Arial"/>
        </w:rPr>
        <w:t xml:space="preserve"> przebadane próbki</w:t>
      </w:r>
      <w:r w:rsidRPr="00593E71">
        <w:rPr>
          <w:rFonts w:ascii="Arial" w:hAnsi="Arial" w:cs="Arial"/>
          <w:b/>
        </w:rPr>
        <w:t>, przekroczenia najwyższych dopuszczalnych poziomów (NDP) zastosowanych środków ochrony roślin stwierdzono w 80 próbkach (2%).</w:t>
      </w:r>
      <w:r w:rsidRPr="00D53055">
        <w:rPr>
          <w:rFonts w:ascii="Arial" w:hAnsi="Arial" w:cs="Arial"/>
        </w:rPr>
        <w:t xml:space="preserve"> </w:t>
      </w:r>
    </w:p>
    <w:p w14:paraId="401B7490" w14:textId="3F43C5B3" w:rsidR="00295467" w:rsidRPr="00295467"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t>Przekroczenia NDP stwierdzono w: agreście, czereśni, czosnku, gryce, kminku zwyczajnym, koprze, lnie, malinach, ogórkach spod osłon, papryce, pietruszce, pomidorze gruntowym oraz spod osłon, pszenicy, rzepaku, rzodkiewce, sałacie, selerze, truskawce i życie.</w:t>
      </w:r>
    </w:p>
    <w:p w14:paraId="4CC36D8C" w14:textId="218B0CC7" w:rsidR="00295467" w:rsidRPr="00295467"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t>Substancje czynne, które wykrywano w ww. uprawach z przekroczeniami NDP, to m.in.: bifentryna, chloropiryfos, chlorotalonil, dimetomorf, difenokonazol, fenwalerat, fenpropidyna, fluopikolid, karbendazym, propamokarb, tiofanat metylu, tebukonazol.</w:t>
      </w:r>
    </w:p>
    <w:p w14:paraId="23997BD9" w14:textId="26551C74" w:rsidR="00156128" w:rsidRDefault="00295467" w:rsidP="00295467">
      <w:pPr>
        <w:pStyle w:val="NormalnyWeb"/>
        <w:tabs>
          <w:tab w:val="left" w:pos="284"/>
        </w:tabs>
        <w:spacing w:beforeAutospacing="0" w:after="120" w:afterAutospacing="0" w:line="360" w:lineRule="auto"/>
        <w:ind w:firstLine="284"/>
        <w:jc w:val="both"/>
        <w:rPr>
          <w:rFonts w:ascii="Arial" w:hAnsi="Arial" w:cs="Arial"/>
        </w:rPr>
      </w:pPr>
      <w:r w:rsidRPr="00295467">
        <w:rPr>
          <w:rFonts w:ascii="Arial" w:hAnsi="Arial" w:cs="Arial"/>
        </w:rPr>
        <w:lastRenderedPageBreak/>
        <w:t>Przypadki przekroczeń najwyższych dopuszczalnych poziomów pozostałości w próbkach spełniających kryteria żywności objęte były procedurą powiadamiania zgodnie z Systemem Wczesnego Ostrzegania o Niebezpiecznej Żywności i Paszach – RASFF. W 2021 r. Główny Inspektorat Ochrony Roślin i Nasiennictwa przekazał 14 powiadomień RASFF, które dotyczyły: kopru ogrodowego (3), rzepaku (2), żyta (2), buraka ćwikłowego (1), brokuła (1), czereśni (1), kminku (1), naci pietruszki (1), papryki (1) oraz pszenicy (1)</w:t>
      </w:r>
      <w:r w:rsidR="00195A97">
        <w:rPr>
          <w:rFonts w:ascii="Arial" w:hAnsi="Arial" w:cs="Arial"/>
        </w:rPr>
        <w:t>.</w:t>
      </w:r>
    </w:p>
    <w:p w14:paraId="401F0B84" w14:textId="1B61ED3A" w:rsidR="00195A97" w:rsidRPr="00197E60" w:rsidRDefault="00195A97" w:rsidP="00295467">
      <w:pPr>
        <w:pStyle w:val="NormalnyWeb"/>
        <w:tabs>
          <w:tab w:val="left" w:pos="284"/>
        </w:tabs>
        <w:spacing w:beforeAutospacing="0" w:after="120" w:afterAutospacing="0" w:line="360" w:lineRule="auto"/>
        <w:ind w:firstLine="284"/>
        <w:jc w:val="both"/>
        <w:rPr>
          <w:rFonts w:ascii="Arial" w:hAnsi="Arial" w:cs="Arial"/>
        </w:rPr>
      </w:pPr>
      <w:r w:rsidRPr="00197E60">
        <w:rPr>
          <w:rFonts w:ascii="Arial" w:hAnsi="Arial" w:cs="Arial"/>
          <w:b/>
          <w:bCs/>
        </w:rPr>
        <w:t>W 2022 r.</w:t>
      </w:r>
      <w:r w:rsidRPr="00197E60">
        <w:rPr>
          <w:rFonts w:ascii="Arial" w:hAnsi="Arial" w:cs="Arial"/>
        </w:rPr>
        <w:t>, w ramach urzędowej kontroli prawidłowości stosowania środków ochrony roślin pobrano 3</w:t>
      </w:r>
      <w:r w:rsidR="00197E60" w:rsidRPr="00197E60">
        <w:rPr>
          <w:rFonts w:ascii="Arial" w:hAnsi="Arial" w:cs="Arial"/>
        </w:rPr>
        <w:t> </w:t>
      </w:r>
      <w:r w:rsidRPr="00197E60">
        <w:rPr>
          <w:rFonts w:ascii="Arial" w:hAnsi="Arial" w:cs="Arial"/>
        </w:rPr>
        <w:t xml:space="preserve">786 próbek płodów rolnych, </w:t>
      </w:r>
      <w:r w:rsidR="007D11EC" w:rsidRPr="00197E60">
        <w:rPr>
          <w:rFonts w:ascii="Arial" w:hAnsi="Arial" w:cs="Arial"/>
        </w:rPr>
        <w:t>w tym</w:t>
      </w:r>
      <w:r w:rsidR="003E233E" w:rsidRPr="00197E60">
        <w:rPr>
          <w:rFonts w:ascii="Arial" w:hAnsi="Arial" w:cs="Arial"/>
        </w:rPr>
        <w:t xml:space="preserve"> </w:t>
      </w:r>
      <w:r w:rsidR="007D11EC" w:rsidRPr="00197E60">
        <w:rPr>
          <w:rFonts w:ascii="Arial" w:hAnsi="Arial" w:cs="Arial"/>
        </w:rPr>
        <w:t>957 próbek owoców i 1</w:t>
      </w:r>
      <w:r w:rsidR="00197E60" w:rsidRPr="00197E60">
        <w:rPr>
          <w:rFonts w:ascii="Arial" w:hAnsi="Arial" w:cs="Arial"/>
        </w:rPr>
        <w:t> </w:t>
      </w:r>
      <w:r w:rsidR="007D11EC" w:rsidRPr="00197E60">
        <w:rPr>
          <w:rFonts w:ascii="Arial" w:hAnsi="Arial" w:cs="Arial"/>
        </w:rPr>
        <w:t>731 próbek warzyw</w:t>
      </w:r>
      <w:r w:rsidR="003E233E" w:rsidRPr="00197E60">
        <w:rPr>
          <w:rFonts w:ascii="Arial" w:hAnsi="Arial" w:cs="Arial"/>
        </w:rPr>
        <w:t>,</w:t>
      </w:r>
      <w:r w:rsidR="007D11EC" w:rsidRPr="00197E60">
        <w:rPr>
          <w:rFonts w:ascii="Arial" w:hAnsi="Arial" w:cs="Arial"/>
        </w:rPr>
        <w:t xml:space="preserve"> </w:t>
      </w:r>
      <w:r w:rsidRPr="00197E60">
        <w:rPr>
          <w:rFonts w:ascii="Arial" w:hAnsi="Arial" w:cs="Arial"/>
        </w:rPr>
        <w:t>w celu przebadania ich pod kątem obecności pozostałości środków ochrony roślin.</w:t>
      </w:r>
    </w:p>
    <w:p w14:paraId="7F5A5EDA" w14:textId="6520D5EA" w:rsidR="009F5230" w:rsidRPr="00197E60" w:rsidRDefault="006075FA" w:rsidP="009F5230">
      <w:pPr>
        <w:pStyle w:val="NormalnyWeb"/>
        <w:tabs>
          <w:tab w:val="left" w:pos="284"/>
        </w:tabs>
        <w:spacing w:beforeAutospacing="0" w:after="120" w:afterAutospacing="0" w:line="360" w:lineRule="auto"/>
        <w:ind w:firstLine="284"/>
        <w:jc w:val="both"/>
        <w:rPr>
          <w:rFonts w:ascii="Arial" w:hAnsi="Arial" w:cs="Arial"/>
        </w:rPr>
      </w:pPr>
      <w:r w:rsidRPr="00197E60">
        <w:rPr>
          <w:rFonts w:ascii="Arial" w:hAnsi="Arial" w:cs="Arial"/>
        </w:rPr>
        <w:t>1</w:t>
      </w:r>
      <w:r w:rsidR="00197E60" w:rsidRPr="00197E60">
        <w:rPr>
          <w:rFonts w:ascii="Arial" w:hAnsi="Arial" w:cs="Arial"/>
        </w:rPr>
        <w:t> </w:t>
      </w:r>
      <w:r w:rsidRPr="00197E60">
        <w:rPr>
          <w:rFonts w:ascii="Arial" w:hAnsi="Arial" w:cs="Arial"/>
        </w:rPr>
        <w:t>976 (52,19%) nie zawierało pozostałości środków ochrony roślin</w:t>
      </w:r>
      <w:r w:rsidR="009A0745" w:rsidRPr="00197E60">
        <w:rPr>
          <w:rFonts w:ascii="Arial" w:hAnsi="Arial" w:cs="Arial"/>
        </w:rPr>
        <w:t>, w</w:t>
      </w:r>
      <w:r w:rsidRPr="00197E60">
        <w:rPr>
          <w:rFonts w:ascii="Arial" w:hAnsi="Arial" w:cs="Arial"/>
        </w:rPr>
        <w:t xml:space="preserve"> 1</w:t>
      </w:r>
      <w:r w:rsidR="00197E60" w:rsidRPr="00197E60">
        <w:rPr>
          <w:rFonts w:ascii="Arial" w:hAnsi="Arial" w:cs="Arial"/>
        </w:rPr>
        <w:t> </w:t>
      </w:r>
      <w:r w:rsidRPr="00197E60">
        <w:rPr>
          <w:rFonts w:ascii="Arial" w:hAnsi="Arial" w:cs="Arial"/>
        </w:rPr>
        <w:t xml:space="preserve">712 próbkach (45,22%) wykryto pozostałości pozostające poniżej najwyższych dopuszczalnych poziomów pozostałości środków ochrony roślin. </w:t>
      </w:r>
      <w:r w:rsidR="009F5230" w:rsidRPr="00197E60">
        <w:rPr>
          <w:rFonts w:ascii="Arial" w:hAnsi="Arial" w:cs="Arial"/>
        </w:rPr>
        <w:t>W 610 próbkach (16,11%) stwierdzono obecność substancji czynnych niedozwolonych do stosowania w danej uprawie.</w:t>
      </w:r>
    </w:p>
    <w:p w14:paraId="50F0D898" w14:textId="7B8AD1DC" w:rsidR="006075FA" w:rsidRPr="00197E60" w:rsidRDefault="00B17DAC" w:rsidP="006075FA">
      <w:pPr>
        <w:pStyle w:val="NormalnyWeb"/>
        <w:tabs>
          <w:tab w:val="left" w:pos="284"/>
        </w:tabs>
        <w:spacing w:beforeAutospacing="0" w:after="120" w:afterAutospacing="0" w:line="360" w:lineRule="auto"/>
        <w:ind w:firstLine="284"/>
        <w:jc w:val="both"/>
        <w:rPr>
          <w:rFonts w:ascii="Arial" w:hAnsi="Arial" w:cs="Arial"/>
        </w:rPr>
      </w:pPr>
      <w:r w:rsidRPr="00197E60">
        <w:rPr>
          <w:rFonts w:ascii="Arial" w:hAnsi="Arial" w:cs="Arial"/>
        </w:rPr>
        <w:t xml:space="preserve">Łącznie na 3 786 </w:t>
      </w:r>
      <w:r w:rsidR="00A8277D" w:rsidRPr="00197E60">
        <w:rPr>
          <w:rFonts w:ascii="Arial" w:hAnsi="Arial" w:cs="Arial"/>
        </w:rPr>
        <w:t>przebadane</w:t>
      </w:r>
      <w:r w:rsidRPr="00197E60">
        <w:rPr>
          <w:rFonts w:ascii="Arial" w:hAnsi="Arial" w:cs="Arial"/>
        </w:rPr>
        <w:t xml:space="preserve"> </w:t>
      </w:r>
      <w:r w:rsidR="00A8277D" w:rsidRPr="00197E60">
        <w:rPr>
          <w:rFonts w:ascii="Arial" w:hAnsi="Arial" w:cs="Arial"/>
        </w:rPr>
        <w:t>próbki,</w:t>
      </w:r>
      <w:r w:rsidRPr="00197E60">
        <w:rPr>
          <w:rFonts w:ascii="Arial" w:hAnsi="Arial" w:cs="Arial"/>
        </w:rPr>
        <w:t xml:space="preserve"> </w:t>
      </w:r>
      <w:r w:rsidR="00A8277D" w:rsidRPr="00197E60">
        <w:rPr>
          <w:rFonts w:ascii="Arial" w:hAnsi="Arial" w:cs="Arial"/>
          <w:b/>
          <w:bCs/>
        </w:rPr>
        <w:t>przekroczeni</w:t>
      </w:r>
      <w:r w:rsidR="001142EA" w:rsidRPr="00197E60">
        <w:rPr>
          <w:rFonts w:ascii="Arial" w:hAnsi="Arial" w:cs="Arial"/>
          <w:b/>
          <w:bCs/>
        </w:rPr>
        <w:t>a</w:t>
      </w:r>
      <w:r w:rsidR="00A8277D" w:rsidRPr="00197E60">
        <w:rPr>
          <w:rFonts w:ascii="Arial" w:hAnsi="Arial" w:cs="Arial"/>
          <w:b/>
          <w:bCs/>
        </w:rPr>
        <w:t xml:space="preserve"> </w:t>
      </w:r>
      <w:r w:rsidR="00FB17AE" w:rsidRPr="00197E60">
        <w:rPr>
          <w:rFonts w:ascii="Arial" w:hAnsi="Arial" w:cs="Arial"/>
          <w:b/>
          <w:bCs/>
        </w:rPr>
        <w:t xml:space="preserve">najwyższych dopuszczalnych poziomów </w:t>
      </w:r>
      <w:r w:rsidR="00A8277D" w:rsidRPr="00197E60">
        <w:rPr>
          <w:rFonts w:ascii="Arial" w:hAnsi="Arial" w:cs="Arial"/>
          <w:b/>
          <w:bCs/>
        </w:rPr>
        <w:t xml:space="preserve">NDP </w:t>
      </w:r>
      <w:r w:rsidR="00B90A0B" w:rsidRPr="00197E60">
        <w:rPr>
          <w:rFonts w:ascii="Arial" w:hAnsi="Arial" w:cs="Arial"/>
          <w:b/>
          <w:bCs/>
        </w:rPr>
        <w:t xml:space="preserve">zastosowanych środków ochrony roślin stwierdzono w </w:t>
      </w:r>
      <w:r w:rsidR="006075FA" w:rsidRPr="00197E60">
        <w:rPr>
          <w:rFonts w:ascii="Arial" w:hAnsi="Arial" w:cs="Arial"/>
          <w:b/>
          <w:bCs/>
        </w:rPr>
        <w:t>98 próbkach (2,58%)</w:t>
      </w:r>
      <w:r w:rsidR="00197E60">
        <w:rPr>
          <w:rFonts w:ascii="Arial" w:hAnsi="Arial" w:cs="Arial"/>
          <w:b/>
          <w:bCs/>
        </w:rPr>
        <w:t>.</w:t>
      </w:r>
    </w:p>
    <w:p w14:paraId="52A57B74" w14:textId="575E414F" w:rsidR="006075FA" w:rsidRPr="00816402" w:rsidRDefault="006075FA" w:rsidP="006075FA">
      <w:pPr>
        <w:pStyle w:val="NormalnyWeb"/>
        <w:tabs>
          <w:tab w:val="left" w:pos="284"/>
        </w:tabs>
        <w:spacing w:beforeAutospacing="0" w:after="120" w:afterAutospacing="0" w:line="360" w:lineRule="auto"/>
        <w:ind w:firstLine="284"/>
        <w:jc w:val="both"/>
        <w:rPr>
          <w:rFonts w:ascii="Arial" w:hAnsi="Arial" w:cs="Arial"/>
        </w:rPr>
      </w:pPr>
      <w:r w:rsidRPr="00816402">
        <w:rPr>
          <w:rFonts w:ascii="Arial" w:hAnsi="Arial" w:cs="Arial"/>
        </w:rPr>
        <w:t>Przekroczenia NDP stwierdzono w: brokule, buraku ćwikłowym, chrzanie, cebuli dymce, czereśniach, czosnku, fasoli szparagowej, gruszkach, gryce, jabłkach, jarmużu, jęczmieniu,</w:t>
      </w:r>
      <w:r w:rsidR="00AA6A57" w:rsidRPr="00816402">
        <w:rPr>
          <w:rFonts w:ascii="Arial" w:hAnsi="Arial" w:cs="Arial"/>
        </w:rPr>
        <w:t xml:space="preserve"> </w:t>
      </w:r>
      <w:r w:rsidRPr="00816402">
        <w:rPr>
          <w:rFonts w:ascii="Arial" w:hAnsi="Arial" w:cs="Arial"/>
        </w:rPr>
        <w:t>kapuście brukselskiej, kapuście pekińskiej, kminku, koprze ogrodowym, kukurydzy, lnie, malinach, papryce, pietruszce korzeniowej, pietruszce naciowej, porzeczce czarnej, porze, pszenicy, pszenżycie, sałacie, selerze korzeniowym, selerze naciowym, szczypiorku, szpinaku, śliwkach, rzepaku, ziemniakach i życie.</w:t>
      </w:r>
    </w:p>
    <w:p w14:paraId="317E0249" w14:textId="77777777" w:rsidR="006075FA" w:rsidRPr="003632F3" w:rsidRDefault="006075FA" w:rsidP="006075FA">
      <w:pPr>
        <w:pStyle w:val="NormalnyWeb"/>
        <w:tabs>
          <w:tab w:val="left" w:pos="284"/>
        </w:tabs>
        <w:spacing w:beforeAutospacing="0" w:after="120" w:afterAutospacing="0" w:line="360" w:lineRule="auto"/>
        <w:ind w:firstLine="284"/>
        <w:jc w:val="both"/>
        <w:rPr>
          <w:rFonts w:ascii="Arial" w:hAnsi="Arial" w:cs="Arial"/>
        </w:rPr>
      </w:pPr>
      <w:r w:rsidRPr="003632F3">
        <w:rPr>
          <w:rFonts w:ascii="Arial" w:hAnsi="Arial" w:cs="Arial"/>
        </w:rPr>
        <w:t>Substancje czynne, które wykrywano w ww. uprawach z przekroczeniami NDP, to m.in.: acetamipryd, chlorotalonil, chloroprofam, dimoksystrobina, ditiokarbaminiany, fenwalerat, fludioksonil, karbendazym, linuron, mepikwat, tebukonazol, tetrakonazol, tiametoksam, tiofanat metylowy, pirymetanil, pirymifos metylowy.</w:t>
      </w:r>
    </w:p>
    <w:p w14:paraId="3FB206D8" w14:textId="4A2A68A3" w:rsidR="006075FA" w:rsidRDefault="006075FA" w:rsidP="006075FA">
      <w:pPr>
        <w:pStyle w:val="NormalnyWeb"/>
        <w:tabs>
          <w:tab w:val="left" w:pos="284"/>
        </w:tabs>
        <w:spacing w:beforeAutospacing="0" w:after="120" w:afterAutospacing="0" w:line="360" w:lineRule="auto"/>
        <w:ind w:firstLine="284"/>
        <w:jc w:val="both"/>
        <w:rPr>
          <w:rFonts w:ascii="Arial" w:hAnsi="Arial" w:cs="Arial"/>
        </w:rPr>
      </w:pPr>
      <w:r w:rsidRPr="003632F3">
        <w:rPr>
          <w:rFonts w:ascii="Arial" w:hAnsi="Arial" w:cs="Arial"/>
        </w:rPr>
        <w:t>Przypadki przekroczeń najwyższych dopuszczalnych poziomów pozostałości w próbkach spełniających kryteria żywności objęte były procedurą powiadamiania zgodnie z Systemem Wczesnego Ostrzegania o Niebezpiecznej Żywności i Paszach – RASFF. W 2022 r. Główny Inspektorat Ochrony Roślin i Nasiennictwa przekazał 25 powiadomień RASFF, które dotyczyły: buraka ćwikłowego (1), czereśni (2), czosnku (1), fasoli szparagowej (1), gruszki (1), gryki (1), jabłka (2), jęczmienia (2), kminku (1), kukurydzy (1), lnu (1), pszenicy (3), pszenżyta (1), rzepaku (3), selera korzeniowego (1), szczypiorku (1), ziemniaków (1) i żyta (1).</w:t>
      </w:r>
    </w:p>
    <w:tbl>
      <w:tblPr>
        <w:tblStyle w:val="Tabela-Siatka"/>
        <w:tblW w:w="9108" w:type="dxa"/>
        <w:tblLook w:val="04A0" w:firstRow="1" w:lastRow="0" w:firstColumn="1" w:lastColumn="0" w:noHBand="0" w:noVBand="1"/>
      </w:tblPr>
      <w:tblGrid>
        <w:gridCol w:w="3681"/>
        <w:gridCol w:w="1085"/>
        <w:gridCol w:w="1085"/>
        <w:gridCol w:w="1086"/>
        <w:gridCol w:w="1085"/>
        <w:gridCol w:w="1086"/>
      </w:tblGrid>
      <w:tr w:rsidR="002309F8" w:rsidRPr="00D91A79" w14:paraId="55124F7E" w14:textId="77777777" w:rsidTr="00785B70">
        <w:tc>
          <w:tcPr>
            <w:tcW w:w="3681" w:type="dxa"/>
          </w:tcPr>
          <w:p w14:paraId="4F28F77B" w14:textId="29277EF7" w:rsidR="00E16802" w:rsidRPr="00E46212" w:rsidRDefault="009A496E" w:rsidP="00A92B09">
            <w:pPr>
              <w:jc w:val="both"/>
              <w:rPr>
                <w:rFonts w:ascii="Arial" w:hAnsi="Arial" w:cs="Arial"/>
              </w:rPr>
            </w:pPr>
            <w:r w:rsidRPr="00A92B09">
              <w:rPr>
                <w:rFonts w:ascii="Arial" w:hAnsi="Arial" w:cs="Arial"/>
                <w:color w:val="000000"/>
                <w:sz w:val="20"/>
                <w:szCs w:val="20"/>
              </w:rPr>
              <w:t>Rok</w:t>
            </w:r>
          </w:p>
        </w:tc>
        <w:tc>
          <w:tcPr>
            <w:tcW w:w="1085" w:type="dxa"/>
            <w:vAlign w:val="center"/>
          </w:tcPr>
          <w:p w14:paraId="71AB1B6C" w14:textId="2893A247" w:rsidR="00E16802" w:rsidRPr="00E46212" w:rsidRDefault="00E16802" w:rsidP="00D91A79">
            <w:pPr>
              <w:pStyle w:val="NormalnyWeb"/>
              <w:tabs>
                <w:tab w:val="left" w:pos="284"/>
              </w:tabs>
              <w:spacing w:beforeAutospacing="0" w:after="120" w:afterAutospacing="0" w:line="360" w:lineRule="auto"/>
              <w:jc w:val="center"/>
              <w:rPr>
                <w:rFonts w:ascii="Arial" w:hAnsi="Arial" w:cs="Arial"/>
                <w:b/>
                <w:bCs/>
              </w:rPr>
            </w:pPr>
            <w:r w:rsidRPr="00E46212">
              <w:rPr>
                <w:rFonts w:ascii="Arial" w:hAnsi="Arial" w:cs="Arial"/>
                <w:b/>
                <w:bCs/>
              </w:rPr>
              <w:t>2018</w:t>
            </w:r>
          </w:p>
        </w:tc>
        <w:tc>
          <w:tcPr>
            <w:tcW w:w="1085" w:type="dxa"/>
            <w:vAlign w:val="center"/>
          </w:tcPr>
          <w:p w14:paraId="4C47F419" w14:textId="43FFA3CB" w:rsidR="00E16802" w:rsidRPr="00E46212" w:rsidRDefault="00E16802" w:rsidP="00D91A79">
            <w:pPr>
              <w:pStyle w:val="NormalnyWeb"/>
              <w:tabs>
                <w:tab w:val="left" w:pos="284"/>
              </w:tabs>
              <w:spacing w:beforeAutospacing="0" w:after="120" w:afterAutospacing="0" w:line="360" w:lineRule="auto"/>
              <w:jc w:val="center"/>
              <w:rPr>
                <w:rFonts w:ascii="Arial" w:hAnsi="Arial" w:cs="Arial"/>
                <w:b/>
                <w:bCs/>
              </w:rPr>
            </w:pPr>
            <w:r w:rsidRPr="00E46212">
              <w:rPr>
                <w:rFonts w:ascii="Arial" w:hAnsi="Arial" w:cs="Arial"/>
                <w:b/>
                <w:bCs/>
              </w:rPr>
              <w:t>2019</w:t>
            </w:r>
          </w:p>
        </w:tc>
        <w:tc>
          <w:tcPr>
            <w:tcW w:w="1086" w:type="dxa"/>
            <w:vAlign w:val="center"/>
          </w:tcPr>
          <w:p w14:paraId="7F6C3247" w14:textId="57C7043A" w:rsidR="00E16802" w:rsidRPr="00E46212" w:rsidRDefault="00E16802" w:rsidP="00D91A79">
            <w:pPr>
              <w:pStyle w:val="NormalnyWeb"/>
              <w:tabs>
                <w:tab w:val="left" w:pos="284"/>
              </w:tabs>
              <w:spacing w:beforeAutospacing="0" w:after="120" w:afterAutospacing="0" w:line="360" w:lineRule="auto"/>
              <w:jc w:val="center"/>
              <w:rPr>
                <w:rFonts w:ascii="Arial" w:hAnsi="Arial" w:cs="Arial"/>
                <w:b/>
                <w:bCs/>
              </w:rPr>
            </w:pPr>
            <w:r w:rsidRPr="00E46212">
              <w:rPr>
                <w:rFonts w:ascii="Arial" w:hAnsi="Arial" w:cs="Arial"/>
                <w:b/>
                <w:bCs/>
              </w:rPr>
              <w:t>202</w:t>
            </w:r>
            <w:r w:rsidR="009A496E" w:rsidRPr="00E46212">
              <w:rPr>
                <w:rFonts w:ascii="Arial" w:hAnsi="Arial" w:cs="Arial"/>
                <w:b/>
                <w:bCs/>
              </w:rPr>
              <w:t>0</w:t>
            </w:r>
          </w:p>
        </w:tc>
        <w:tc>
          <w:tcPr>
            <w:tcW w:w="1085" w:type="dxa"/>
            <w:vAlign w:val="center"/>
          </w:tcPr>
          <w:p w14:paraId="74D1CDC5" w14:textId="3706F31D" w:rsidR="00E16802" w:rsidRPr="00E46212" w:rsidRDefault="009A496E" w:rsidP="00D91A79">
            <w:pPr>
              <w:pStyle w:val="NormalnyWeb"/>
              <w:tabs>
                <w:tab w:val="left" w:pos="284"/>
              </w:tabs>
              <w:spacing w:beforeAutospacing="0" w:after="120" w:afterAutospacing="0" w:line="360" w:lineRule="auto"/>
              <w:jc w:val="center"/>
              <w:rPr>
                <w:rFonts w:ascii="Arial" w:hAnsi="Arial" w:cs="Arial"/>
                <w:b/>
                <w:bCs/>
              </w:rPr>
            </w:pPr>
            <w:r w:rsidRPr="00E46212">
              <w:rPr>
                <w:rFonts w:ascii="Arial" w:hAnsi="Arial" w:cs="Arial"/>
                <w:b/>
                <w:bCs/>
              </w:rPr>
              <w:t>2021</w:t>
            </w:r>
          </w:p>
        </w:tc>
        <w:tc>
          <w:tcPr>
            <w:tcW w:w="1086" w:type="dxa"/>
            <w:vAlign w:val="center"/>
          </w:tcPr>
          <w:p w14:paraId="2FCFE1B3" w14:textId="78978485" w:rsidR="00E16802" w:rsidRPr="00E46212" w:rsidRDefault="009A496E" w:rsidP="00D91A79">
            <w:pPr>
              <w:pStyle w:val="NormalnyWeb"/>
              <w:tabs>
                <w:tab w:val="left" w:pos="284"/>
              </w:tabs>
              <w:spacing w:beforeAutospacing="0" w:after="120" w:afterAutospacing="0" w:line="360" w:lineRule="auto"/>
              <w:jc w:val="center"/>
              <w:rPr>
                <w:rFonts w:ascii="Arial" w:hAnsi="Arial" w:cs="Arial"/>
                <w:b/>
                <w:bCs/>
              </w:rPr>
            </w:pPr>
            <w:r w:rsidRPr="00E46212">
              <w:rPr>
                <w:rFonts w:ascii="Arial" w:hAnsi="Arial" w:cs="Arial"/>
                <w:b/>
                <w:bCs/>
              </w:rPr>
              <w:t>2022</w:t>
            </w:r>
          </w:p>
        </w:tc>
      </w:tr>
      <w:tr w:rsidR="002309F8" w14:paraId="4E0311FB" w14:textId="77777777" w:rsidTr="00785B70">
        <w:trPr>
          <w:trHeight w:val="651"/>
        </w:trPr>
        <w:tc>
          <w:tcPr>
            <w:tcW w:w="3681" w:type="dxa"/>
          </w:tcPr>
          <w:p w14:paraId="3A8068D8" w14:textId="4C4BD1F6" w:rsidR="006B58F0" w:rsidRPr="00D91A79" w:rsidRDefault="00E1268E" w:rsidP="00A92B09">
            <w:pPr>
              <w:jc w:val="both"/>
              <w:rPr>
                <w:rFonts w:ascii="Arial" w:hAnsi="Arial" w:cs="Arial"/>
                <w:sz w:val="18"/>
                <w:szCs w:val="18"/>
              </w:rPr>
            </w:pPr>
            <w:r w:rsidRPr="00A92B09">
              <w:rPr>
                <w:rFonts w:ascii="Arial" w:hAnsi="Arial" w:cs="Arial"/>
                <w:color w:val="000000"/>
                <w:sz w:val="20"/>
                <w:szCs w:val="20"/>
              </w:rPr>
              <w:t xml:space="preserve">Liczba </w:t>
            </w:r>
            <w:r w:rsidR="000667BF" w:rsidRPr="00A92B09">
              <w:rPr>
                <w:rFonts w:ascii="Arial" w:hAnsi="Arial" w:cs="Arial"/>
                <w:color w:val="000000"/>
                <w:sz w:val="20"/>
                <w:szCs w:val="20"/>
              </w:rPr>
              <w:t>pobran</w:t>
            </w:r>
            <w:r w:rsidRPr="00A92B09">
              <w:rPr>
                <w:rFonts w:ascii="Arial" w:hAnsi="Arial" w:cs="Arial"/>
                <w:color w:val="000000"/>
                <w:sz w:val="20"/>
                <w:szCs w:val="20"/>
              </w:rPr>
              <w:t>ych</w:t>
            </w:r>
            <w:r w:rsidR="000667BF" w:rsidRPr="00A92B09">
              <w:rPr>
                <w:rFonts w:ascii="Arial" w:hAnsi="Arial" w:cs="Arial"/>
                <w:color w:val="000000"/>
                <w:sz w:val="20"/>
                <w:szCs w:val="20"/>
              </w:rPr>
              <w:t xml:space="preserve"> próbek płodów rolnych</w:t>
            </w:r>
            <w:r w:rsidR="001760D9" w:rsidRPr="00A92B09">
              <w:rPr>
                <w:rFonts w:ascii="Arial" w:hAnsi="Arial" w:cs="Arial"/>
                <w:color w:val="000000"/>
                <w:sz w:val="20"/>
                <w:szCs w:val="20"/>
              </w:rPr>
              <w:t>,</w:t>
            </w:r>
            <w:r w:rsidR="00C7477B" w:rsidRPr="00A92B09">
              <w:rPr>
                <w:rFonts w:ascii="Arial" w:hAnsi="Arial" w:cs="Arial"/>
                <w:color w:val="000000"/>
                <w:sz w:val="20"/>
                <w:szCs w:val="20"/>
              </w:rPr>
              <w:t xml:space="preserve"> </w:t>
            </w:r>
            <w:r w:rsidR="006B58F0" w:rsidRPr="00A92B09">
              <w:rPr>
                <w:rFonts w:ascii="Arial" w:hAnsi="Arial" w:cs="Arial"/>
                <w:color w:val="000000"/>
                <w:sz w:val="20"/>
                <w:szCs w:val="20"/>
              </w:rPr>
              <w:t>w</w:t>
            </w:r>
            <w:r w:rsidR="001760D9" w:rsidRPr="00A92B09">
              <w:rPr>
                <w:rFonts w:ascii="Arial" w:hAnsi="Arial" w:cs="Arial"/>
                <w:color w:val="000000"/>
                <w:sz w:val="20"/>
                <w:szCs w:val="20"/>
              </w:rPr>
              <w:t xml:space="preserve"> tym</w:t>
            </w:r>
            <w:r w:rsidR="006B58F0" w:rsidRPr="00A92B09">
              <w:rPr>
                <w:rFonts w:ascii="Arial" w:hAnsi="Arial" w:cs="Arial"/>
                <w:color w:val="000000"/>
                <w:sz w:val="20"/>
                <w:szCs w:val="20"/>
              </w:rPr>
              <w:t>:</w:t>
            </w:r>
          </w:p>
        </w:tc>
        <w:tc>
          <w:tcPr>
            <w:tcW w:w="1085" w:type="dxa"/>
          </w:tcPr>
          <w:p w14:paraId="6B42F8AA" w14:textId="76AB624C" w:rsidR="00D91A79" w:rsidRPr="00E46212" w:rsidRDefault="00A3037B" w:rsidP="00131BFD">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3</w:t>
            </w:r>
            <w:r w:rsidR="002309F8" w:rsidRPr="00E46212">
              <w:rPr>
                <w:rFonts w:ascii="Arial" w:hAnsi="Arial" w:cs="Arial"/>
              </w:rPr>
              <w:t> </w:t>
            </w:r>
            <w:r w:rsidRPr="00E46212">
              <w:rPr>
                <w:rFonts w:ascii="Arial" w:hAnsi="Arial" w:cs="Arial"/>
              </w:rPr>
              <w:t>149</w:t>
            </w:r>
          </w:p>
        </w:tc>
        <w:tc>
          <w:tcPr>
            <w:tcW w:w="1085" w:type="dxa"/>
          </w:tcPr>
          <w:p w14:paraId="034A7591" w14:textId="50DCA228" w:rsidR="00E16802" w:rsidRPr="00E46212" w:rsidRDefault="00AE59EB"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3 228</w:t>
            </w:r>
          </w:p>
        </w:tc>
        <w:tc>
          <w:tcPr>
            <w:tcW w:w="1086" w:type="dxa"/>
          </w:tcPr>
          <w:p w14:paraId="5A8CED0D" w14:textId="0F8C0315" w:rsidR="00E16802" w:rsidRPr="00E46212" w:rsidRDefault="00A239C5"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3 103</w:t>
            </w:r>
          </w:p>
        </w:tc>
        <w:tc>
          <w:tcPr>
            <w:tcW w:w="1085" w:type="dxa"/>
          </w:tcPr>
          <w:p w14:paraId="6B6F0076" w14:textId="0C046C61" w:rsidR="00E16802" w:rsidRPr="00E46212" w:rsidRDefault="00483FEA"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3 844</w:t>
            </w:r>
          </w:p>
        </w:tc>
        <w:tc>
          <w:tcPr>
            <w:tcW w:w="1086" w:type="dxa"/>
          </w:tcPr>
          <w:p w14:paraId="1C719F90" w14:textId="1691607B" w:rsidR="00E16802" w:rsidRPr="00E46212" w:rsidRDefault="001760D9" w:rsidP="005C4E6B">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3 786</w:t>
            </w:r>
          </w:p>
        </w:tc>
      </w:tr>
      <w:tr w:rsidR="002C0A38" w14:paraId="529C753E" w14:textId="77777777" w:rsidTr="00785B70">
        <w:tc>
          <w:tcPr>
            <w:tcW w:w="3681" w:type="dxa"/>
          </w:tcPr>
          <w:p w14:paraId="4F5B89F4" w14:textId="6AE9966F" w:rsidR="00673439" w:rsidRPr="008E5E4F" w:rsidRDefault="00673439" w:rsidP="002475B5">
            <w:pPr>
              <w:pStyle w:val="NormalnyWeb"/>
              <w:numPr>
                <w:ilvl w:val="0"/>
                <w:numId w:val="39"/>
              </w:numPr>
              <w:tabs>
                <w:tab w:val="left" w:pos="284"/>
              </w:tabs>
              <w:spacing w:beforeAutospacing="0" w:after="120" w:afterAutospacing="0" w:line="360" w:lineRule="auto"/>
              <w:ind w:left="1728"/>
              <w:jc w:val="both"/>
              <w:rPr>
                <w:rFonts w:ascii="Arial" w:hAnsi="Arial" w:cs="Arial"/>
              </w:rPr>
            </w:pPr>
            <w:r w:rsidRPr="008E5E4F">
              <w:rPr>
                <w:rFonts w:ascii="Arial" w:hAnsi="Arial" w:cs="Arial"/>
              </w:rPr>
              <w:t>owoców</w:t>
            </w:r>
          </w:p>
          <w:p w14:paraId="03CDD24C" w14:textId="12F0BF58" w:rsidR="002C0A38" w:rsidRPr="00D91A79" w:rsidRDefault="00673439" w:rsidP="002475B5">
            <w:pPr>
              <w:pStyle w:val="NormalnyWeb"/>
              <w:numPr>
                <w:ilvl w:val="0"/>
                <w:numId w:val="39"/>
              </w:numPr>
              <w:tabs>
                <w:tab w:val="left" w:pos="284"/>
              </w:tabs>
              <w:spacing w:beforeAutospacing="0" w:after="120" w:afterAutospacing="0" w:line="360" w:lineRule="auto"/>
              <w:ind w:left="1728"/>
              <w:jc w:val="both"/>
              <w:rPr>
                <w:rFonts w:ascii="Arial" w:hAnsi="Arial" w:cs="Arial"/>
                <w:sz w:val="18"/>
                <w:szCs w:val="18"/>
              </w:rPr>
            </w:pPr>
            <w:r w:rsidRPr="008E5E4F">
              <w:rPr>
                <w:rFonts w:ascii="Arial" w:hAnsi="Arial" w:cs="Arial"/>
              </w:rPr>
              <w:t>warzyw</w:t>
            </w:r>
          </w:p>
        </w:tc>
        <w:tc>
          <w:tcPr>
            <w:tcW w:w="1085" w:type="dxa"/>
          </w:tcPr>
          <w:p w14:paraId="1AD47ABC" w14:textId="77777777" w:rsidR="00131BFD" w:rsidRPr="00E46212" w:rsidRDefault="00131BFD" w:rsidP="00131BFD">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1 167</w:t>
            </w:r>
          </w:p>
          <w:p w14:paraId="0A096C67" w14:textId="64754062" w:rsidR="002C0A38" w:rsidRPr="00E46212" w:rsidRDefault="00131BFD" w:rsidP="00131BFD">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1 244</w:t>
            </w:r>
          </w:p>
        </w:tc>
        <w:tc>
          <w:tcPr>
            <w:tcW w:w="1085" w:type="dxa"/>
          </w:tcPr>
          <w:p w14:paraId="20C2E102" w14:textId="5668B47E" w:rsidR="002C0A38" w:rsidRDefault="005C4E6B"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1 074</w:t>
            </w:r>
          </w:p>
          <w:p w14:paraId="26906723" w14:textId="42A68573" w:rsidR="005C4E6B" w:rsidRPr="00E46212" w:rsidRDefault="005C4E6B"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1 204</w:t>
            </w:r>
          </w:p>
        </w:tc>
        <w:tc>
          <w:tcPr>
            <w:tcW w:w="1086" w:type="dxa"/>
          </w:tcPr>
          <w:p w14:paraId="4759591B" w14:textId="77777777" w:rsidR="002C0A38" w:rsidRDefault="00454880"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949</w:t>
            </w:r>
          </w:p>
          <w:p w14:paraId="0CD17AA4" w14:textId="074F01B6" w:rsidR="00454880" w:rsidRPr="00E46212" w:rsidRDefault="00454880"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1 189</w:t>
            </w:r>
          </w:p>
        </w:tc>
        <w:tc>
          <w:tcPr>
            <w:tcW w:w="1085" w:type="dxa"/>
          </w:tcPr>
          <w:p w14:paraId="403EB2EF" w14:textId="77777777" w:rsidR="002C0A38" w:rsidRDefault="00483FEA"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954</w:t>
            </w:r>
          </w:p>
          <w:p w14:paraId="5B5A9FA5" w14:textId="4E636CD0" w:rsidR="00483FEA" w:rsidRPr="00E46212" w:rsidRDefault="002B7B8B"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1 771</w:t>
            </w:r>
          </w:p>
        </w:tc>
        <w:tc>
          <w:tcPr>
            <w:tcW w:w="1086" w:type="dxa"/>
          </w:tcPr>
          <w:p w14:paraId="63E3B488" w14:textId="77777777" w:rsidR="002C0A38" w:rsidRDefault="0030148F"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957</w:t>
            </w:r>
          </w:p>
          <w:p w14:paraId="3EAB7461" w14:textId="11CD80B3" w:rsidR="0030148F" w:rsidRPr="00E46212" w:rsidRDefault="00BB63C1" w:rsidP="005C4E6B">
            <w:pPr>
              <w:pStyle w:val="NormalnyWeb"/>
              <w:tabs>
                <w:tab w:val="left" w:pos="284"/>
              </w:tabs>
              <w:spacing w:beforeAutospacing="0" w:after="120" w:afterAutospacing="0" w:line="360" w:lineRule="auto"/>
              <w:jc w:val="right"/>
              <w:rPr>
                <w:rFonts w:ascii="Arial" w:hAnsi="Arial" w:cs="Arial"/>
              </w:rPr>
            </w:pPr>
            <w:r>
              <w:rPr>
                <w:rFonts w:ascii="Arial" w:hAnsi="Arial" w:cs="Arial"/>
              </w:rPr>
              <w:t>1 731</w:t>
            </w:r>
          </w:p>
        </w:tc>
      </w:tr>
      <w:tr w:rsidR="002309F8" w14:paraId="15653E99" w14:textId="77777777" w:rsidTr="00785B70">
        <w:tc>
          <w:tcPr>
            <w:tcW w:w="3681" w:type="dxa"/>
          </w:tcPr>
          <w:p w14:paraId="66D5ACA3" w14:textId="59B88596" w:rsidR="00E16802" w:rsidRPr="00D91A79" w:rsidRDefault="006B58F0" w:rsidP="00A92B09">
            <w:pPr>
              <w:jc w:val="both"/>
              <w:rPr>
                <w:rFonts w:ascii="Arial" w:hAnsi="Arial" w:cs="Arial"/>
                <w:sz w:val="18"/>
                <w:szCs w:val="18"/>
              </w:rPr>
            </w:pPr>
            <w:r w:rsidRPr="00A92B09">
              <w:rPr>
                <w:rFonts w:ascii="Arial" w:hAnsi="Arial" w:cs="Arial"/>
                <w:color w:val="000000"/>
                <w:sz w:val="20"/>
                <w:szCs w:val="20"/>
              </w:rPr>
              <w:lastRenderedPageBreak/>
              <w:t xml:space="preserve">Liczba </w:t>
            </w:r>
            <w:r w:rsidR="001666CE" w:rsidRPr="00A92B09">
              <w:rPr>
                <w:rFonts w:ascii="Arial" w:hAnsi="Arial" w:cs="Arial"/>
                <w:color w:val="000000"/>
                <w:sz w:val="20"/>
                <w:szCs w:val="20"/>
              </w:rPr>
              <w:t xml:space="preserve">próbek </w:t>
            </w:r>
            <w:r w:rsidRPr="00A92B09">
              <w:rPr>
                <w:rFonts w:ascii="Arial" w:hAnsi="Arial" w:cs="Arial"/>
                <w:color w:val="000000"/>
                <w:sz w:val="20"/>
                <w:szCs w:val="20"/>
              </w:rPr>
              <w:t>niezawiera</w:t>
            </w:r>
            <w:r w:rsidR="001666CE" w:rsidRPr="00A92B09">
              <w:rPr>
                <w:rFonts w:ascii="Arial" w:hAnsi="Arial" w:cs="Arial"/>
                <w:color w:val="000000"/>
                <w:sz w:val="20"/>
                <w:szCs w:val="20"/>
              </w:rPr>
              <w:t>jących</w:t>
            </w:r>
            <w:r w:rsidRPr="00A92B09">
              <w:rPr>
                <w:rFonts w:ascii="Arial" w:hAnsi="Arial" w:cs="Arial"/>
                <w:color w:val="000000"/>
                <w:sz w:val="20"/>
                <w:szCs w:val="20"/>
              </w:rPr>
              <w:t xml:space="preserve"> pozostałości środków ochrony roślin</w:t>
            </w:r>
          </w:p>
        </w:tc>
        <w:tc>
          <w:tcPr>
            <w:tcW w:w="1085" w:type="dxa"/>
          </w:tcPr>
          <w:p w14:paraId="2E4CDCFB" w14:textId="728F8D67" w:rsidR="00E16802" w:rsidRPr="00E46212" w:rsidRDefault="0081779F" w:rsidP="00E46212">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1 440</w:t>
            </w:r>
          </w:p>
        </w:tc>
        <w:tc>
          <w:tcPr>
            <w:tcW w:w="1085" w:type="dxa"/>
          </w:tcPr>
          <w:p w14:paraId="55C65503" w14:textId="41E56725" w:rsidR="00E16802" w:rsidRPr="00E46212" w:rsidRDefault="00BA37D9"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1 480</w:t>
            </w:r>
          </w:p>
        </w:tc>
        <w:tc>
          <w:tcPr>
            <w:tcW w:w="1086" w:type="dxa"/>
          </w:tcPr>
          <w:p w14:paraId="34B82709" w14:textId="5EF2F3A7" w:rsidR="00E16802" w:rsidRPr="00E46212" w:rsidRDefault="00454880"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1 516</w:t>
            </w:r>
          </w:p>
        </w:tc>
        <w:tc>
          <w:tcPr>
            <w:tcW w:w="1085" w:type="dxa"/>
          </w:tcPr>
          <w:p w14:paraId="17BE6109" w14:textId="7AAC04DF" w:rsidR="00E16802" w:rsidRPr="00E46212" w:rsidRDefault="002B7B8B"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2 059</w:t>
            </w:r>
          </w:p>
        </w:tc>
        <w:tc>
          <w:tcPr>
            <w:tcW w:w="1086" w:type="dxa"/>
          </w:tcPr>
          <w:p w14:paraId="7D9D44CC" w14:textId="11023440" w:rsidR="00E16802" w:rsidRPr="00E46212" w:rsidRDefault="00BB63C1"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1 976</w:t>
            </w:r>
          </w:p>
        </w:tc>
      </w:tr>
      <w:tr w:rsidR="002309F8" w14:paraId="20A30EE4" w14:textId="77777777" w:rsidTr="00785B70">
        <w:tc>
          <w:tcPr>
            <w:tcW w:w="3681" w:type="dxa"/>
          </w:tcPr>
          <w:p w14:paraId="681F2A0E" w14:textId="16E9C0AF" w:rsidR="00E16802" w:rsidRPr="00D91A79" w:rsidRDefault="00C7477B" w:rsidP="00A92B09">
            <w:pPr>
              <w:jc w:val="both"/>
              <w:rPr>
                <w:rFonts w:ascii="Arial" w:hAnsi="Arial" w:cs="Arial"/>
                <w:sz w:val="18"/>
                <w:szCs w:val="18"/>
              </w:rPr>
            </w:pPr>
            <w:r w:rsidRPr="00A92B09">
              <w:rPr>
                <w:rFonts w:ascii="Arial" w:hAnsi="Arial" w:cs="Arial"/>
                <w:color w:val="000000"/>
                <w:sz w:val="20"/>
                <w:szCs w:val="20"/>
              </w:rPr>
              <w:t>Liczba próbek, w których wykryto pozostałości pozostające poniżej najwyższych dopuszczalnych poziomów pozostałości środków ochrony roślin</w:t>
            </w:r>
          </w:p>
        </w:tc>
        <w:tc>
          <w:tcPr>
            <w:tcW w:w="1085" w:type="dxa"/>
          </w:tcPr>
          <w:p w14:paraId="0E9D36F4" w14:textId="711558E7" w:rsidR="00E16802" w:rsidRPr="00E46212" w:rsidRDefault="0081779F" w:rsidP="00E46212">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1 295</w:t>
            </w:r>
          </w:p>
        </w:tc>
        <w:tc>
          <w:tcPr>
            <w:tcW w:w="1085" w:type="dxa"/>
          </w:tcPr>
          <w:p w14:paraId="4051D647" w14:textId="5654C7E0" w:rsidR="00E16802" w:rsidRPr="00E46212" w:rsidRDefault="00BA37D9"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1 221</w:t>
            </w:r>
          </w:p>
        </w:tc>
        <w:tc>
          <w:tcPr>
            <w:tcW w:w="1086" w:type="dxa"/>
          </w:tcPr>
          <w:p w14:paraId="1E963F02" w14:textId="61F0B859" w:rsidR="00E16802" w:rsidRPr="00E46212" w:rsidRDefault="00D5308A"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1 520</w:t>
            </w:r>
          </w:p>
        </w:tc>
        <w:tc>
          <w:tcPr>
            <w:tcW w:w="1085" w:type="dxa"/>
          </w:tcPr>
          <w:p w14:paraId="04FBE1B5" w14:textId="4838FBCE" w:rsidR="00E16802" w:rsidRPr="00E46212" w:rsidRDefault="002B7B8B"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1 705</w:t>
            </w:r>
          </w:p>
        </w:tc>
        <w:tc>
          <w:tcPr>
            <w:tcW w:w="1086" w:type="dxa"/>
          </w:tcPr>
          <w:p w14:paraId="4E0E9626" w14:textId="15425685" w:rsidR="00E16802" w:rsidRPr="00E46212" w:rsidRDefault="00BB63C1"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1 712</w:t>
            </w:r>
          </w:p>
        </w:tc>
      </w:tr>
      <w:tr w:rsidR="002309F8" w14:paraId="0B599574" w14:textId="77777777" w:rsidTr="00785B70">
        <w:tc>
          <w:tcPr>
            <w:tcW w:w="3681" w:type="dxa"/>
          </w:tcPr>
          <w:p w14:paraId="2A7F0790" w14:textId="336B9868" w:rsidR="00E16802" w:rsidRPr="00D91A79" w:rsidRDefault="009F3B06" w:rsidP="00A92B09">
            <w:pPr>
              <w:jc w:val="both"/>
              <w:rPr>
                <w:rFonts w:ascii="Arial" w:hAnsi="Arial" w:cs="Arial"/>
                <w:sz w:val="18"/>
                <w:szCs w:val="18"/>
              </w:rPr>
            </w:pPr>
            <w:r w:rsidRPr="00A92B09">
              <w:rPr>
                <w:rFonts w:ascii="Arial" w:hAnsi="Arial" w:cs="Arial"/>
                <w:color w:val="000000"/>
                <w:sz w:val="20"/>
                <w:szCs w:val="20"/>
              </w:rPr>
              <w:t xml:space="preserve">Liczba próbek </w:t>
            </w:r>
            <w:r w:rsidR="007D15F7" w:rsidRPr="00A92B09">
              <w:rPr>
                <w:rFonts w:ascii="Arial" w:hAnsi="Arial" w:cs="Arial"/>
                <w:color w:val="000000"/>
                <w:sz w:val="20"/>
                <w:szCs w:val="20"/>
              </w:rPr>
              <w:t xml:space="preserve">mających </w:t>
            </w:r>
            <w:r w:rsidRPr="00A92B09">
              <w:rPr>
                <w:rFonts w:ascii="Arial" w:hAnsi="Arial" w:cs="Arial"/>
                <w:color w:val="000000"/>
                <w:sz w:val="20"/>
                <w:szCs w:val="20"/>
              </w:rPr>
              <w:t>przekroczenia najwyższych dopuszczalnych poziomów zastosowanych środków ochrony roślin stwierdzono</w:t>
            </w:r>
          </w:p>
        </w:tc>
        <w:tc>
          <w:tcPr>
            <w:tcW w:w="1085" w:type="dxa"/>
          </w:tcPr>
          <w:p w14:paraId="6651E4C5" w14:textId="6C430152" w:rsidR="00E16802" w:rsidRPr="00E46212" w:rsidRDefault="00E46212" w:rsidP="00E46212">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68</w:t>
            </w:r>
          </w:p>
        </w:tc>
        <w:tc>
          <w:tcPr>
            <w:tcW w:w="1085" w:type="dxa"/>
          </w:tcPr>
          <w:p w14:paraId="6EC24204" w14:textId="479C7566" w:rsidR="00E16802" w:rsidRPr="00E46212" w:rsidRDefault="00A239C5"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117</w:t>
            </w:r>
          </w:p>
        </w:tc>
        <w:tc>
          <w:tcPr>
            <w:tcW w:w="1086" w:type="dxa"/>
          </w:tcPr>
          <w:p w14:paraId="2D6B753C" w14:textId="1586FD45" w:rsidR="00E16802" w:rsidRPr="00E46212" w:rsidRDefault="0032448A"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67</w:t>
            </w:r>
          </w:p>
        </w:tc>
        <w:tc>
          <w:tcPr>
            <w:tcW w:w="1085" w:type="dxa"/>
          </w:tcPr>
          <w:p w14:paraId="0E7D5A4A" w14:textId="57C7C046" w:rsidR="00E16802" w:rsidRPr="00E46212" w:rsidRDefault="002B7B8B"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80</w:t>
            </w:r>
          </w:p>
        </w:tc>
        <w:tc>
          <w:tcPr>
            <w:tcW w:w="1086" w:type="dxa"/>
          </w:tcPr>
          <w:p w14:paraId="79FD740A" w14:textId="3B28DE7D" w:rsidR="00E16802" w:rsidRPr="00E46212" w:rsidRDefault="00DC77CE"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98</w:t>
            </w:r>
          </w:p>
        </w:tc>
      </w:tr>
      <w:tr w:rsidR="002309F8" w14:paraId="522F96C0" w14:textId="77777777" w:rsidTr="00785B70">
        <w:tc>
          <w:tcPr>
            <w:tcW w:w="3681" w:type="dxa"/>
          </w:tcPr>
          <w:p w14:paraId="06C73353" w14:textId="6AA92620" w:rsidR="00E16802" w:rsidRPr="00D91A79" w:rsidRDefault="007D15F7" w:rsidP="00A92B09">
            <w:pPr>
              <w:jc w:val="both"/>
              <w:rPr>
                <w:rFonts w:ascii="Arial" w:hAnsi="Arial" w:cs="Arial"/>
                <w:sz w:val="18"/>
                <w:szCs w:val="18"/>
              </w:rPr>
            </w:pPr>
            <w:r w:rsidRPr="00A92B09">
              <w:rPr>
                <w:rFonts w:ascii="Arial" w:hAnsi="Arial" w:cs="Arial"/>
                <w:color w:val="000000"/>
                <w:sz w:val="20"/>
                <w:szCs w:val="20"/>
              </w:rPr>
              <w:t>Liczba próbek, w których twierdzono obecność substancji czynnych niedozwolonych do stosowania w danej uprawie</w:t>
            </w:r>
          </w:p>
        </w:tc>
        <w:tc>
          <w:tcPr>
            <w:tcW w:w="1085" w:type="dxa"/>
          </w:tcPr>
          <w:p w14:paraId="2308A2C3" w14:textId="27674940" w:rsidR="00E16802" w:rsidRPr="00E46212" w:rsidRDefault="00E46212" w:rsidP="00E46212">
            <w:pPr>
              <w:pStyle w:val="NormalnyWeb"/>
              <w:tabs>
                <w:tab w:val="left" w:pos="284"/>
              </w:tabs>
              <w:spacing w:beforeAutospacing="0" w:after="120" w:afterAutospacing="0" w:line="360" w:lineRule="auto"/>
              <w:jc w:val="right"/>
              <w:rPr>
                <w:rFonts w:ascii="Arial" w:hAnsi="Arial" w:cs="Arial"/>
              </w:rPr>
            </w:pPr>
            <w:r w:rsidRPr="00E46212">
              <w:rPr>
                <w:rFonts w:ascii="Arial" w:hAnsi="Arial" w:cs="Arial"/>
              </w:rPr>
              <w:t>346</w:t>
            </w:r>
          </w:p>
        </w:tc>
        <w:tc>
          <w:tcPr>
            <w:tcW w:w="1085" w:type="dxa"/>
          </w:tcPr>
          <w:p w14:paraId="1D58E1BE" w14:textId="2F49F386" w:rsidR="00E16802" w:rsidRPr="00E46212" w:rsidRDefault="00A239C5"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410</w:t>
            </w:r>
          </w:p>
        </w:tc>
        <w:tc>
          <w:tcPr>
            <w:tcW w:w="1086" w:type="dxa"/>
          </w:tcPr>
          <w:p w14:paraId="75D8F3C3" w14:textId="1D45B338" w:rsidR="00E16802" w:rsidRPr="00E46212" w:rsidRDefault="0032448A"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397</w:t>
            </w:r>
          </w:p>
        </w:tc>
        <w:tc>
          <w:tcPr>
            <w:tcW w:w="1085" w:type="dxa"/>
          </w:tcPr>
          <w:p w14:paraId="1F0C7375" w14:textId="7AF83612" w:rsidR="00E16802" w:rsidRPr="00E46212" w:rsidRDefault="002B7B8B"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419</w:t>
            </w:r>
          </w:p>
        </w:tc>
        <w:tc>
          <w:tcPr>
            <w:tcW w:w="1086" w:type="dxa"/>
          </w:tcPr>
          <w:p w14:paraId="3BB60D78" w14:textId="4AA5A65F" w:rsidR="00E16802" w:rsidRPr="00E46212" w:rsidRDefault="00DC77CE" w:rsidP="00E46212">
            <w:pPr>
              <w:pStyle w:val="NormalnyWeb"/>
              <w:tabs>
                <w:tab w:val="left" w:pos="284"/>
              </w:tabs>
              <w:spacing w:beforeAutospacing="0" w:after="120" w:afterAutospacing="0" w:line="360" w:lineRule="auto"/>
              <w:jc w:val="right"/>
              <w:rPr>
                <w:rFonts w:ascii="Arial" w:hAnsi="Arial" w:cs="Arial"/>
              </w:rPr>
            </w:pPr>
            <w:r>
              <w:rPr>
                <w:rFonts w:ascii="Arial" w:hAnsi="Arial" w:cs="Arial"/>
              </w:rPr>
              <w:t>610</w:t>
            </w:r>
          </w:p>
        </w:tc>
      </w:tr>
    </w:tbl>
    <w:p w14:paraId="1A2CCBF2" w14:textId="77777777" w:rsidR="006F732D" w:rsidRDefault="006F732D" w:rsidP="006075FA">
      <w:pPr>
        <w:pStyle w:val="NormalnyWeb"/>
        <w:tabs>
          <w:tab w:val="left" w:pos="284"/>
        </w:tabs>
        <w:spacing w:beforeAutospacing="0" w:after="120" w:afterAutospacing="0" w:line="360" w:lineRule="auto"/>
        <w:ind w:firstLine="284"/>
        <w:jc w:val="both"/>
        <w:rPr>
          <w:rFonts w:ascii="Arial" w:hAnsi="Arial" w:cs="Arial"/>
        </w:rPr>
      </w:pPr>
    </w:p>
    <w:p w14:paraId="7E311753" w14:textId="77777777" w:rsidR="00056846" w:rsidRPr="00925BCD" w:rsidRDefault="00E54725">
      <w:pPr>
        <w:pStyle w:val="Nagwek1"/>
        <w:numPr>
          <w:ilvl w:val="1"/>
          <w:numId w:val="9"/>
        </w:numPr>
        <w:tabs>
          <w:tab w:val="left" w:pos="284"/>
        </w:tabs>
        <w:ind w:left="426" w:hanging="426"/>
        <w:jc w:val="both"/>
        <w:rPr>
          <w:i w:val="0"/>
          <w:sz w:val="22"/>
          <w:szCs w:val="22"/>
        </w:rPr>
      </w:pPr>
      <w:bookmarkStart w:id="148" w:name="_Toc161744911"/>
      <w:r w:rsidRPr="00925BCD">
        <w:rPr>
          <w:i w:val="0"/>
          <w:sz w:val="22"/>
          <w:szCs w:val="22"/>
        </w:rPr>
        <w:t>Mierniki służące monitorowaniu</w:t>
      </w:r>
      <w:bookmarkEnd w:id="148"/>
    </w:p>
    <w:p w14:paraId="3C58B4E1" w14:textId="17D76B93" w:rsidR="00056846"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 względu na charakter działania, mającego na celu zwiększenie efektywności innych działań ujętych w krajowym planie działania, nie zostały wyodrębnione do oceny jego realizacji indywidualne mierniki.</w:t>
      </w:r>
    </w:p>
    <w:p w14:paraId="321FE8FE" w14:textId="77777777" w:rsidR="00056846" w:rsidRPr="00925BCD" w:rsidRDefault="00E54725">
      <w:pPr>
        <w:pStyle w:val="Nagwek1"/>
        <w:numPr>
          <w:ilvl w:val="0"/>
          <w:numId w:val="9"/>
        </w:numPr>
        <w:jc w:val="both"/>
        <w:rPr>
          <w:i w:val="0"/>
          <w:sz w:val="22"/>
          <w:szCs w:val="22"/>
        </w:rPr>
      </w:pPr>
      <w:bookmarkStart w:id="149" w:name="_Toc161744912"/>
      <w:bookmarkStart w:id="150" w:name="_Toc341876082"/>
      <w:r w:rsidRPr="00925BCD">
        <w:rPr>
          <w:i w:val="0"/>
          <w:sz w:val="22"/>
          <w:szCs w:val="22"/>
        </w:rPr>
        <w:t>Działanie 13. Optymalizacja ochrony upraw małoobszarowych i ekologicznych</w:t>
      </w:r>
      <w:bookmarkEnd w:id="149"/>
      <w:r w:rsidRPr="00925BCD">
        <w:rPr>
          <w:i w:val="0"/>
          <w:sz w:val="22"/>
          <w:szCs w:val="22"/>
        </w:rPr>
        <w:t xml:space="preserve"> </w:t>
      </w:r>
      <w:bookmarkEnd w:id="150"/>
    </w:p>
    <w:p w14:paraId="0D3A162B"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Ochrona roślin o niskim zużyciu preparatów chemicznych obejmuje integrowaną ochronę roślin oraz rolnictwo ekologiczne.</w:t>
      </w:r>
    </w:p>
    <w:p w14:paraId="08712473"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Wdrożenie zasad integrowanej ochrony roślin wymaga zapewnienia producentom rolnym odpowiednich narzędzi, w tym także środków zawierających substancje czynne zakwalifikowane do grupy niskiego ryzyka, a także substancje dopuszczone do stosowania w uprawach ekologicznych, które minimalizują ryzyko negatywnego wpływu na środowisko.</w:t>
      </w:r>
    </w:p>
    <w:p w14:paraId="7790056C"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Dobór środków ochrony roślin powinien nie tylko zapewniać możliwość ochrony poszczególnych upraw, ale także przemienne stosowanie środków ochrony roślin zawierających różne substancje czynne. Obok chemicznych środków ochrony roślin producenci rolni powinni mieć możliwość sięgnięcia po preparaty biologiczne zawierające mikroorganizmy lub makroorganizmy lub substancje podstawowe. </w:t>
      </w:r>
    </w:p>
    <w:p w14:paraId="6B2D0288"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optymalnej dostępności środków ochrony roślin jest szczególnie widoczny w przypadku rolnictwa ekologicznego, gdzie stosowane mogą być wyłącznie preparaty zawierające określone substancje czynne, a także upraw małoobszarowych. </w:t>
      </w:r>
    </w:p>
    <w:p w14:paraId="38C716D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środków ochrony roślin dopuszczonych do stosowania w uprawach małoobszarowych jest przy tym jednym z czynników zwiększających ryzyko naruszeń przepisów dotyczących stosowania tych środków, w tym ich stosowania niezgodnie z etykietą. </w:t>
      </w:r>
    </w:p>
    <w:p w14:paraId="48C309B2"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Przepisy rozporządzenia Parlamentu Europejskiego i Rady (WE) nr 1107/2009 z dnia 21 października 2009 r. dotyczącego wprowadzania do obrotu środków ochrony roślin i uchylającego dyrektywy Rady 79/117/EWG i 91/414/EWG (Dz. Urz. UE L 309 z 24.11.2009, str. 1, z późn. zm.), przewidują w procedurach dopuszczania środków ochrony roślin do obrotu możliwość wykorzystania takich mechanizmów jak rejestracja strefowa, wzajemne uznawanie zezwoleń (w tym także na zastosowania małoobszarowe), czy też rozszerzenie zakresu zezwoleń na zastosowania małoobszarowe. W 2018 r. wydano 76 takich rozszerzeń.</w:t>
      </w:r>
    </w:p>
    <w:p w14:paraId="31E65859" w14:textId="26F9C307" w:rsidR="009B57E0" w:rsidRPr="00CC5DFC"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2011 r. </w:t>
      </w:r>
      <w:r w:rsidRPr="00925BCD">
        <w:rPr>
          <w:rFonts w:ascii="Arial" w:hAnsi="Arial" w:cs="Arial"/>
          <w:b/>
        </w:rPr>
        <w:t>Instytut Ochrony Roślin – PIB</w:t>
      </w:r>
      <w:r w:rsidRPr="00925BCD">
        <w:rPr>
          <w:rFonts w:ascii="Arial" w:hAnsi="Arial" w:cs="Arial"/>
        </w:rPr>
        <w:t xml:space="preserve"> rozpoczął realizację zadania: „Analiza możliwości kompleksowej ochrony wybranych upraw małoobszarowych”, w ramach programu wieloletniego pod nazwą „Ochrona roślin uprawnych z uwzględnieniem bezpieczeństwa żywności oraz ograniczenia strat w plonach i zagrożeń dla zdrowia ludzi, zwierząt domowych i środowiska”. Celem zadania było stworzenie kompleksowych programów ochrony wybranych rolniczych upraw małoobszarowych, w tym roślin energetycznych, dla których brak było w Polsce skutecznych metod ochrony. W 2018 r. badania dotyczyły upraw małoobszarowych takich jak: łubin biały (Lupinus albus L.), łubin wąskolistny (Lupinus angustifolius L.), łubin żółty (Lupinus luteus L.) oraz wybranych gatunków traw nasiennych: kostrzewa czerwona (Festuca rubra L), wiechlina </w:t>
      </w:r>
      <w:r w:rsidRPr="00CC5DFC">
        <w:rPr>
          <w:rFonts w:ascii="Arial" w:hAnsi="Arial" w:cs="Arial"/>
        </w:rPr>
        <w:t>łąkowa (Poa pratensis L), życica wielokwiatowa (Lolium multiflorum Lam.)</w:t>
      </w:r>
      <w:r w:rsidR="00866393" w:rsidRPr="00CC5DFC">
        <w:rPr>
          <w:rFonts w:ascii="Arial" w:hAnsi="Arial" w:cs="Arial"/>
        </w:rPr>
        <w:t>,  w 2019 r. soi (</w:t>
      </w:r>
      <w:r w:rsidR="00866393" w:rsidRPr="00CC5DFC">
        <w:rPr>
          <w:rFonts w:ascii="Arial" w:hAnsi="Arial" w:cs="Arial"/>
          <w:i/>
          <w:iCs/>
        </w:rPr>
        <w:t xml:space="preserve">Glycine max </w:t>
      </w:r>
      <w:r w:rsidR="00866393" w:rsidRPr="00CC5DFC">
        <w:rPr>
          <w:rFonts w:ascii="Arial" w:hAnsi="Arial" w:cs="Arial"/>
        </w:rPr>
        <w:t>(L.) Merr.) oraz łubinu białego (</w:t>
      </w:r>
      <w:r w:rsidR="00866393" w:rsidRPr="00CC5DFC">
        <w:rPr>
          <w:rFonts w:ascii="Arial" w:hAnsi="Arial" w:cs="Arial"/>
          <w:i/>
          <w:iCs/>
        </w:rPr>
        <w:t>Lupinus albus</w:t>
      </w:r>
      <w:r w:rsidR="00866393" w:rsidRPr="00CC5DFC">
        <w:rPr>
          <w:rFonts w:ascii="Arial" w:hAnsi="Arial" w:cs="Arial"/>
        </w:rPr>
        <w:t xml:space="preserve"> L.), łubinu wąskolistnego (</w:t>
      </w:r>
      <w:r w:rsidR="00866393" w:rsidRPr="00CC5DFC">
        <w:rPr>
          <w:rFonts w:ascii="Arial" w:hAnsi="Arial" w:cs="Arial"/>
          <w:i/>
          <w:iCs/>
        </w:rPr>
        <w:t xml:space="preserve">Lupinus </w:t>
      </w:r>
      <w:r w:rsidR="00866393" w:rsidRPr="00CC5DFC">
        <w:rPr>
          <w:rFonts w:ascii="Arial" w:hAnsi="Arial" w:cs="Arial"/>
          <w:i/>
        </w:rPr>
        <w:t>angustifoliu</w:t>
      </w:r>
      <w:r w:rsidR="00866393" w:rsidRPr="00CC5DFC">
        <w:rPr>
          <w:rFonts w:ascii="Arial" w:hAnsi="Arial" w:cs="Arial"/>
        </w:rPr>
        <w:t>s L.) i łubinu żółtego (</w:t>
      </w:r>
      <w:r w:rsidR="00866393" w:rsidRPr="00CC5DFC">
        <w:rPr>
          <w:rFonts w:ascii="Arial" w:hAnsi="Arial" w:cs="Arial"/>
          <w:i/>
        </w:rPr>
        <w:t>Lupinus luteus</w:t>
      </w:r>
      <w:r w:rsidR="00866393" w:rsidRPr="00CC5DFC">
        <w:rPr>
          <w:rFonts w:ascii="Arial" w:hAnsi="Arial" w:cs="Arial"/>
        </w:rPr>
        <w:t xml:space="preserve"> L.)</w:t>
      </w:r>
      <w:r w:rsidR="00EA1380" w:rsidRPr="00CC5DFC">
        <w:rPr>
          <w:rFonts w:ascii="Arial" w:hAnsi="Arial" w:cs="Arial"/>
        </w:rPr>
        <w:t>.</w:t>
      </w:r>
      <w:r w:rsidR="006850FC" w:rsidRPr="00CC5DFC">
        <w:rPr>
          <w:rFonts w:ascii="Arial" w:hAnsi="Arial" w:cs="Arial"/>
        </w:rPr>
        <w:t xml:space="preserve">W </w:t>
      </w:r>
      <w:r w:rsidR="003D1152" w:rsidRPr="00CC5DFC">
        <w:rPr>
          <w:rFonts w:ascii="Arial" w:hAnsi="Arial" w:cs="Arial"/>
        </w:rPr>
        <w:t xml:space="preserve">2020 r. </w:t>
      </w:r>
      <w:r w:rsidR="007C19B1">
        <w:rPr>
          <w:rFonts w:ascii="Arial" w:hAnsi="Arial" w:cs="Arial"/>
        </w:rPr>
        <w:t xml:space="preserve">w Instytucie </w:t>
      </w:r>
      <w:r w:rsidR="009B57E0" w:rsidRPr="00CC5DFC">
        <w:rPr>
          <w:rFonts w:ascii="Arial" w:hAnsi="Arial" w:cs="Arial"/>
        </w:rPr>
        <w:t>o</w:t>
      </w:r>
      <w:r w:rsidR="007C19B1" w:rsidRPr="007C19B1">
        <w:rPr>
          <w:rFonts w:ascii="Arial" w:hAnsi="Arial" w:cs="Arial"/>
        </w:rPr>
        <w:t>pracowan</w:t>
      </w:r>
      <w:r w:rsidR="007C19B1">
        <w:rPr>
          <w:rFonts w:ascii="Arial" w:hAnsi="Arial" w:cs="Arial"/>
        </w:rPr>
        <w:t>o</w:t>
      </w:r>
      <w:r w:rsidR="007C19B1" w:rsidRPr="007C19B1">
        <w:rPr>
          <w:rFonts w:ascii="Arial" w:hAnsi="Arial" w:cs="Arial"/>
        </w:rPr>
        <w:t xml:space="preserve"> zalece</w:t>
      </w:r>
      <w:r w:rsidR="007C19B1">
        <w:rPr>
          <w:rFonts w:ascii="Arial" w:hAnsi="Arial" w:cs="Arial"/>
        </w:rPr>
        <w:t>nia</w:t>
      </w:r>
      <w:r w:rsidR="007C19B1" w:rsidRPr="007C19B1">
        <w:rPr>
          <w:rFonts w:ascii="Arial" w:hAnsi="Arial" w:cs="Arial"/>
        </w:rPr>
        <w:t xml:space="preserve"> i wytyczne do ochrony wybranych upraw małoobszarowych, takich jak: facelia błękitna, seradela, koniczyna czerwona, rzodkiew oleista, lnianka siewna, łubin biały, łubin wąskolistny, łubin żółty.</w:t>
      </w:r>
      <w:r w:rsidR="0089404E">
        <w:rPr>
          <w:rFonts w:ascii="Arial" w:hAnsi="Arial" w:cs="Arial"/>
        </w:rPr>
        <w:t xml:space="preserve"> </w:t>
      </w:r>
    </w:p>
    <w:p w14:paraId="2C690290" w14:textId="697B572A"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2015 r. </w:t>
      </w:r>
      <w:r w:rsidRPr="00925BCD">
        <w:rPr>
          <w:rFonts w:ascii="Arial" w:hAnsi="Arial" w:cs="Arial"/>
          <w:b/>
        </w:rPr>
        <w:t>Instytut Ogrodnictwa</w:t>
      </w:r>
      <w:r w:rsidR="003D1152">
        <w:rPr>
          <w:rFonts w:ascii="Arial" w:hAnsi="Arial" w:cs="Arial"/>
          <w:b/>
        </w:rPr>
        <w:t xml:space="preserve"> – PIB</w:t>
      </w:r>
      <w:r w:rsidRPr="00925BCD">
        <w:rPr>
          <w:rFonts w:ascii="Arial" w:hAnsi="Arial" w:cs="Arial"/>
        </w:rPr>
        <w:t xml:space="preserve"> rozpoczął realizację zadania „Analiza możliwości integrowanej ochrony wybranych roślin ogrodniczych dla upraw małoobszarowych”, w ramach programu wieloletniego pod nazwą „Działania na rzecz poprawy konkurencyjności i innowacyjności sektora ogrodniczego z uwzględnieniem jakości i bezpieczeństwa żywności oraz ochrony środowiska naturalnego” na lata 2015–2020. </w:t>
      </w:r>
      <w:r w:rsidRPr="00861A01">
        <w:rPr>
          <w:rFonts w:ascii="Arial" w:hAnsi="Arial" w:cs="Arial"/>
          <w:b/>
          <w:bCs/>
        </w:rPr>
        <w:t>W 2018 r.</w:t>
      </w:r>
      <w:r w:rsidRPr="00925BCD">
        <w:rPr>
          <w:rFonts w:ascii="Arial" w:hAnsi="Arial" w:cs="Arial"/>
        </w:rPr>
        <w:t xml:space="preserve"> na podstawie etykiet załączonych w bazach i dostępnych w</w:t>
      </w:r>
      <w:r w:rsidR="00866393" w:rsidRPr="00925BCD">
        <w:rPr>
          <w:rFonts w:ascii="Arial" w:hAnsi="Arial" w:cs="Arial"/>
        </w:rPr>
        <w:t> </w:t>
      </w:r>
      <w:r w:rsidRPr="00925BCD">
        <w:rPr>
          <w:rFonts w:ascii="Arial" w:hAnsi="Arial" w:cs="Arial"/>
        </w:rPr>
        <w:t>Internecie programów ochrony upraw ogrodniczych w krajach UE przeanalizowano możliwości ochrony dla:</w:t>
      </w:r>
    </w:p>
    <w:p w14:paraId="539415B8"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sadowniczych: opracowano nowe programy ochrony dla 2 gatunków: czereśnia i porzeczka czarna; oraz zaktualizowano programy ochrony dla 5 gatunków: truskawka, malina, borówka wysoka, śliwa, wiśnia; </w:t>
      </w:r>
    </w:p>
    <w:p w14:paraId="731211A7"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gatunków roślin warzywnych: opracowano nowe programy ochrony dla 4 gatunków: bób, burak ćwikłowy, ogórek gruntowy, pomidor szklarniowy oraz zaktualizowano programy ochrony dla 9 gatunków: cebula, fasola, groch, kapusta głowiasta, kapusta pekińska, marchew, pietruszka korzeniowa/naciowa, seler/seler naciowy, pomidor gruntowy.</w:t>
      </w:r>
    </w:p>
    <w:p w14:paraId="173C1D65" w14:textId="77777777" w:rsidR="00056846" w:rsidRPr="00925BCD" w:rsidRDefault="00E54725" w:rsidP="0099131F">
      <w:pPr>
        <w:pStyle w:val="NormalnyWeb"/>
        <w:tabs>
          <w:tab w:val="left" w:pos="284"/>
        </w:tabs>
        <w:spacing w:beforeAutospacing="0" w:after="120" w:afterAutospacing="0" w:line="360" w:lineRule="auto"/>
        <w:ind w:left="567" w:hanging="283"/>
        <w:jc w:val="both"/>
        <w:rPr>
          <w:rFonts w:ascii="Arial" w:hAnsi="Arial" w:cs="Arial"/>
        </w:rPr>
      </w:pPr>
      <w:r w:rsidRPr="0057374A">
        <w:rPr>
          <w:rFonts w:ascii="Arial" w:hAnsi="Arial" w:cs="Arial"/>
          <w:b/>
          <w:bCs/>
        </w:rPr>
        <w:t>W 2019 r</w:t>
      </w:r>
      <w:r w:rsidRPr="00925BCD">
        <w:rPr>
          <w:rFonts w:ascii="Arial" w:hAnsi="Arial" w:cs="Arial"/>
        </w:rPr>
        <w:t>. na podstawie etykiet załączonych w bazach i dostępnych w Internecie programów ochrony upraw ogrodniczych w krajach UE przeanalizowano możliwości ochrony dla:</w:t>
      </w:r>
    </w:p>
    <w:p w14:paraId="78406A8E"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bookmarkStart w:id="151" w:name="_Hlk96082034"/>
      <w:r w:rsidRPr="00925BCD">
        <w:rPr>
          <w:rFonts w:ascii="Arial" w:hAnsi="Arial" w:cs="Arial"/>
        </w:rPr>
        <w:t xml:space="preserve">gatunków roślin sadowniczych: opracowano nowe programy ochrony dla 2 gatunków: agrest, </w:t>
      </w:r>
      <w:r w:rsidRPr="00925BCD">
        <w:rPr>
          <w:rFonts w:ascii="Arial" w:hAnsi="Arial" w:cs="Arial"/>
        </w:rPr>
        <w:lastRenderedPageBreak/>
        <w:t xml:space="preserve">grusza </w:t>
      </w:r>
    </w:p>
    <w:p w14:paraId="5A44B2A2"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warzywnych: opracowano nowe programy ochrony dla 4 gatunków: czosnku, kalafiora, pora, i sałaty </w:t>
      </w:r>
    </w:p>
    <w:p w14:paraId="55BC5DFC" w14:textId="77777777" w:rsidR="00812F0B"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gatunków roślin ozdobnych: opracowano nowe programy ochrony dla 5 gatunków: cyprysika Lawsona, gerbery, pelargonii, róży gruntowej, surfinii</w:t>
      </w:r>
      <w:r w:rsidR="00812F0B">
        <w:rPr>
          <w:rFonts w:ascii="Arial" w:hAnsi="Arial" w:cs="Arial"/>
        </w:rPr>
        <w:t>,</w:t>
      </w:r>
    </w:p>
    <w:bookmarkEnd w:id="151"/>
    <w:p w14:paraId="35F7708B" w14:textId="348624C4" w:rsidR="001306FB" w:rsidRPr="00BB28A0" w:rsidRDefault="00812F0B" w:rsidP="001306FB">
      <w:pPr>
        <w:pStyle w:val="NormalnyWeb"/>
        <w:tabs>
          <w:tab w:val="left" w:pos="284"/>
        </w:tabs>
        <w:spacing w:beforeAutospacing="0" w:after="120" w:afterAutospacing="0" w:line="360" w:lineRule="auto"/>
        <w:ind w:left="284"/>
        <w:jc w:val="both"/>
        <w:rPr>
          <w:rFonts w:ascii="Arial" w:hAnsi="Arial" w:cs="Arial"/>
        </w:rPr>
      </w:pPr>
      <w:r w:rsidRPr="00BB28A0">
        <w:rPr>
          <w:rFonts w:ascii="Arial" w:hAnsi="Arial" w:cs="Arial"/>
        </w:rPr>
        <w:t xml:space="preserve">natomiast </w:t>
      </w:r>
      <w:r w:rsidRPr="0057374A">
        <w:rPr>
          <w:rFonts w:ascii="Arial" w:hAnsi="Arial" w:cs="Arial"/>
          <w:b/>
          <w:bCs/>
        </w:rPr>
        <w:t>w 2020 r.</w:t>
      </w:r>
      <w:r w:rsidRPr="00BB28A0">
        <w:rPr>
          <w:rFonts w:ascii="Arial" w:hAnsi="Arial" w:cs="Arial"/>
        </w:rPr>
        <w:t xml:space="preserve"> </w:t>
      </w:r>
      <w:r w:rsidR="003F59C1" w:rsidRPr="00BB28A0">
        <w:rPr>
          <w:rFonts w:ascii="Arial" w:hAnsi="Arial" w:cs="Arial"/>
        </w:rPr>
        <w:t>n</w:t>
      </w:r>
      <w:r w:rsidR="009C6F59" w:rsidRPr="00BB28A0">
        <w:rPr>
          <w:rFonts w:ascii="Arial" w:hAnsi="Arial" w:cs="Arial"/>
        </w:rPr>
        <w:t xml:space="preserve">a podstawie </w:t>
      </w:r>
      <w:r w:rsidR="001306FB" w:rsidRPr="00BB28A0">
        <w:rPr>
          <w:rFonts w:ascii="Arial" w:hAnsi="Arial" w:cs="Arial"/>
        </w:rPr>
        <w:t>etykiet załączonych w bazach i dostępnych w Internecie programów ochrony upraw ogrodniczych w krajach UE przeanalizowano możliwości ochrony dla:</w:t>
      </w:r>
    </w:p>
    <w:p w14:paraId="09331CEC" w14:textId="46683D6E"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sadowniczych: opracowano nowe programy ochrony dla 2 gatunków: </w:t>
      </w:r>
      <w:r w:rsidR="00D6559E" w:rsidRPr="00BB28A0">
        <w:rPr>
          <w:rFonts w:ascii="Arial" w:hAnsi="Arial" w:cs="Arial"/>
        </w:rPr>
        <w:t>porzeczka czerwona i biała, winorośl</w:t>
      </w:r>
      <w:r w:rsidRPr="00BB28A0">
        <w:rPr>
          <w:rFonts w:ascii="Arial" w:hAnsi="Arial" w:cs="Arial"/>
        </w:rPr>
        <w:t xml:space="preserve"> </w:t>
      </w:r>
    </w:p>
    <w:p w14:paraId="08E94981" w14:textId="02BE1E18"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warzywnych: opracowano nowe programy ochrony dla 4 gatunków: </w:t>
      </w:r>
      <w:r w:rsidR="00D6559E" w:rsidRPr="00BB28A0">
        <w:rPr>
          <w:rFonts w:ascii="Arial" w:hAnsi="Arial" w:cs="Arial"/>
        </w:rPr>
        <w:t xml:space="preserve">brokuł, ogórek szklarniowy, chrzan, szpinak </w:t>
      </w:r>
    </w:p>
    <w:p w14:paraId="78B57D14" w14:textId="0DDF3BFA" w:rsidR="0027553C"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ozdobnych: opracowano nowe programy ochrony dla 5 gatunków: </w:t>
      </w:r>
      <w:r w:rsidR="00D6559E" w:rsidRPr="00BB28A0">
        <w:rPr>
          <w:rFonts w:ascii="Arial" w:hAnsi="Arial" w:cs="Arial"/>
        </w:rPr>
        <w:t>poinsecja, eustoma, róża pod osłonami, tawuła, begonia</w:t>
      </w:r>
      <w:r w:rsidR="00B34BB9">
        <w:rPr>
          <w:rFonts w:ascii="Arial" w:hAnsi="Arial" w:cs="Arial"/>
        </w:rPr>
        <w:t>.</w:t>
      </w:r>
    </w:p>
    <w:p w14:paraId="4D2D182B" w14:textId="77777777" w:rsidR="00E21074" w:rsidRPr="0027124C" w:rsidRDefault="00E21074" w:rsidP="0027124C">
      <w:pPr>
        <w:pStyle w:val="NormalnyWeb"/>
        <w:tabs>
          <w:tab w:val="left" w:pos="284"/>
        </w:tabs>
        <w:spacing w:beforeAutospacing="0" w:after="120" w:afterAutospacing="0" w:line="360" w:lineRule="auto"/>
        <w:ind w:left="284"/>
        <w:jc w:val="both"/>
        <w:rPr>
          <w:rFonts w:ascii="Arial" w:hAnsi="Arial" w:cs="Arial"/>
        </w:rPr>
      </w:pPr>
      <w:r w:rsidRPr="0027124C">
        <w:rPr>
          <w:rFonts w:ascii="Arial" w:hAnsi="Arial" w:cs="Arial"/>
        </w:rPr>
        <w:t xml:space="preserve">W </w:t>
      </w:r>
      <w:r w:rsidRPr="0027124C">
        <w:rPr>
          <w:rFonts w:ascii="Arial" w:hAnsi="Arial" w:cs="Arial"/>
          <w:b/>
          <w:bCs/>
        </w:rPr>
        <w:t>2021 r.</w:t>
      </w:r>
      <w:r w:rsidRPr="0027124C">
        <w:rPr>
          <w:rFonts w:ascii="Arial" w:hAnsi="Arial" w:cs="Arial"/>
        </w:rPr>
        <w:t xml:space="preserve"> na podstawie etykiet załączonych w bazach i dostępnych w Internecie programów ochrony upraw ogrodniczych w krajach UE przeanalizowano możliwości ochrony dla:</w:t>
      </w:r>
    </w:p>
    <w:p w14:paraId="5604F9DE" w14:textId="77777777" w:rsidR="00E21074" w:rsidRPr="00EF3004" w:rsidRDefault="00E21074" w:rsidP="00EF3004">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EF3004">
        <w:rPr>
          <w:rFonts w:ascii="Arial" w:hAnsi="Arial" w:cs="Arial"/>
        </w:rPr>
        <w:t xml:space="preserve">gatunków roślin sadowniczych: opracowano nowe programy ochrony dla 2 gatunków: brzoskwinia, leszczyna </w:t>
      </w:r>
    </w:p>
    <w:p w14:paraId="17F2A818" w14:textId="77777777" w:rsidR="00E21074" w:rsidRPr="00EF3004" w:rsidRDefault="00E21074" w:rsidP="00EF3004">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EF3004">
        <w:rPr>
          <w:rFonts w:ascii="Arial" w:hAnsi="Arial" w:cs="Arial"/>
        </w:rPr>
        <w:t xml:space="preserve">gatunków roślin warzywnych: opracowano nowe programy ochrony dla 2 gatunków: kapusta brukselska, papryka pod osłonami </w:t>
      </w:r>
    </w:p>
    <w:p w14:paraId="53277084" w14:textId="77777777" w:rsidR="00E21074" w:rsidRPr="00EF3004" w:rsidRDefault="00E21074" w:rsidP="00EF3004">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EF3004">
        <w:rPr>
          <w:rFonts w:ascii="Arial" w:hAnsi="Arial" w:cs="Arial"/>
        </w:rPr>
        <w:t xml:space="preserve">gatunków roślin ozdobnych: opracowano nowe programy ochrony dla 2 gatunków: rojnik, modrzew. </w:t>
      </w:r>
    </w:p>
    <w:p w14:paraId="5FC6DCED" w14:textId="77777777" w:rsidR="0080546D" w:rsidRPr="0027124C" w:rsidRDefault="0080546D" w:rsidP="0027124C">
      <w:pPr>
        <w:pStyle w:val="NormalnyWeb"/>
        <w:tabs>
          <w:tab w:val="left" w:pos="284"/>
        </w:tabs>
        <w:spacing w:beforeAutospacing="0" w:after="120" w:afterAutospacing="0" w:line="360" w:lineRule="auto"/>
        <w:ind w:left="284"/>
        <w:jc w:val="both"/>
        <w:rPr>
          <w:rFonts w:ascii="Arial" w:hAnsi="Arial" w:cs="Arial"/>
        </w:rPr>
      </w:pPr>
      <w:r w:rsidRPr="0027124C">
        <w:rPr>
          <w:rFonts w:ascii="Arial" w:hAnsi="Arial" w:cs="Arial"/>
        </w:rPr>
        <w:t xml:space="preserve">W </w:t>
      </w:r>
      <w:r w:rsidRPr="0027124C">
        <w:rPr>
          <w:rFonts w:ascii="Arial" w:hAnsi="Arial" w:cs="Arial"/>
          <w:b/>
          <w:bCs/>
        </w:rPr>
        <w:t>2022 r.</w:t>
      </w:r>
      <w:r w:rsidRPr="0027124C">
        <w:rPr>
          <w:rFonts w:ascii="Arial" w:hAnsi="Arial" w:cs="Arial"/>
        </w:rPr>
        <w:t xml:space="preserve"> na podstawie etykiet załączonych w bazach i dostępnych w Internecie programów ochrony upraw ogrodniczych w krajach UE przeanalizowano możliwości ochrony dla: </w:t>
      </w:r>
    </w:p>
    <w:p w14:paraId="6B1666DB" w14:textId="4383F758" w:rsidR="0080546D" w:rsidRPr="00117FAB" w:rsidRDefault="0080546D" w:rsidP="00BD63B8">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117FAB">
        <w:rPr>
          <w:rFonts w:ascii="Arial" w:hAnsi="Arial" w:cs="Arial"/>
        </w:rPr>
        <w:t xml:space="preserve">gatunków roślin sadowniczych: opracowano nowe programy dla 3 gatunków: morela, truskawka pod osłonami. </w:t>
      </w:r>
    </w:p>
    <w:p w14:paraId="5574DBF0" w14:textId="585907D0" w:rsidR="0080546D" w:rsidRPr="00117FAB" w:rsidRDefault="0080546D" w:rsidP="0080546D">
      <w:pPr>
        <w:pStyle w:val="Akapitzlist"/>
        <w:numPr>
          <w:ilvl w:val="0"/>
          <w:numId w:val="43"/>
        </w:numPr>
        <w:autoSpaceDE w:val="0"/>
        <w:autoSpaceDN w:val="0"/>
        <w:adjustRightInd w:val="0"/>
        <w:spacing w:after="120" w:line="360" w:lineRule="auto"/>
        <w:ind w:left="568" w:hanging="284"/>
        <w:jc w:val="both"/>
        <w:rPr>
          <w:rFonts w:ascii="Arial" w:hAnsi="Arial" w:cs="Arial"/>
          <w:sz w:val="20"/>
          <w:szCs w:val="20"/>
        </w:rPr>
      </w:pPr>
      <w:r w:rsidRPr="00117FAB">
        <w:rPr>
          <w:rFonts w:ascii="Arial" w:hAnsi="Arial" w:cs="Arial"/>
          <w:sz w:val="20"/>
          <w:szCs w:val="20"/>
        </w:rPr>
        <w:t xml:space="preserve">gatunków roślin warzywnych: opracowano nowe programy dla 2 gatunków: oberżyna pod osłonami, </w:t>
      </w:r>
    </w:p>
    <w:p w14:paraId="087E8673" w14:textId="2A139814" w:rsidR="0080546D" w:rsidRPr="005F7C66" w:rsidRDefault="0080546D" w:rsidP="006D3081">
      <w:pPr>
        <w:pStyle w:val="Akapitzlist"/>
        <w:numPr>
          <w:ilvl w:val="0"/>
          <w:numId w:val="43"/>
        </w:numPr>
        <w:tabs>
          <w:tab w:val="left" w:pos="284"/>
        </w:tabs>
        <w:autoSpaceDE w:val="0"/>
        <w:autoSpaceDN w:val="0"/>
        <w:adjustRightInd w:val="0"/>
        <w:spacing w:after="120" w:line="360" w:lineRule="auto"/>
        <w:ind w:left="568" w:hanging="284"/>
        <w:jc w:val="both"/>
        <w:rPr>
          <w:rFonts w:ascii="Arial" w:hAnsi="Arial" w:cs="Arial"/>
        </w:rPr>
      </w:pPr>
      <w:r w:rsidRPr="005F7C66">
        <w:rPr>
          <w:rFonts w:ascii="Arial" w:hAnsi="Arial" w:cs="Arial"/>
          <w:sz w:val="20"/>
          <w:szCs w:val="20"/>
        </w:rPr>
        <w:t>gatunków roślin ozdobnych: opracowano nowe programy dla 2 gatunków: figowiec</w:t>
      </w:r>
      <w:r w:rsidR="005F7C66" w:rsidRPr="005F7C66">
        <w:rPr>
          <w:rFonts w:ascii="Arial" w:hAnsi="Arial" w:cs="Arial"/>
          <w:sz w:val="20"/>
          <w:szCs w:val="20"/>
        </w:rPr>
        <w:t xml:space="preserve"> i</w:t>
      </w:r>
      <w:r w:rsidRPr="005F7C66">
        <w:rPr>
          <w:rFonts w:ascii="Arial" w:hAnsi="Arial" w:cs="Arial"/>
          <w:sz w:val="20"/>
          <w:szCs w:val="20"/>
        </w:rPr>
        <w:t xml:space="preserve"> bukszpan</w:t>
      </w:r>
      <w:r w:rsidR="005F7C66">
        <w:rPr>
          <w:rFonts w:ascii="Arial" w:hAnsi="Arial" w:cs="Arial"/>
          <w:sz w:val="20"/>
          <w:szCs w:val="20"/>
        </w:rPr>
        <w:t>.</w:t>
      </w:r>
    </w:p>
    <w:p w14:paraId="01024C53" w14:textId="77777777" w:rsidR="00641F23" w:rsidRDefault="00E54725" w:rsidP="00E74097">
      <w:pPr>
        <w:pStyle w:val="NormalnyWeb"/>
        <w:tabs>
          <w:tab w:val="left" w:pos="284"/>
        </w:tabs>
        <w:spacing w:after="120" w:line="360" w:lineRule="auto"/>
        <w:jc w:val="both"/>
        <w:rPr>
          <w:rFonts w:ascii="Arial" w:hAnsi="Arial" w:cs="Arial"/>
        </w:rPr>
      </w:pPr>
      <w:r w:rsidRPr="00B20451">
        <w:rPr>
          <w:rFonts w:ascii="Arial" w:hAnsi="Arial" w:cs="Arial"/>
        </w:rPr>
        <w:t>Na podstawie przepisów rozporządzenia Ministra Rolnictwa i Rozwoju Wsi z dnia 29 lipca 2015 r. w sprawie stawek dotacji przedmiotowych dla różnych podmiotów wykonujących zadania na rzecz rolnictwa (Dz. U. poz. 1170</w:t>
      </w:r>
      <w:r w:rsidR="00B20451" w:rsidRPr="00565DF1">
        <w:rPr>
          <w:rFonts w:ascii="Arial" w:hAnsi="Arial" w:cs="Arial"/>
        </w:rPr>
        <w:t xml:space="preserve">, </w:t>
      </w:r>
      <w:r w:rsidR="00B20451" w:rsidRPr="00B20451">
        <w:rPr>
          <w:rFonts w:ascii="Arial" w:hAnsi="Arial" w:cs="Arial"/>
        </w:rPr>
        <w:t xml:space="preserve">z 2016 r. poz. 1614, z 2017 r. poz. 1470, z 2019 r. poz. 901 i 1522, z </w:t>
      </w:r>
      <w:r w:rsidR="00565DF1" w:rsidRPr="00B20451">
        <w:rPr>
          <w:rFonts w:ascii="Arial" w:hAnsi="Arial" w:cs="Arial"/>
        </w:rPr>
        <w:t>2020</w:t>
      </w:r>
      <w:r w:rsidR="00565DF1">
        <w:rPr>
          <w:rFonts w:ascii="Arial" w:hAnsi="Arial" w:cs="Arial"/>
        </w:rPr>
        <w:t> </w:t>
      </w:r>
      <w:r w:rsidR="00B20451" w:rsidRPr="00B20451">
        <w:rPr>
          <w:rFonts w:ascii="Arial" w:hAnsi="Arial" w:cs="Arial"/>
        </w:rPr>
        <w:t>r. poz. 2016,</w:t>
      </w:r>
      <w:r w:rsidRPr="00B20451">
        <w:rPr>
          <w:rFonts w:ascii="Arial" w:hAnsi="Arial" w:cs="Arial"/>
        </w:rPr>
        <w:t xml:space="preserve">) jednostki naukowo-badawcze mnogą uzyskać częściowe lub całkowite pokrycie kosztów badań prowadzonych na rzecz rolnictwa ekologicznego. W </w:t>
      </w:r>
      <w:r w:rsidR="00641F23">
        <w:rPr>
          <w:rFonts w:ascii="Arial" w:hAnsi="Arial" w:cs="Arial"/>
        </w:rPr>
        <w:t xml:space="preserve">latach </w:t>
      </w:r>
      <w:r w:rsidRPr="00B20451">
        <w:rPr>
          <w:rFonts w:ascii="Arial" w:hAnsi="Arial" w:cs="Arial"/>
        </w:rPr>
        <w:t>2018</w:t>
      </w:r>
      <w:r w:rsidR="00641F23" w:rsidRPr="00641F23">
        <w:rPr>
          <w:rFonts w:ascii="Arial" w:hAnsi="Arial" w:cs="Arial"/>
        </w:rPr>
        <w:t>–</w:t>
      </w:r>
      <w:r w:rsidR="00641F23">
        <w:rPr>
          <w:rFonts w:ascii="Arial" w:hAnsi="Arial" w:cs="Arial"/>
        </w:rPr>
        <w:t>2022</w:t>
      </w:r>
      <w:r w:rsidRPr="00B20451">
        <w:rPr>
          <w:rFonts w:ascii="Arial" w:hAnsi="Arial" w:cs="Arial"/>
        </w:rPr>
        <w:t xml:space="preserve"> przyznano instytutom i jednostkom naukowym </w:t>
      </w:r>
      <w:r w:rsidRPr="00FD0691">
        <w:rPr>
          <w:rFonts w:ascii="Arial" w:hAnsi="Arial" w:cs="Arial"/>
        </w:rPr>
        <w:t>dotacj</w:t>
      </w:r>
      <w:r w:rsidR="00641F23">
        <w:rPr>
          <w:rFonts w:ascii="Arial" w:hAnsi="Arial" w:cs="Arial"/>
        </w:rPr>
        <w:t>e</w:t>
      </w:r>
      <w:r w:rsidRPr="00FD0691">
        <w:rPr>
          <w:rFonts w:ascii="Arial" w:hAnsi="Arial" w:cs="Arial"/>
        </w:rPr>
        <w:t xml:space="preserve"> do</w:t>
      </w:r>
      <w:r w:rsidR="00641F23">
        <w:rPr>
          <w:rFonts w:ascii="Arial" w:hAnsi="Arial" w:cs="Arial"/>
        </w:rPr>
        <w:t xml:space="preserve"> </w:t>
      </w:r>
      <w:r w:rsidRPr="00FD0691">
        <w:rPr>
          <w:rFonts w:ascii="Arial" w:hAnsi="Arial" w:cs="Arial"/>
        </w:rPr>
        <w:t xml:space="preserve">badań w rolnictwie ekologicznym, na realizację </w:t>
      </w:r>
      <w:r w:rsidR="00641F23">
        <w:rPr>
          <w:rFonts w:ascii="Arial" w:hAnsi="Arial" w:cs="Arial"/>
        </w:rPr>
        <w:t xml:space="preserve">poszczególnych </w:t>
      </w:r>
      <w:r w:rsidRPr="00FD0691">
        <w:rPr>
          <w:rFonts w:ascii="Arial" w:hAnsi="Arial" w:cs="Arial"/>
        </w:rPr>
        <w:t>tematów, na łączną kwotę</w:t>
      </w:r>
      <w:r w:rsidR="00641F23">
        <w:rPr>
          <w:rFonts w:ascii="Arial" w:hAnsi="Arial" w:cs="Arial"/>
        </w:rPr>
        <w:t xml:space="preserve"> przedstawioną w tabeli poniżej. </w:t>
      </w:r>
    </w:p>
    <w:tbl>
      <w:tblPr>
        <w:tblStyle w:val="Tabela-Siatka"/>
        <w:tblW w:w="0" w:type="auto"/>
        <w:tblLook w:val="04A0" w:firstRow="1" w:lastRow="0" w:firstColumn="1" w:lastColumn="0" w:noHBand="0" w:noVBand="1"/>
      </w:tblPr>
      <w:tblGrid>
        <w:gridCol w:w="988"/>
        <w:gridCol w:w="2018"/>
        <w:gridCol w:w="2019"/>
        <w:gridCol w:w="2018"/>
        <w:gridCol w:w="2019"/>
      </w:tblGrid>
      <w:tr w:rsidR="00711F01" w14:paraId="29EC56EF" w14:textId="77777777" w:rsidTr="00D94AC9">
        <w:tc>
          <w:tcPr>
            <w:tcW w:w="988" w:type="dxa"/>
            <w:vAlign w:val="center"/>
          </w:tcPr>
          <w:p w14:paraId="28C106B3" w14:textId="6DEDF981" w:rsidR="00711F01" w:rsidRPr="001B359F" w:rsidRDefault="00711F01" w:rsidP="00D94AC9">
            <w:pPr>
              <w:pStyle w:val="NormalnyWeb"/>
              <w:tabs>
                <w:tab w:val="left" w:pos="284"/>
              </w:tabs>
              <w:spacing w:after="120" w:line="360" w:lineRule="auto"/>
              <w:jc w:val="center"/>
              <w:rPr>
                <w:rFonts w:ascii="Arial" w:hAnsi="Arial" w:cs="Arial"/>
                <w:b/>
                <w:bCs/>
              </w:rPr>
            </w:pPr>
            <w:r w:rsidRPr="001B359F">
              <w:rPr>
                <w:rFonts w:ascii="Arial" w:hAnsi="Arial" w:cs="Arial"/>
                <w:b/>
                <w:bCs/>
              </w:rPr>
              <w:lastRenderedPageBreak/>
              <w:t>Rok</w:t>
            </w:r>
          </w:p>
        </w:tc>
        <w:tc>
          <w:tcPr>
            <w:tcW w:w="2018" w:type="dxa"/>
            <w:vAlign w:val="center"/>
          </w:tcPr>
          <w:p w14:paraId="102AC524" w14:textId="23579F61" w:rsidR="00711F01" w:rsidRPr="001B359F" w:rsidRDefault="00711F01" w:rsidP="00D94AC9">
            <w:pPr>
              <w:pStyle w:val="NormalnyWeb"/>
              <w:tabs>
                <w:tab w:val="left" w:pos="284"/>
              </w:tabs>
              <w:spacing w:before="100" w:after="100" w:line="360" w:lineRule="auto"/>
              <w:jc w:val="center"/>
              <w:rPr>
                <w:rFonts w:ascii="Arial" w:hAnsi="Arial" w:cs="Arial"/>
                <w:b/>
                <w:bCs/>
              </w:rPr>
            </w:pPr>
            <w:r w:rsidRPr="001B359F">
              <w:rPr>
                <w:rFonts w:ascii="Arial" w:hAnsi="Arial" w:cs="Arial"/>
                <w:b/>
                <w:bCs/>
              </w:rPr>
              <w:t>Liczba dotacji</w:t>
            </w:r>
          </w:p>
        </w:tc>
        <w:tc>
          <w:tcPr>
            <w:tcW w:w="2019" w:type="dxa"/>
            <w:vAlign w:val="center"/>
          </w:tcPr>
          <w:p w14:paraId="53D9ADD3" w14:textId="55074825" w:rsidR="00711F01" w:rsidRPr="001B359F" w:rsidRDefault="00711F01" w:rsidP="00D94AC9">
            <w:pPr>
              <w:pStyle w:val="NormalnyWeb"/>
              <w:tabs>
                <w:tab w:val="left" w:pos="284"/>
              </w:tabs>
              <w:spacing w:before="100" w:after="100" w:line="360" w:lineRule="auto"/>
              <w:jc w:val="center"/>
              <w:rPr>
                <w:rFonts w:ascii="Arial" w:hAnsi="Arial" w:cs="Arial"/>
                <w:b/>
                <w:bCs/>
              </w:rPr>
            </w:pPr>
            <w:r w:rsidRPr="001B359F">
              <w:rPr>
                <w:rFonts w:ascii="Arial" w:hAnsi="Arial" w:cs="Arial"/>
                <w:b/>
                <w:bCs/>
              </w:rPr>
              <w:t>Liczba tematów</w:t>
            </w:r>
          </w:p>
        </w:tc>
        <w:tc>
          <w:tcPr>
            <w:tcW w:w="2018" w:type="dxa"/>
            <w:vAlign w:val="center"/>
          </w:tcPr>
          <w:p w14:paraId="60EE56E2" w14:textId="0DD802E1" w:rsidR="00711F01" w:rsidRPr="001B359F" w:rsidRDefault="00641F23" w:rsidP="00D94AC9">
            <w:pPr>
              <w:pStyle w:val="NormalnyWeb"/>
              <w:tabs>
                <w:tab w:val="left" w:pos="284"/>
              </w:tabs>
              <w:spacing w:before="100" w:after="100" w:line="360" w:lineRule="auto"/>
              <w:jc w:val="center"/>
              <w:rPr>
                <w:rFonts w:ascii="Arial" w:hAnsi="Arial" w:cs="Arial"/>
                <w:b/>
                <w:bCs/>
              </w:rPr>
            </w:pPr>
            <w:r w:rsidRPr="001B359F">
              <w:rPr>
                <w:rFonts w:ascii="Arial" w:hAnsi="Arial" w:cs="Arial"/>
                <w:b/>
                <w:bCs/>
              </w:rPr>
              <w:t>Przyznana łączna kwota</w:t>
            </w:r>
            <w:r w:rsidR="00D94AC9" w:rsidRPr="001B359F">
              <w:rPr>
                <w:rFonts w:ascii="Arial" w:hAnsi="Arial" w:cs="Arial"/>
                <w:b/>
                <w:bCs/>
              </w:rPr>
              <w:t xml:space="preserve"> w zł</w:t>
            </w:r>
          </w:p>
        </w:tc>
        <w:tc>
          <w:tcPr>
            <w:tcW w:w="2019" w:type="dxa"/>
            <w:vAlign w:val="center"/>
          </w:tcPr>
          <w:p w14:paraId="32881723" w14:textId="3F0357FD" w:rsidR="00711F01" w:rsidRPr="001B359F" w:rsidRDefault="00711F01" w:rsidP="00D94AC9">
            <w:pPr>
              <w:pStyle w:val="NormalnyWeb"/>
              <w:tabs>
                <w:tab w:val="left" w:pos="284"/>
              </w:tabs>
              <w:spacing w:before="100" w:after="100" w:line="360" w:lineRule="auto"/>
              <w:jc w:val="center"/>
              <w:rPr>
                <w:rFonts w:ascii="Arial" w:hAnsi="Arial" w:cs="Arial"/>
                <w:b/>
                <w:bCs/>
              </w:rPr>
            </w:pPr>
            <w:r w:rsidRPr="001B359F">
              <w:rPr>
                <w:rFonts w:ascii="Arial" w:hAnsi="Arial" w:cs="Arial"/>
                <w:b/>
                <w:bCs/>
              </w:rPr>
              <w:t>K</w:t>
            </w:r>
            <w:r w:rsidR="00D94AC9" w:rsidRPr="001B359F">
              <w:rPr>
                <w:rFonts w:ascii="Arial" w:hAnsi="Arial" w:cs="Arial"/>
                <w:b/>
                <w:bCs/>
              </w:rPr>
              <w:t>wota wydatkowana w zł</w:t>
            </w:r>
          </w:p>
        </w:tc>
      </w:tr>
      <w:tr w:rsidR="00711F01" w14:paraId="6CE9464F" w14:textId="77777777" w:rsidTr="00D94AC9">
        <w:tc>
          <w:tcPr>
            <w:tcW w:w="988" w:type="dxa"/>
            <w:vAlign w:val="center"/>
          </w:tcPr>
          <w:p w14:paraId="6ACFD1A8" w14:textId="74A03FD9" w:rsidR="00711F01" w:rsidRDefault="00711F01" w:rsidP="00D94AC9">
            <w:pPr>
              <w:pStyle w:val="NormalnyWeb"/>
              <w:tabs>
                <w:tab w:val="left" w:pos="284"/>
              </w:tabs>
              <w:spacing w:after="120" w:line="360" w:lineRule="auto"/>
              <w:jc w:val="center"/>
              <w:rPr>
                <w:rFonts w:ascii="Arial" w:hAnsi="Arial" w:cs="Arial"/>
              </w:rPr>
            </w:pPr>
            <w:r>
              <w:rPr>
                <w:rFonts w:ascii="Arial" w:hAnsi="Arial" w:cs="Arial"/>
              </w:rPr>
              <w:t>2018</w:t>
            </w:r>
          </w:p>
        </w:tc>
        <w:tc>
          <w:tcPr>
            <w:tcW w:w="2018" w:type="dxa"/>
            <w:vAlign w:val="center"/>
          </w:tcPr>
          <w:p w14:paraId="41AB1B22" w14:textId="72CBAB8F"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11</w:t>
            </w:r>
          </w:p>
        </w:tc>
        <w:tc>
          <w:tcPr>
            <w:tcW w:w="2019" w:type="dxa"/>
            <w:vAlign w:val="center"/>
          </w:tcPr>
          <w:p w14:paraId="5C3CBFFE" w14:textId="71F23DA3"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31</w:t>
            </w:r>
          </w:p>
        </w:tc>
        <w:tc>
          <w:tcPr>
            <w:tcW w:w="2018" w:type="dxa"/>
            <w:vAlign w:val="center"/>
          </w:tcPr>
          <w:p w14:paraId="219E488B" w14:textId="5CCF2C4D" w:rsidR="00711F01" w:rsidRDefault="00641F23" w:rsidP="00D94AC9">
            <w:pPr>
              <w:pStyle w:val="NormalnyWeb"/>
              <w:tabs>
                <w:tab w:val="left" w:pos="284"/>
              </w:tabs>
              <w:spacing w:before="100" w:after="100" w:line="360" w:lineRule="auto"/>
              <w:jc w:val="center"/>
              <w:rPr>
                <w:rFonts w:ascii="Arial" w:hAnsi="Arial" w:cs="Arial"/>
              </w:rPr>
            </w:pPr>
            <w:r w:rsidRPr="00FD0691">
              <w:rPr>
                <w:rFonts w:ascii="Arial" w:hAnsi="Arial" w:cs="Arial"/>
              </w:rPr>
              <w:t>5 912 026,72</w:t>
            </w:r>
          </w:p>
        </w:tc>
        <w:tc>
          <w:tcPr>
            <w:tcW w:w="2019" w:type="dxa"/>
            <w:vAlign w:val="center"/>
          </w:tcPr>
          <w:p w14:paraId="5051CB18" w14:textId="2C69B233" w:rsidR="00711F01" w:rsidRDefault="00641F23" w:rsidP="00D94AC9">
            <w:pPr>
              <w:pStyle w:val="NormalnyWeb"/>
              <w:tabs>
                <w:tab w:val="left" w:pos="284"/>
              </w:tabs>
              <w:spacing w:before="100" w:after="100" w:line="360" w:lineRule="auto"/>
              <w:jc w:val="center"/>
              <w:rPr>
                <w:rFonts w:ascii="Arial" w:hAnsi="Arial" w:cs="Arial"/>
              </w:rPr>
            </w:pPr>
            <w:r w:rsidRPr="00FD0691">
              <w:rPr>
                <w:rFonts w:ascii="Arial" w:hAnsi="Arial" w:cs="Arial"/>
              </w:rPr>
              <w:t>5 807 814,03</w:t>
            </w:r>
          </w:p>
        </w:tc>
      </w:tr>
      <w:tr w:rsidR="00711F01" w14:paraId="2E3CD15E" w14:textId="77777777" w:rsidTr="00D94AC9">
        <w:tc>
          <w:tcPr>
            <w:tcW w:w="988" w:type="dxa"/>
            <w:vAlign w:val="center"/>
          </w:tcPr>
          <w:p w14:paraId="4C3B48CC" w14:textId="59DFA585" w:rsidR="00711F01" w:rsidRDefault="00711F01" w:rsidP="00D94AC9">
            <w:pPr>
              <w:pStyle w:val="NormalnyWeb"/>
              <w:tabs>
                <w:tab w:val="left" w:pos="284"/>
              </w:tabs>
              <w:spacing w:after="120" w:line="360" w:lineRule="auto"/>
              <w:jc w:val="center"/>
              <w:rPr>
                <w:rFonts w:ascii="Arial" w:hAnsi="Arial" w:cs="Arial"/>
              </w:rPr>
            </w:pPr>
            <w:r>
              <w:rPr>
                <w:rFonts w:ascii="Arial" w:hAnsi="Arial" w:cs="Arial"/>
              </w:rPr>
              <w:t>2019</w:t>
            </w:r>
          </w:p>
        </w:tc>
        <w:tc>
          <w:tcPr>
            <w:tcW w:w="2018" w:type="dxa"/>
            <w:vAlign w:val="center"/>
          </w:tcPr>
          <w:p w14:paraId="19649CF1" w14:textId="56D57F50"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11</w:t>
            </w:r>
          </w:p>
        </w:tc>
        <w:tc>
          <w:tcPr>
            <w:tcW w:w="2019" w:type="dxa"/>
            <w:vAlign w:val="center"/>
          </w:tcPr>
          <w:p w14:paraId="43E5936E" w14:textId="0D7ABC43"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21</w:t>
            </w:r>
          </w:p>
        </w:tc>
        <w:tc>
          <w:tcPr>
            <w:tcW w:w="2018" w:type="dxa"/>
            <w:vAlign w:val="center"/>
          </w:tcPr>
          <w:p w14:paraId="5955C08C" w14:textId="111D2C1A" w:rsidR="00711F01" w:rsidRDefault="00641F23" w:rsidP="00D94AC9">
            <w:pPr>
              <w:pStyle w:val="NormalnyWeb"/>
              <w:tabs>
                <w:tab w:val="left" w:pos="284"/>
              </w:tabs>
              <w:spacing w:before="100" w:after="100" w:line="360" w:lineRule="auto"/>
              <w:jc w:val="center"/>
              <w:rPr>
                <w:rFonts w:ascii="Arial" w:hAnsi="Arial" w:cs="Arial"/>
              </w:rPr>
            </w:pPr>
            <w:r w:rsidRPr="00B20451">
              <w:rPr>
                <w:rFonts w:ascii="Arial" w:hAnsi="Arial" w:cs="Arial"/>
              </w:rPr>
              <w:t>3 673 366,32</w:t>
            </w:r>
          </w:p>
        </w:tc>
        <w:tc>
          <w:tcPr>
            <w:tcW w:w="2019" w:type="dxa"/>
            <w:vAlign w:val="center"/>
          </w:tcPr>
          <w:p w14:paraId="49C88FAE" w14:textId="1E1C7BB4" w:rsidR="00711F01" w:rsidRDefault="00641F23" w:rsidP="00D94AC9">
            <w:pPr>
              <w:pStyle w:val="NormalnyWeb"/>
              <w:tabs>
                <w:tab w:val="left" w:pos="284"/>
              </w:tabs>
              <w:spacing w:before="100" w:after="100" w:line="360" w:lineRule="auto"/>
              <w:jc w:val="center"/>
              <w:rPr>
                <w:rFonts w:ascii="Arial" w:hAnsi="Arial" w:cs="Arial"/>
              </w:rPr>
            </w:pPr>
            <w:r w:rsidRPr="00B20451">
              <w:rPr>
                <w:rFonts w:ascii="Arial" w:hAnsi="Arial" w:cs="Arial"/>
              </w:rPr>
              <w:t>3 608 977,93</w:t>
            </w:r>
          </w:p>
        </w:tc>
      </w:tr>
      <w:tr w:rsidR="00711F01" w14:paraId="2FF9AB72" w14:textId="77777777" w:rsidTr="00D94AC9">
        <w:tc>
          <w:tcPr>
            <w:tcW w:w="988" w:type="dxa"/>
            <w:vAlign w:val="center"/>
          </w:tcPr>
          <w:p w14:paraId="6E38BDBD" w14:textId="3186E937" w:rsidR="00711F01" w:rsidRDefault="00711F01" w:rsidP="00D94AC9">
            <w:pPr>
              <w:pStyle w:val="NormalnyWeb"/>
              <w:tabs>
                <w:tab w:val="left" w:pos="284"/>
              </w:tabs>
              <w:spacing w:after="120" w:line="360" w:lineRule="auto"/>
              <w:jc w:val="center"/>
              <w:rPr>
                <w:rFonts w:ascii="Arial" w:hAnsi="Arial" w:cs="Arial"/>
              </w:rPr>
            </w:pPr>
            <w:r>
              <w:rPr>
                <w:rFonts w:ascii="Arial" w:hAnsi="Arial" w:cs="Arial"/>
              </w:rPr>
              <w:t>2020</w:t>
            </w:r>
          </w:p>
        </w:tc>
        <w:tc>
          <w:tcPr>
            <w:tcW w:w="2018" w:type="dxa"/>
            <w:vAlign w:val="center"/>
          </w:tcPr>
          <w:p w14:paraId="11D3FD84" w14:textId="0DA58FB9"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9</w:t>
            </w:r>
          </w:p>
        </w:tc>
        <w:tc>
          <w:tcPr>
            <w:tcW w:w="2019" w:type="dxa"/>
            <w:vAlign w:val="center"/>
          </w:tcPr>
          <w:p w14:paraId="0CB15C31" w14:textId="12F08EA7"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13</w:t>
            </w:r>
          </w:p>
        </w:tc>
        <w:tc>
          <w:tcPr>
            <w:tcW w:w="2018" w:type="dxa"/>
            <w:vAlign w:val="center"/>
          </w:tcPr>
          <w:p w14:paraId="0B2A6FDD" w14:textId="7547692C" w:rsidR="00711F01" w:rsidRDefault="00641F23" w:rsidP="00D94AC9">
            <w:pPr>
              <w:pStyle w:val="NormalnyWeb"/>
              <w:tabs>
                <w:tab w:val="left" w:pos="284"/>
              </w:tabs>
              <w:spacing w:before="100" w:after="100" w:line="360" w:lineRule="auto"/>
              <w:jc w:val="center"/>
              <w:rPr>
                <w:rFonts w:ascii="Arial" w:hAnsi="Arial" w:cs="Arial"/>
              </w:rPr>
            </w:pPr>
            <w:r w:rsidRPr="00B20451">
              <w:rPr>
                <w:rFonts w:ascii="Arial" w:hAnsi="Arial" w:cs="Arial"/>
              </w:rPr>
              <w:t>2 638 797,00</w:t>
            </w:r>
          </w:p>
        </w:tc>
        <w:tc>
          <w:tcPr>
            <w:tcW w:w="2019" w:type="dxa"/>
            <w:vAlign w:val="center"/>
          </w:tcPr>
          <w:p w14:paraId="76121D44" w14:textId="1E8CC7B6" w:rsidR="00711F01" w:rsidRDefault="00641F23" w:rsidP="00D94AC9">
            <w:pPr>
              <w:pStyle w:val="NormalnyWeb"/>
              <w:tabs>
                <w:tab w:val="left" w:pos="284"/>
              </w:tabs>
              <w:spacing w:before="100" w:after="100" w:line="360" w:lineRule="auto"/>
              <w:jc w:val="center"/>
              <w:rPr>
                <w:rFonts w:ascii="Arial" w:hAnsi="Arial" w:cs="Arial"/>
              </w:rPr>
            </w:pPr>
            <w:r w:rsidRPr="00B20451">
              <w:rPr>
                <w:rFonts w:ascii="Arial" w:hAnsi="Arial" w:cs="Arial"/>
              </w:rPr>
              <w:t>2</w:t>
            </w:r>
            <w:r>
              <w:rPr>
                <w:rFonts w:ascii="Arial" w:hAnsi="Arial" w:cs="Arial"/>
              </w:rPr>
              <w:t> </w:t>
            </w:r>
            <w:r w:rsidRPr="00B20451">
              <w:rPr>
                <w:rFonts w:ascii="Arial" w:hAnsi="Arial" w:cs="Arial"/>
              </w:rPr>
              <w:t>584</w:t>
            </w:r>
            <w:r>
              <w:rPr>
                <w:rFonts w:ascii="Arial" w:hAnsi="Arial" w:cs="Arial"/>
              </w:rPr>
              <w:t> </w:t>
            </w:r>
            <w:r w:rsidRPr="00B20451">
              <w:rPr>
                <w:rFonts w:ascii="Arial" w:hAnsi="Arial" w:cs="Arial"/>
              </w:rPr>
              <w:t>733,04</w:t>
            </w:r>
          </w:p>
        </w:tc>
      </w:tr>
      <w:tr w:rsidR="00711F01" w14:paraId="6C38C1CB" w14:textId="77777777" w:rsidTr="00D94AC9">
        <w:tc>
          <w:tcPr>
            <w:tcW w:w="988" w:type="dxa"/>
            <w:vAlign w:val="center"/>
          </w:tcPr>
          <w:p w14:paraId="18330411" w14:textId="19253F5E" w:rsidR="00711F01" w:rsidRDefault="00711F01" w:rsidP="00D94AC9">
            <w:pPr>
              <w:pStyle w:val="NormalnyWeb"/>
              <w:tabs>
                <w:tab w:val="left" w:pos="284"/>
              </w:tabs>
              <w:spacing w:after="120" w:line="360" w:lineRule="auto"/>
              <w:jc w:val="center"/>
              <w:rPr>
                <w:rFonts w:ascii="Arial" w:hAnsi="Arial" w:cs="Arial"/>
              </w:rPr>
            </w:pPr>
            <w:r>
              <w:rPr>
                <w:rFonts w:ascii="Arial" w:hAnsi="Arial" w:cs="Arial"/>
              </w:rPr>
              <w:t>2021</w:t>
            </w:r>
          </w:p>
        </w:tc>
        <w:tc>
          <w:tcPr>
            <w:tcW w:w="2018" w:type="dxa"/>
            <w:vAlign w:val="center"/>
          </w:tcPr>
          <w:p w14:paraId="782FB6DF" w14:textId="4B0E668A"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9</w:t>
            </w:r>
          </w:p>
        </w:tc>
        <w:tc>
          <w:tcPr>
            <w:tcW w:w="2019" w:type="dxa"/>
            <w:vAlign w:val="center"/>
          </w:tcPr>
          <w:p w14:paraId="598779C7" w14:textId="165A694C"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16</w:t>
            </w:r>
          </w:p>
        </w:tc>
        <w:tc>
          <w:tcPr>
            <w:tcW w:w="2018" w:type="dxa"/>
            <w:vAlign w:val="center"/>
          </w:tcPr>
          <w:p w14:paraId="3D57AF5E" w14:textId="5C46C4D8" w:rsidR="00711F01" w:rsidRDefault="00641F23" w:rsidP="00D94AC9">
            <w:pPr>
              <w:pStyle w:val="NormalnyWeb"/>
              <w:tabs>
                <w:tab w:val="left" w:pos="284"/>
              </w:tabs>
              <w:spacing w:before="100" w:after="100" w:line="360" w:lineRule="auto"/>
              <w:jc w:val="center"/>
              <w:rPr>
                <w:rFonts w:ascii="Arial" w:hAnsi="Arial" w:cs="Arial"/>
              </w:rPr>
            </w:pPr>
            <w:r w:rsidRPr="00E74097">
              <w:rPr>
                <w:rFonts w:ascii="Arial" w:hAnsi="Arial" w:cs="Arial"/>
              </w:rPr>
              <w:t>2 579 000,00</w:t>
            </w:r>
          </w:p>
        </w:tc>
        <w:tc>
          <w:tcPr>
            <w:tcW w:w="2019" w:type="dxa"/>
            <w:vAlign w:val="center"/>
          </w:tcPr>
          <w:p w14:paraId="67EF8E73" w14:textId="339DFA3D" w:rsidR="00711F01" w:rsidRDefault="00641F23" w:rsidP="00D94AC9">
            <w:pPr>
              <w:pStyle w:val="NormalnyWeb"/>
              <w:tabs>
                <w:tab w:val="left" w:pos="284"/>
              </w:tabs>
              <w:spacing w:before="100" w:after="100" w:line="360" w:lineRule="auto"/>
              <w:jc w:val="center"/>
              <w:rPr>
                <w:rFonts w:ascii="Arial" w:hAnsi="Arial" w:cs="Arial"/>
              </w:rPr>
            </w:pPr>
            <w:r w:rsidRPr="00E74097">
              <w:rPr>
                <w:rFonts w:ascii="Arial" w:hAnsi="Arial" w:cs="Arial"/>
              </w:rPr>
              <w:t>2 422 735,23</w:t>
            </w:r>
          </w:p>
        </w:tc>
      </w:tr>
      <w:tr w:rsidR="00711F01" w14:paraId="37220722" w14:textId="77777777" w:rsidTr="00D94AC9">
        <w:tc>
          <w:tcPr>
            <w:tcW w:w="988" w:type="dxa"/>
            <w:vAlign w:val="center"/>
          </w:tcPr>
          <w:p w14:paraId="586F77CA" w14:textId="6B7BBF74" w:rsidR="00711F01" w:rsidRDefault="00711F01" w:rsidP="00D94AC9">
            <w:pPr>
              <w:pStyle w:val="NormalnyWeb"/>
              <w:tabs>
                <w:tab w:val="left" w:pos="284"/>
              </w:tabs>
              <w:spacing w:after="120" w:line="360" w:lineRule="auto"/>
              <w:jc w:val="center"/>
              <w:rPr>
                <w:rFonts w:ascii="Arial" w:hAnsi="Arial" w:cs="Arial"/>
              </w:rPr>
            </w:pPr>
            <w:r>
              <w:rPr>
                <w:rFonts w:ascii="Arial" w:hAnsi="Arial" w:cs="Arial"/>
              </w:rPr>
              <w:t>2022</w:t>
            </w:r>
          </w:p>
        </w:tc>
        <w:tc>
          <w:tcPr>
            <w:tcW w:w="2018" w:type="dxa"/>
            <w:vAlign w:val="center"/>
          </w:tcPr>
          <w:p w14:paraId="475361B7" w14:textId="611861D1"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10</w:t>
            </w:r>
          </w:p>
        </w:tc>
        <w:tc>
          <w:tcPr>
            <w:tcW w:w="2019" w:type="dxa"/>
            <w:vAlign w:val="center"/>
          </w:tcPr>
          <w:p w14:paraId="64D88172" w14:textId="2915704A" w:rsidR="00711F01" w:rsidRDefault="00641F23" w:rsidP="00D94AC9">
            <w:pPr>
              <w:pStyle w:val="NormalnyWeb"/>
              <w:tabs>
                <w:tab w:val="left" w:pos="284"/>
              </w:tabs>
              <w:spacing w:before="100" w:after="100" w:line="360" w:lineRule="auto"/>
              <w:jc w:val="center"/>
              <w:rPr>
                <w:rFonts w:ascii="Arial" w:hAnsi="Arial" w:cs="Arial"/>
              </w:rPr>
            </w:pPr>
            <w:r>
              <w:rPr>
                <w:rFonts w:ascii="Arial" w:hAnsi="Arial" w:cs="Arial"/>
              </w:rPr>
              <w:t>22</w:t>
            </w:r>
          </w:p>
        </w:tc>
        <w:tc>
          <w:tcPr>
            <w:tcW w:w="2018" w:type="dxa"/>
            <w:vAlign w:val="center"/>
          </w:tcPr>
          <w:p w14:paraId="60EAD5B1" w14:textId="1CB31214" w:rsidR="00711F01" w:rsidRDefault="00641F23" w:rsidP="00D94AC9">
            <w:pPr>
              <w:pStyle w:val="NormalnyWeb"/>
              <w:tabs>
                <w:tab w:val="left" w:pos="284"/>
              </w:tabs>
              <w:spacing w:before="100" w:after="100" w:line="360" w:lineRule="auto"/>
              <w:jc w:val="center"/>
              <w:rPr>
                <w:rFonts w:ascii="Arial" w:hAnsi="Arial" w:cs="Arial"/>
              </w:rPr>
            </w:pPr>
            <w:r w:rsidRPr="00E74097">
              <w:rPr>
                <w:rFonts w:ascii="Arial" w:hAnsi="Arial" w:cs="Arial"/>
              </w:rPr>
              <w:t>3 579</w:t>
            </w:r>
            <w:r>
              <w:rPr>
                <w:rFonts w:ascii="Arial" w:hAnsi="Arial" w:cs="Arial"/>
              </w:rPr>
              <w:t> </w:t>
            </w:r>
            <w:r w:rsidRPr="00E74097">
              <w:rPr>
                <w:rFonts w:ascii="Arial" w:hAnsi="Arial" w:cs="Arial"/>
              </w:rPr>
              <w:t>000</w:t>
            </w:r>
            <w:r>
              <w:rPr>
                <w:rFonts w:ascii="Arial" w:hAnsi="Arial" w:cs="Arial"/>
              </w:rPr>
              <w:t>,00</w:t>
            </w:r>
          </w:p>
        </w:tc>
        <w:tc>
          <w:tcPr>
            <w:tcW w:w="2019" w:type="dxa"/>
            <w:vAlign w:val="center"/>
          </w:tcPr>
          <w:p w14:paraId="2C14DAFE" w14:textId="4D40E4AF" w:rsidR="00711F01" w:rsidRDefault="00641F23" w:rsidP="00D94AC9">
            <w:pPr>
              <w:pStyle w:val="NormalnyWeb"/>
              <w:tabs>
                <w:tab w:val="left" w:pos="284"/>
              </w:tabs>
              <w:spacing w:before="100" w:after="100" w:line="360" w:lineRule="auto"/>
              <w:jc w:val="center"/>
              <w:rPr>
                <w:rFonts w:ascii="Arial" w:hAnsi="Arial" w:cs="Arial"/>
              </w:rPr>
            </w:pPr>
            <w:r w:rsidRPr="00E74097">
              <w:rPr>
                <w:rFonts w:ascii="Arial" w:hAnsi="Arial" w:cs="Arial"/>
              </w:rPr>
              <w:t>3 258 057,94</w:t>
            </w:r>
          </w:p>
        </w:tc>
      </w:tr>
    </w:tbl>
    <w:p w14:paraId="021901AD" w14:textId="17EC7E2A" w:rsidR="00056846" w:rsidRPr="00925BCD" w:rsidRDefault="00E54725" w:rsidP="009E6B3B">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Aby zagwarantować, że tematy badawcze objęte dofinansowaniem przyczynią się faktycznie do rozwoju produkcji ekologicznej, dobór tematów i obszarów badawczych, w ramach których jednostki naukowe mogą ubiegać się o udzielenie dotacji, odbywa się na podstawie szerokich konsultacji publicznych. W ocenę wniosków o udzielenie dotacji zostali włączeni również eksperci reprezentujący środowiska ekologiczne. W tym zakresie Ministerstwo współprac</w:t>
      </w:r>
      <w:r w:rsidR="00D402BE">
        <w:rPr>
          <w:rFonts w:ascii="Arial" w:hAnsi="Arial" w:cs="Arial"/>
        </w:rPr>
        <w:t xml:space="preserve">owało </w:t>
      </w:r>
      <w:r w:rsidRPr="00925BCD">
        <w:rPr>
          <w:rFonts w:ascii="Arial" w:hAnsi="Arial" w:cs="Arial"/>
        </w:rPr>
        <w:t xml:space="preserve">ściśle z Radą Rolnictwa </w:t>
      </w:r>
      <w:r w:rsidR="001257C5" w:rsidRPr="00925BCD">
        <w:rPr>
          <w:rFonts w:ascii="Arial" w:hAnsi="Arial" w:cs="Arial"/>
        </w:rPr>
        <w:t>i</w:t>
      </w:r>
      <w:r w:rsidR="001257C5">
        <w:rPr>
          <w:rFonts w:ascii="Arial" w:hAnsi="Arial" w:cs="Arial"/>
        </w:rPr>
        <w:t> </w:t>
      </w:r>
      <w:r w:rsidRPr="00925BCD">
        <w:rPr>
          <w:rFonts w:ascii="Arial" w:hAnsi="Arial" w:cs="Arial"/>
        </w:rPr>
        <w:t xml:space="preserve">Produkcji Ekologicznej – ciałem doradczym powołanym przez Ministra Rolnictwa i Rozwoju Wsi.  </w:t>
      </w:r>
    </w:p>
    <w:p w14:paraId="1461FE0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tematy badawcze objęte dotacjami są nakierowane na rozwiazywanie problemów specyficznych dla produkcji ekologicznej. W ramach realizowanych tematów badano m.in. możliwość stosowania w ochronie roślin pożytecznych organizmów oraz preparatów pochodzenia roślinnego. </w:t>
      </w:r>
    </w:p>
    <w:p w14:paraId="3EE83443" w14:textId="77777777" w:rsidR="00C07CD6" w:rsidRPr="00925BCD" w:rsidRDefault="00C07CD6" w:rsidP="00C07CD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Pr>
          <w:rFonts w:ascii="Arial" w:hAnsi="Arial" w:cs="Arial"/>
          <w:b/>
        </w:rPr>
        <w:t xml:space="preserve"> i w 2019 r. </w:t>
      </w:r>
      <w:r w:rsidRPr="00925BCD">
        <w:rPr>
          <w:rFonts w:ascii="Arial" w:hAnsi="Arial" w:cs="Arial"/>
        </w:rPr>
        <w:t>zrealizowano następujące tematy badawcze dotyczące ochrony roślin przed szkodnikami i chorobami w rolnictwie ekologicznym:</w:t>
      </w:r>
    </w:p>
    <w:p w14:paraId="6D29BEF6" w14:textId="553ACDA0" w:rsidR="00C07CD6" w:rsidRPr="00925BCD" w:rsidRDefault="00C07CD6" w:rsidP="003F4DF6">
      <w:pPr>
        <w:pStyle w:val="napakapit"/>
        <w:numPr>
          <w:ilvl w:val="0"/>
          <w:numId w:val="29"/>
        </w:numPr>
        <w:spacing w:before="0"/>
        <w:rPr>
          <w:rFonts w:cs="Arial"/>
        </w:rPr>
      </w:pPr>
      <w:r w:rsidRPr="00925BCD">
        <w:rPr>
          <w:rFonts w:cs="Arial"/>
        </w:rPr>
        <w:t xml:space="preserve">uprawy polowe metodami ekologicznymi: badania w zakresie wykorzystania substancji podstawowych w ochronie upraw </w:t>
      </w:r>
      <w:r>
        <w:rPr>
          <w:rFonts w:cs="Arial"/>
        </w:rPr>
        <w:t xml:space="preserve">polowych w uprawie ekologicznej; </w:t>
      </w:r>
      <w:r w:rsidRPr="00925BCD">
        <w:rPr>
          <w:rFonts w:cs="Arial"/>
        </w:rPr>
        <w:t xml:space="preserve">optymalizacja sposobów zaprawiania materiału siewnego i nasadzeniowego stosowanego w rolnictwie ekologicznym </w:t>
      </w:r>
      <w:r>
        <w:rPr>
          <w:rFonts w:cs="Arial"/>
        </w:rPr>
        <w:t xml:space="preserve">oraz </w:t>
      </w:r>
      <w:r w:rsidRPr="009C7CB5">
        <w:rPr>
          <w:rFonts w:cs="Arial"/>
          <w:color w:val="212121"/>
        </w:rPr>
        <w:t>optymalizacja sposobów zaprawiania materiału siewnego i nasadzeniowego stosowanego w rolnictwie ekologicznym. Badania nad wykorzystaniem wybranych substancji do zaprawiania nasion pszenicy jarej w kierunku ograniczenia chorób grzybowych</w:t>
      </w:r>
      <w:r w:rsidR="007322D1">
        <w:rPr>
          <w:rFonts w:cs="Arial"/>
          <w:color w:val="212121"/>
        </w:rPr>
        <w:t xml:space="preserve"> </w:t>
      </w:r>
      <w:r w:rsidRPr="00925BCD">
        <w:rPr>
          <w:rFonts w:cs="Arial"/>
        </w:rPr>
        <w:t>- Instytut Ochrony Roślin –PIB,</w:t>
      </w:r>
    </w:p>
    <w:p w14:paraId="758FCE49" w14:textId="1932663B" w:rsidR="00C07CD6" w:rsidRPr="00925BCD" w:rsidRDefault="00C07CD6" w:rsidP="003F4DF6">
      <w:pPr>
        <w:pStyle w:val="napakapit"/>
        <w:numPr>
          <w:ilvl w:val="0"/>
          <w:numId w:val="29"/>
        </w:numPr>
        <w:spacing w:before="0"/>
        <w:rPr>
          <w:rFonts w:cs="Arial"/>
        </w:rPr>
      </w:pPr>
      <w:r w:rsidRPr="00925BCD">
        <w:rPr>
          <w:rFonts w:cs="Arial"/>
        </w:rPr>
        <w:t xml:space="preserve">sadownictwo metodami ekologicznymi: badania w zakresie wykorzystania substancji podstawowych w ochronie upraw sadowniczych w uprawie ekologicznej. Wykorzystanie substancji roślinnych do ograniczania populacji pędraków w uprawach truskawki oraz do zwalczania innych szkodników na roślinach sadowniczych </w:t>
      </w:r>
      <w:r>
        <w:rPr>
          <w:rFonts w:cs="Arial"/>
        </w:rPr>
        <w:t>oraz b</w:t>
      </w:r>
      <w:r w:rsidRPr="00925BCD">
        <w:rPr>
          <w:rFonts w:cs="Arial"/>
          <w:color w:val="212121"/>
        </w:rPr>
        <w:t>adania nad innowacyjnymi metodami ochrony upraw sadowniczych w rolnictwie ekologicznym, ze szczególnym uwzględnieniem upraw jagodowych</w:t>
      </w:r>
      <w:r w:rsidRPr="00925BCD">
        <w:rPr>
          <w:rFonts w:cs="Arial"/>
        </w:rPr>
        <w:t xml:space="preserve"> </w:t>
      </w:r>
      <w:r w:rsidR="009C02BF">
        <w:rPr>
          <w:rFonts w:cs="Arial"/>
        </w:rPr>
        <w:t>-</w:t>
      </w:r>
      <w:r w:rsidRPr="00925BCD">
        <w:rPr>
          <w:rFonts w:cs="Arial"/>
        </w:rPr>
        <w:t xml:space="preserve"> Instytut Ogrodnictwa</w:t>
      </w:r>
      <w:r w:rsidR="009C02BF">
        <w:rPr>
          <w:rFonts w:cs="Arial"/>
        </w:rPr>
        <w:t xml:space="preserve"> </w:t>
      </w:r>
      <w:r w:rsidR="000052CF" w:rsidRPr="00925BCD">
        <w:rPr>
          <w:rFonts w:cs="Arial"/>
        </w:rPr>
        <w:t xml:space="preserve">– </w:t>
      </w:r>
      <w:r w:rsidR="000052CF">
        <w:rPr>
          <w:rFonts w:cs="Arial"/>
        </w:rPr>
        <w:t>PIB</w:t>
      </w:r>
      <w:r w:rsidRPr="00925BCD">
        <w:rPr>
          <w:rFonts w:cs="Arial"/>
        </w:rPr>
        <w:t>,</w:t>
      </w:r>
    </w:p>
    <w:p w14:paraId="28E9CE84" w14:textId="3C1B2FDE" w:rsidR="00C07CD6" w:rsidRPr="00925BCD" w:rsidRDefault="00C07CD6" w:rsidP="003F4DF6">
      <w:pPr>
        <w:pStyle w:val="napakapit"/>
        <w:numPr>
          <w:ilvl w:val="0"/>
          <w:numId w:val="29"/>
        </w:numPr>
        <w:spacing w:before="0"/>
        <w:rPr>
          <w:rFonts w:cs="Arial"/>
        </w:rPr>
      </w:pPr>
      <w:r w:rsidRPr="00925BCD">
        <w:rPr>
          <w:rFonts w:cs="Arial"/>
        </w:rPr>
        <w:t xml:space="preserve">warzywnictwo ekologiczne, w tym uprawa ziół: badania w zakresie możliwości wykorzystania substancji podstawowych w ochronie warzyw i ziół w uprawie ekologicznej. Możliwość wykorzystania substancji podstawowych do ograniczania szkodliwości najgroźniejszych agrofagów w ekologicznych uprawach bobu, cebuli, fasoli szparagowej, jarmużu, rabarbaru i rukoli </w:t>
      </w:r>
      <w:r>
        <w:rPr>
          <w:rFonts w:cs="Arial"/>
        </w:rPr>
        <w:t xml:space="preserve">oraz </w:t>
      </w:r>
      <w:r w:rsidRPr="00925BCD">
        <w:rPr>
          <w:rFonts w:cs="Arial"/>
          <w:color w:val="212121"/>
        </w:rPr>
        <w:t xml:space="preserve">badania w zakresie możliwości wykorzystywania substancji podstawowych </w:t>
      </w:r>
      <w:r w:rsidR="00B77FE7" w:rsidRPr="00925BCD">
        <w:rPr>
          <w:rFonts w:cs="Arial"/>
          <w:color w:val="212121"/>
        </w:rPr>
        <w:t>w</w:t>
      </w:r>
      <w:r w:rsidR="00B77FE7">
        <w:rPr>
          <w:rFonts w:cs="Arial"/>
          <w:color w:val="212121"/>
        </w:rPr>
        <w:t> </w:t>
      </w:r>
      <w:r w:rsidRPr="00925BCD">
        <w:rPr>
          <w:rFonts w:cs="Arial"/>
          <w:color w:val="212121"/>
        </w:rPr>
        <w:t xml:space="preserve">ochronie warzyw i ziół w uprawie ekologicznej. Możliwości wykorzystywania substancji podstawowych do ograniczania szkodliwości najgroźniejszych agrofagów i patogenów </w:t>
      </w:r>
      <w:r w:rsidRPr="00925BCD">
        <w:rPr>
          <w:rFonts w:cs="Arial"/>
          <w:color w:val="212121"/>
        </w:rPr>
        <w:lastRenderedPageBreak/>
        <w:t>w</w:t>
      </w:r>
      <w:r w:rsidR="00E13D1F">
        <w:rPr>
          <w:rFonts w:cs="Arial"/>
          <w:color w:val="212121"/>
        </w:rPr>
        <w:t> </w:t>
      </w:r>
      <w:r w:rsidRPr="00925BCD">
        <w:rPr>
          <w:rFonts w:cs="Arial"/>
          <w:color w:val="212121"/>
        </w:rPr>
        <w:t>ekologicznych uprawach pieczarki</w:t>
      </w:r>
      <w:r>
        <w:rPr>
          <w:rFonts w:cs="Arial"/>
          <w:color w:val="212121"/>
        </w:rPr>
        <w:t xml:space="preserve"> </w:t>
      </w:r>
      <w:r w:rsidRPr="00925BCD">
        <w:rPr>
          <w:rFonts w:cs="Arial"/>
        </w:rPr>
        <w:t>- Instytut Ogrodnictwa</w:t>
      </w:r>
      <w:r w:rsidR="000052CF">
        <w:rPr>
          <w:rFonts w:cs="Arial"/>
        </w:rPr>
        <w:t xml:space="preserve"> </w:t>
      </w:r>
      <w:bookmarkStart w:id="152" w:name="_Hlk121313610"/>
      <w:r w:rsidR="000052CF" w:rsidRPr="00925BCD">
        <w:rPr>
          <w:rFonts w:cs="Arial"/>
        </w:rPr>
        <w:t>–</w:t>
      </w:r>
      <w:bookmarkEnd w:id="152"/>
      <w:r w:rsidR="000052CF" w:rsidRPr="00925BCD">
        <w:rPr>
          <w:rFonts w:cs="Arial"/>
        </w:rPr>
        <w:t xml:space="preserve"> </w:t>
      </w:r>
      <w:r w:rsidR="000052CF">
        <w:rPr>
          <w:rFonts w:cs="Arial"/>
        </w:rPr>
        <w:t>PIB</w:t>
      </w:r>
      <w:r w:rsidRPr="00925BCD">
        <w:rPr>
          <w:rFonts w:cs="Arial"/>
        </w:rPr>
        <w:t>,</w:t>
      </w:r>
    </w:p>
    <w:p w14:paraId="2CA46B81" w14:textId="0E14E2FC" w:rsidR="00C07CD6" w:rsidRDefault="00C07CD6" w:rsidP="003F4DF6">
      <w:pPr>
        <w:pStyle w:val="napakapit"/>
        <w:numPr>
          <w:ilvl w:val="0"/>
          <w:numId w:val="29"/>
        </w:numPr>
        <w:spacing w:before="0"/>
        <w:rPr>
          <w:rFonts w:cs="Arial"/>
        </w:rPr>
      </w:pPr>
      <w:r w:rsidRPr="00925BCD">
        <w:rPr>
          <w:rFonts w:cs="Arial"/>
        </w:rPr>
        <w:t xml:space="preserve">warzywnictwo ekologiczne, w tym uprawa ziół: badania w zakresie możliwości wykorzystania substancji podstawowych w ochronie warzyw i ziół w uprawie ekologicznej </w:t>
      </w:r>
      <w:r w:rsidR="009C02BF" w:rsidRPr="00925BCD">
        <w:rPr>
          <w:rFonts w:cs="Arial"/>
        </w:rPr>
        <w:t>–</w:t>
      </w:r>
      <w:r w:rsidRPr="00925BCD">
        <w:rPr>
          <w:rFonts w:cs="Arial"/>
        </w:rPr>
        <w:t xml:space="preserve"> Szkoła</w:t>
      </w:r>
      <w:r>
        <w:rPr>
          <w:rFonts w:cs="Arial"/>
        </w:rPr>
        <w:t xml:space="preserve"> Główna Gospodarstwa Wiejskiego,</w:t>
      </w:r>
    </w:p>
    <w:p w14:paraId="3ABD0DA1" w14:textId="0E0E4A08"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agrofagami w tych uprawach. (Badania nad doborem odmian zbóż ozimych: pszenicy, żyta, pszenżyta) </w:t>
      </w:r>
      <w:r>
        <w:rPr>
          <w:rFonts w:ascii="Arial" w:eastAsia="Times New Roman" w:hAnsi="Arial" w:cs="Arial"/>
          <w:color w:val="212121"/>
          <w:sz w:val="20"/>
          <w:szCs w:val="20"/>
          <w:lang w:eastAsia="pl-PL"/>
        </w:rPr>
        <w:t xml:space="preserve">oraz </w:t>
      </w:r>
      <w:r w:rsidRPr="00925BCD">
        <w:rPr>
          <w:rFonts w:ascii="Arial" w:eastAsia="Times New Roman" w:hAnsi="Arial" w:cs="Arial"/>
          <w:color w:val="212121"/>
          <w:sz w:val="20"/>
          <w:szCs w:val="20"/>
          <w:lang w:eastAsia="pl-PL"/>
        </w:rPr>
        <w:t>badania w zakresie optymalizacji doboru odmian w ekologicznej uprawie roślin rolniczych, zalecanych do produkcji polowej towarowej. Określenie dobrych praktyk ochrony przed agrofagami w tych uprawach. (Badania nad poprawą jakości plonu współczesnych i dawnych odmian pszenicy jarej, ich przydatnością dla przemysłu piekarskiego i makaronowego oraz potencjałem zdrowotnym)</w:t>
      </w:r>
      <w:r w:rsidRPr="00925BCD">
        <w:t xml:space="preserve"> </w:t>
      </w:r>
      <w:r w:rsidR="009C02BF">
        <w:t>-</w:t>
      </w:r>
      <w:r w:rsidRPr="00925BCD">
        <w:rPr>
          <w:rFonts w:ascii="Arial" w:eastAsia="Times New Roman" w:hAnsi="Arial" w:cs="Arial"/>
          <w:color w:val="212121"/>
          <w:sz w:val="20"/>
          <w:szCs w:val="20"/>
          <w:lang w:eastAsia="pl-PL"/>
        </w:rPr>
        <w:t xml:space="preserve"> Instytut Uprawy Nawożenia i Gleboznawstwa w Puławach </w:t>
      </w:r>
      <w:r w:rsidR="009C02BF" w:rsidRPr="00925BCD">
        <w:rPr>
          <w:rFonts w:cs="Arial"/>
        </w:rPr>
        <w:t>–</w:t>
      </w:r>
      <w:r w:rsidR="009C02BF">
        <w:rPr>
          <w:rFonts w:cs="Arial"/>
        </w:rPr>
        <w:t xml:space="preserve"> </w:t>
      </w:r>
      <w:r w:rsidRPr="00925BCD">
        <w:rPr>
          <w:rFonts w:ascii="Arial" w:eastAsia="Times New Roman" w:hAnsi="Arial" w:cs="Arial"/>
          <w:color w:val="212121"/>
          <w:sz w:val="20"/>
          <w:szCs w:val="20"/>
          <w:lang w:eastAsia="pl-PL"/>
        </w:rPr>
        <w:t>PIB;</w:t>
      </w:r>
    </w:p>
    <w:p w14:paraId="01C0A432" w14:textId="26EE0F95"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agrofagami w tych uprawach. Ocena nowo wytworzonych linii hodowlanych owsa do celów rolnictwa ekologicznego. Poszukiwanie genotypów o dużej odporności na choroby przy zachowaniu wysokiej jakości żywieniowej </w:t>
      </w:r>
      <w:r>
        <w:rPr>
          <w:rFonts w:ascii="Arial" w:eastAsia="Times New Roman" w:hAnsi="Arial" w:cs="Arial"/>
          <w:color w:val="212121"/>
          <w:sz w:val="20"/>
          <w:szCs w:val="20"/>
          <w:lang w:eastAsia="pl-PL"/>
        </w:rPr>
        <w:t>oraz b</w:t>
      </w:r>
      <w:r w:rsidRPr="00925BCD">
        <w:rPr>
          <w:rFonts w:ascii="Arial" w:eastAsia="Times New Roman" w:hAnsi="Arial" w:cs="Arial"/>
          <w:color w:val="212121"/>
          <w:sz w:val="20"/>
          <w:szCs w:val="20"/>
          <w:lang w:eastAsia="pl-PL"/>
        </w:rPr>
        <w:t>adania w zakresie optymalizacji doboru odmian w ekologicznej uprawie roślin rolniczych, zalecanych do produkcji polowej towarowej. Określenie dobrych praktyk ochrony przed agrofagami w tych uprawach. Badania nad doborem odmian kukurydzy do uprawy na różne cele użytkowania w systemie ekologicznym i redukcje zawartości mikotoksyn</w:t>
      </w:r>
      <w:r w:rsidR="009C02BF">
        <w:rPr>
          <w:rFonts w:ascii="Arial" w:eastAsia="Times New Roman" w:hAnsi="Arial" w:cs="Arial"/>
          <w:color w:val="212121"/>
          <w:sz w:val="20"/>
          <w:szCs w:val="20"/>
          <w:lang w:eastAsia="pl-PL"/>
        </w:rPr>
        <w:t xml:space="preserve"> -</w:t>
      </w:r>
      <w:r w:rsidRPr="00925BCD">
        <w:rPr>
          <w:rFonts w:ascii="Arial" w:eastAsia="Times New Roman" w:hAnsi="Arial" w:cs="Arial"/>
          <w:color w:val="212121"/>
          <w:sz w:val="20"/>
          <w:szCs w:val="20"/>
          <w:lang w:eastAsia="pl-PL"/>
        </w:rPr>
        <w:t xml:space="preserve"> Instytut Hodowli i Aklimatyzacji Roślin Radzików </w:t>
      </w:r>
      <w:r w:rsidR="009C02BF" w:rsidRPr="00925BCD">
        <w:rPr>
          <w:rFonts w:cs="Arial"/>
        </w:rPr>
        <w:t>–</w:t>
      </w:r>
      <w:r w:rsidR="009C02BF">
        <w:rPr>
          <w:rFonts w:cs="Arial"/>
        </w:rPr>
        <w:t xml:space="preserve"> </w:t>
      </w:r>
      <w:r w:rsidRPr="00925BCD">
        <w:rPr>
          <w:rFonts w:ascii="Arial" w:eastAsia="Times New Roman" w:hAnsi="Arial" w:cs="Arial"/>
          <w:color w:val="212121"/>
          <w:sz w:val="20"/>
          <w:szCs w:val="20"/>
          <w:lang w:eastAsia="pl-PL"/>
        </w:rPr>
        <w:t>PIB;</w:t>
      </w:r>
    </w:p>
    <w:p w14:paraId="5667C94F" w14:textId="28994A77" w:rsidR="00C07CD6"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określenie innowacyjnych rozwiązań w zakresie ochrony przed agrofagami w ekologicznej uprawie roślin rolniczych - Instytut Środowiska Rolniczego i Leśnego PAN.</w:t>
      </w:r>
    </w:p>
    <w:p w14:paraId="66A2CFEA" w14:textId="5E8495D0" w:rsidR="00C07CD6" w:rsidRPr="00812F0B" w:rsidRDefault="00AC7685" w:rsidP="00C07CD6">
      <w:pPr>
        <w:shd w:val="clear" w:color="auto" w:fill="FFFFFF"/>
        <w:spacing w:after="120" w:line="360" w:lineRule="auto"/>
        <w:jc w:val="both"/>
        <w:rPr>
          <w:rFonts w:ascii="Arial" w:hAnsi="Arial" w:cs="Arial"/>
          <w:color w:val="212121"/>
          <w:sz w:val="20"/>
          <w:szCs w:val="20"/>
        </w:rPr>
      </w:pPr>
      <w:r>
        <w:rPr>
          <w:rFonts w:ascii="Arial" w:hAnsi="Arial" w:cs="Arial"/>
          <w:b/>
          <w:color w:val="212121"/>
          <w:sz w:val="20"/>
          <w:szCs w:val="20"/>
        </w:rPr>
        <w:t>W</w:t>
      </w:r>
      <w:r w:rsidR="00C07CD6" w:rsidRPr="00812F0B">
        <w:rPr>
          <w:rFonts w:ascii="Arial" w:hAnsi="Arial" w:cs="Arial"/>
          <w:b/>
          <w:color w:val="212121"/>
          <w:sz w:val="20"/>
          <w:szCs w:val="20"/>
        </w:rPr>
        <w:t xml:space="preserve"> 2020 r.</w:t>
      </w:r>
      <w:r w:rsidR="00C07CD6" w:rsidRPr="00812F0B">
        <w:rPr>
          <w:rFonts w:ascii="Arial" w:hAnsi="Arial" w:cs="Arial"/>
          <w:color w:val="212121"/>
          <w:sz w:val="20"/>
          <w:szCs w:val="20"/>
        </w:rPr>
        <w:t xml:space="preserve"> zrealizowano następujące tematy badawcze dotyczące ochrony roślin przed szkodnikami i</w:t>
      </w:r>
      <w:r w:rsidR="00534399">
        <w:rPr>
          <w:rFonts w:ascii="Arial" w:hAnsi="Arial" w:cs="Arial"/>
          <w:color w:val="212121"/>
          <w:sz w:val="20"/>
          <w:szCs w:val="20"/>
        </w:rPr>
        <w:t> </w:t>
      </w:r>
      <w:r w:rsidR="00C07CD6" w:rsidRPr="00812F0B">
        <w:rPr>
          <w:rFonts w:ascii="Arial" w:hAnsi="Arial" w:cs="Arial"/>
          <w:color w:val="212121"/>
          <w:sz w:val="20"/>
          <w:szCs w:val="20"/>
        </w:rPr>
        <w:t>chorobami w rolnictwie ekologicznym:</w:t>
      </w:r>
    </w:p>
    <w:p w14:paraId="0F0F2A4A" w14:textId="6B93541A" w:rsidR="00C07CD6" w:rsidRPr="007322D1"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w</w:t>
      </w:r>
      <w:r w:rsidRPr="009C7CB5">
        <w:rPr>
          <w:rFonts w:ascii="Arial" w:hAnsi="Arial" w:cs="Arial"/>
          <w:color w:val="212121"/>
          <w:sz w:val="20"/>
          <w:szCs w:val="20"/>
        </w:rPr>
        <w:t xml:space="preserve">arzywnictwo ekologiczne, w tym uprawa ziół: Badania w zakresie możliwości wykorzystania substancji podstawowych w ochronie warzyw i ziół w uprawie ekologicznej. Możliwość wykorzystania substancji podstawowych w ograniczaniu występowania chorób bakteryjnych </w:t>
      </w:r>
      <w:r w:rsidR="00B77FE7" w:rsidRPr="009C7CB5">
        <w:rPr>
          <w:rFonts w:ascii="Arial" w:hAnsi="Arial" w:cs="Arial"/>
          <w:color w:val="212121"/>
          <w:sz w:val="20"/>
          <w:szCs w:val="20"/>
        </w:rPr>
        <w:t>w</w:t>
      </w:r>
      <w:r w:rsidR="00B77FE7">
        <w:rPr>
          <w:rFonts w:ascii="Arial" w:hAnsi="Arial" w:cs="Arial"/>
          <w:color w:val="212121"/>
          <w:sz w:val="20"/>
          <w:szCs w:val="20"/>
        </w:rPr>
        <w:t> </w:t>
      </w:r>
      <w:r w:rsidRPr="009C7CB5">
        <w:rPr>
          <w:rFonts w:ascii="Arial" w:hAnsi="Arial" w:cs="Arial"/>
          <w:color w:val="212121"/>
          <w:sz w:val="20"/>
          <w:szCs w:val="20"/>
        </w:rPr>
        <w:t>ekologicznej pr</w:t>
      </w:r>
      <w:r>
        <w:rPr>
          <w:rFonts w:ascii="Arial" w:hAnsi="Arial" w:cs="Arial"/>
          <w:color w:val="212121"/>
          <w:sz w:val="20"/>
          <w:szCs w:val="20"/>
        </w:rPr>
        <w:t xml:space="preserve">asie pieczarki </w:t>
      </w:r>
      <w:r w:rsidR="007322D1">
        <w:rPr>
          <w:rFonts w:ascii="Arial" w:hAnsi="Arial" w:cs="Arial"/>
          <w:color w:val="212121"/>
          <w:sz w:val="20"/>
          <w:szCs w:val="20"/>
        </w:rPr>
        <w:t>-</w:t>
      </w:r>
      <w:r>
        <w:rPr>
          <w:rFonts w:ascii="Arial" w:hAnsi="Arial" w:cs="Arial"/>
          <w:color w:val="212121"/>
          <w:sz w:val="20"/>
          <w:szCs w:val="20"/>
        </w:rPr>
        <w:t xml:space="preserve"> Instytut </w:t>
      </w:r>
      <w:r w:rsidRPr="007322D1">
        <w:rPr>
          <w:rFonts w:ascii="Arial" w:hAnsi="Arial" w:cs="Arial"/>
          <w:color w:val="212121"/>
          <w:sz w:val="20"/>
          <w:szCs w:val="20"/>
        </w:rPr>
        <w:t xml:space="preserve">Ogrodnictwa </w:t>
      </w:r>
      <w:r w:rsidR="000052CF" w:rsidRPr="007322D1">
        <w:rPr>
          <w:rFonts w:ascii="Arial" w:hAnsi="Arial" w:cs="Arial"/>
          <w:sz w:val="20"/>
          <w:szCs w:val="20"/>
        </w:rPr>
        <w:t>– PIB</w:t>
      </w:r>
      <w:r w:rsidRPr="007322D1">
        <w:rPr>
          <w:rFonts w:ascii="Arial" w:hAnsi="Arial" w:cs="Arial"/>
          <w:color w:val="212121"/>
          <w:sz w:val="20"/>
          <w:szCs w:val="20"/>
        </w:rPr>
        <w:t>,</w:t>
      </w:r>
    </w:p>
    <w:p w14:paraId="53D60A09" w14:textId="353CE25F" w:rsidR="00C07CD6" w:rsidRDefault="00AC7685"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s</w:t>
      </w:r>
      <w:r w:rsidR="00C07CD6" w:rsidRPr="009C7CB5">
        <w:rPr>
          <w:rFonts w:ascii="Arial" w:hAnsi="Arial" w:cs="Arial"/>
          <w:color w:val="212121"/>
          <w:sz w:val="20"/>
          <w:szCs w:val="20"/>
        </w:rPr>
        <w:t>adownictwo metodami ekologicznymi: Badania w zakresie wykorzystania substancji podstawowych w ochronie e</w:t>
      </w:r>
      <w:r w:rsidR="00C07CD6">
        <w:rPr>
          <w:rFonts w:ascii="Arial" w:hAnsi="Arial" w:cs="Arial"/>
          <w:color w:val="212121"/>
          <w:sz w:val="20"/>
          <w:szCs w:val="20"/>
        </w:rPr>
        <w:t xml:space="preserve">kologicznych upraw sadowniczych </w:t>
      </w:r>
      <w:r w:rsidR="007322D1">
        <w:rPr>
          <w:rFonts w:ascii="Arial" w:hAnsi="Arial" w:cs="Arial"/>
          <w:color w:val="212121"/>
          <w:sz w:val="20"/>
          <w:szCs w:val="20"/>
        </w:rPr>
        <w:t>-</w:t>
      </w:r>
      <w:r w:rsidR="00C07CD6">
        <w:rPr>
          <w:rFonts w:ascii="Arial" w:hAnsi="Arial" w:cs="Arial"/>
          <w:color w:val="212121"/>
          <w:sz w:val="20"/>
          <w:szCs w:val="20"/>
        </w:rPr>
        <w:t xml:space="preserve"> Instytut </w:t>
      </w:r>
      <w:r w:rsidR="00C07CD6" w:rsidRPr="007322D1">
        <w:rPr>
          <w:rFonts w:ascii="Arial" w:hAnsi="Arial" w:cs="Arial"/>
          <w:color w:val="212121"/>
          <w:sz w:val="20"/>
          <w:szCs w:val="20"/>
        </w:rPr>
        <w:t>Ogrodnictwa</w:t>
      </w:r>
      <w:r w:rsidR="009D20A2" w:rsidRPr="007322D1">
        <w:rPr>
          <w:rFonts w:ascii="Arial" w:hAnsi="Arial" w:cs="Arial"/>
          <w:color w:val="212121"/>
          <w:sz w:val="20"/>
          <w:szCs w:val="20"/>
        </w:rPr>
        <w:t xml:space="preserve"> </w:t>
      </w:r>
      <w:r w:rsidR="009D20A2" w:rsidRPr="007322D1">
        <w:rPr>
          <w:rFonts w:ascii="Arial" w:hAnsi="Arial" w:cs="Arial"/>
          <w:sz w:val="20"/>
          <w:szCs w:val="20"/>
        </w:rPr>
        <w:t>– PIB</w:t>
      </w:r>
      <w:r w:rsidR="00C07CD6">
        <w:rPr>
          <w:rFonts w:ascii="Arial" w:hAnsi="Arial" w:cs="Arial"/>
          <w:color w:val="212121"/>
          <w:sz w:val="20"/>
          <w:szCs w:val="20"/>
        </w:rPr>
        <w:t>, Uniwersytet Przyrodniczy w Lublinie,</w:t>
      </w:r>
    </w:p>
    <w:p w14:paraId="554BDB1A" w14:textId="7079DDBA" w:rsidR="00C07CD6" w:rsidRPr="009C7CB5"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u</w:t>
      </w:r>
      <w:r w:rsidRPr="009C7CB5">
        <w:rPr>
          <w:rFonts w:ascii="Arial" w:hAnsi="Arial" w:cs="Arial"/>
          <w:color w:val="212121"/>
          <w:sz w:val="20"/>
          <w:szCs w:val="20"/>
        </w:rPr>
        <w:t xml:space="preserve">prawy polowe metodami ekologicznymi: produkcja ekologicznego materiału siewnego roślin rolniczych. Określenie dobrych praktyk produkcyjnych z uwzględnieniem warunków glebowych i klimatycznych oraz odporności lub tolerancji na choroby. Opracowanie technologii produkcji </w:t>
      </w:r>
      <w:r w:rsidRPr="009C7CB5">
        <w:rPr>
          <w:rFonts w:ascii="Arial" w:hAnsi="Arial" w:cs="Arial"/>
          <w:color w:val="212121"/>
          <w:sz w:val="20"/>
          <w:szCs w:val="20"/>
        </w:rPr>
        <w:lastRenderedPageBreak/>
        <w:t>nasion odmiany mieszańcowej (F1) kukurydzy i odmiany pszenżyta dla gospodarstw ekologicznych</w:t>
      </w:r>
      <w:r>
        <w:rPr>
          <w:rFonts w:ascii="Arial" w:hAnsi="Arial" w:cs="Arial"/>
          <w:color w:val="212121"/>
          <w:sz w:val="20"/>
          <w:szCs w:val="20"/>
        </w:rPr>
        <w:t xml:space="preserve"> </w:t>
      </w:r>
      <w:r w:rsidR="007322D1">
        <w:rPr>
          <w:rFonts w:ascii="Arial" w:hAnsi="Arial" w:cs="Arial"/>
          <w:color w:val="212121"/>
          <w:sz w:val="20"/>
          <w:szCs w:val="20"/>
        </w:rPr>
        <w:t>-</w:t>
      </w:r>
      <w:r>
        <w:rPr>
          <w:rFonts w:ascii="Arial" w:hAnsi="Arial" w:cs="Arial"/>
          <w:color w:val="212121"/>
          <w:sz w:val="20"/>
          <w:szCs w:val="20"/>
        </w:rPr>
        <w:t xml:space="preserve"> Instytut </w:t>
      </w:r>
      <w:r w:rsidRPr="009C7CB5">
        <w:rPr>
          <w:rFonts w:ascii="Arial" w:hAnsi="Arial" w:cs="Arial"/>
          <w:color w:val="212121"/>
          <w:sz w:val="20"/>
          <w:szCs w:val="20"/>
        </w:rPr>
        <w:t xml:space="preserve">Hodowli i Aklimatyzacji Roślin Radzików </w:t>
      </w:r>
      <w:r w:rsidR="007322D1" w:rsidRPr="00925BCD">
        <w:rPr>
          <w:rFonts w:cs="Arial"/>
        </w:rPr>
        <w:t>–</w:t>
      </w:r>
      <w:r w:rsidR="007322D1">
        <w:rPr>
          <w:rFonts w:ascii="Arial" w:hAnsi="Arial" w:cs="Arial"/>
          <w:color w:val="212121"/>
          <w:sz w:val="20"/>
          <w:szCs w:val="20"/>
        </w:rPr>
        <w:t xml:space="preserve"> </w:t>
      </w:r>
      <w:r w:rsidRPr="009C7CB5">
        <w:rPr>
          <w:rFonts w:ascii="Arial" w:hAnsi="Arial" w:cs="Arial"/>
          <w:color w:val="212121"/>
          <w:sz w:val="20"/>
          <w:szCs w:val="20"/>
        </w:rPr>
        <w:t>PIB.</w:t>
      </w:r>
    </w:p>
    <w:p w14:paraId="28C21F80" w14:textId="33AAC23A" w:rsidR="00AC7685" w:rsidRDefault="00AC7685" w:rsidP="00AC7685">
      <w:pPr>
        <w:pStyle w:val="NormalnyWeb"/>
        <w:tabs>
          <w:tab w:val="left" w:pos="284"/>
        </w:tabs>
        <w:spacing w:beforeAutospacing="0" w:after="120" w:afterAutospacing="0" w:line="360" w:lineRule="auto"/>
        <w:jc w:val="both"/>
        <w:rPr>
          <w:rFonts w:ascii="Arial" w:hAnsi="Arial" w:cs="Arial"/>
        </w:rPr>
      </w:pPr>
      <w:r>
        <w:rPr>
          <w:rFonts w:ascii="Arial" w:hAnsi="Arial" w:cs="Arial"/>
        </w:rPr>
        <w:t>Z kolei w 2021 r</w:t>
      </w:r>
      <w:r w:rsidR="00763E6D">
        <w:rPr>
          <w:rFonts w:ascii="Arial" w:hAnsi="Arial" w:cs="Arial"/>
        </w:rPr>
        <w:t>.</w:t>
      </w:r>
      <w:r>
        <w:rPr>
          <w:rFonts w:ascii="Arial" w:hAnsi="Arial" w:cs="Arial"/>
        </w:rPr>
        <w:t xml:space="preserve"> tematy badawcze dotyczące ochrony roślin realizowane były w następującym zakresie:</w:t>
      </w:r>
    </w:p>
    <w:p w14:paraId="3A3F3C0E" w14:textId="2FB30D66" w:rsidR="00AC7685" w:rsidRDefault="00AC7685" w:rsidP="00F07C2F">
      <w:pPr>
        <w:pStyle w:val="NormalnyWeb"/>
        <w:numPr>
          <w:ilvl w:val="0"/>
          <w:numId w:val="38"/>
        </w:numPr>
        <w:tabs>
          <w:tab w:val="left" w:pos="284"/>
        </w:tabs>
        <w:spacing w:beforeAutospacing="0" w:after="120" w:afterAutospacing="0" w:line="360" w:lineRule="auto"/>
        <w:jc w:val="both"/>
        <w:rPr>
          <w:rFonts w:ascii="Arial" w:hAnsi="Arial" w:cs="Arial"/>
        </w:rPr>
      </w:pPr>
      <w:r>
        <w:rPr>
          <w:rFonts w:ascii="Arial" w:hAnsi="Arial" w:cs="Arial"/>
        </w:rPr>
        <w:t>w</w:t>
      </w:r>
      <w:r w:rsidRPr="000C4A5D">
        <w:rPr>
          <w:rFonts w:ascii="Arial" w:hAnsi="Arial" w:cs="Arial"/>
        </w:rPr>
        <w:t xml:space="preserve">arzywnictwo ekologiczne, w tym uprawa ziół: </w:t>
      </w:r>
      <w:r w:rsidR="009C02BF">
        <w:rPr>
          <w:rFonts w:ascii="Arial" w:hAnsi="Arial" w:cs="Arial"/>
        </w:rPr>
        <w:t>B</w:t>
      </w:r>
      <w:r w:rsidRPr="000C4A5D">
        <w:rPr>
          <w:rFonts w:ascii="Arial" w:hAnsi="Arial" w:cs="Arial"/>
        </w:rPr>
        <w:t>adania i ocena substancji podstawowych stosowanych w uprawie warzyw i ziół w uprawie ekologicznej. Określenie dobrych praktyk, standardów postępowania, opracowanie przewodnika wraz z wytycznymi w zakresie przeciwdziałania takim przypadkom</w:t>
      </w:r>
      <w:r>
        <w:rPr>
          <w:rFonts w:ascii="Arial" w:hAnsi="Arial" w:cs="Arial"/>
        </w:rPr>
        <w:t xml:space="preserve"> – Szkoła główna Gospodarstwa Wiejskiego,</w:t>
      </w:r>
    </w:p>
    <w:p w14:paraId="26EFB4A9" w14:textId="6FF444D4" w:rsidR="00AC7685" w:rsidRDefault="00AC7685" w:rsidP="00F07C2F">
      <w:pPr>
        <w:pStyle w:val="NormalnyWeb"/>
        <w:numPr>
          <w:ilvl w:val="0"/>
          <w:numId w:val="38"/>
        </w:numPr>
        <w:tabs>
          <w:tab w:val="left" w:pos="284"/>
        </w:tabs>
        <w:spacing w:after="120" w:line="360" w:lineRule="auto"/>
        <w:jc w:val="both"/>
        <w:rPr>
          <w:rFonts w:ascii="Arial" w:hAnsi="Arial" w:cs="Arial"/>
        </w:rPr>
      </w:pPr>
      <w:r>
        <w:rPr>
          <w:rFonts w:ascii="Arial" w:hAnsi="Arial" w:cs="Arial"/>
        </w:rPr>
        <w:t>s</w:t>
      </w:r>
      <w:r w:rsidRPr="00C15C3C">
        <w:rPr>
          <w:rFonts w:ascii="Arial" w:hAnsi="Arial" w:cs="Arial"/>
        </w:rPr>
        <w:t>adownictwo metodami ekologicznymi: badania i ocena substancji podstawowych stosowanych w ochronie roślin sadowniczych w uprawie ekologicznej. Opracowanie przewodnika w zakresie rodzaju i sposobu stosowania substancji podstawowych w rolnictwie ekologicznym, z</w:t>
      </w:r>
      <w:r>
        <w:rPr>
          <w:rFonts w:ascii="Arial" w:hAnsi="Arial" w:cs="Arial"/>
        </w:rPr>
        <w:t> </w:t>
      </w:r>
      <w:r w:rsidRPr="00C15C3C">
        <w:rPr>
          <w:rFonts w:ascii="Arial" w:hAnsi="Arial" w:cs="Arial"/>
        </w:rPr>
        <w:t>uwzględnieniem dotychczasowych badań i opracowań oraz dostępnej wiedzy</w:t>
      </w:r>
      <w:r>
        <w:rPr>
          <w:rFonts w:ascii="Arial" w:hAnsi="Arial" w:cs="Arial"/>
        </w:rPr>
        <w:t xml:space="preserve">. </w:t>
      </w:r>
      <w:r w:rsidRPr="00C15C3C">
        <w:rPr>
          <w:rFonts w:ascii="Arial" w:hAnsi="Arial" w:cs="Arial"/>
        </w:rPr>
        <w:t>Opracowanie metod ochrony borówki wysokiej przed muszką plamoskrzydłą Drosophila suzukii (Matsumura) oraz patogenami powodującymi szarą pleśń (Botrytis cinerea) i antraknozę (Colletotrichum acutatum sensu lato), w ekologicznym systemie produkcji</w:t>
      </w:r>
      <w:r>
        <w:rPr>
          <w:rFonts w:ascii="Arial" w:hAnsi="Arial" w:cs="Arial"/>
        </w:rPr>
        <w:t xml:space="preserve"> </w:t>
      </w:r>
      <w:r w:rsidR="007322D1">
        <w:rPr>
          <w:rFonts w:ascii="Arial" w:hAnsi="Arial" w:cs="Arial"/>
        </w:rPr>
        <w:t>-</w:t>
      </w:r>
      <w:r>
        <w:rPr>
          <w:rFonts w:ascii="Arial" w:hAnsi="Arial" w:cs="Arial"/>
        </w:rPr>
        <w:t xml:space="preserve"> Instytut Ogrodnictwa – PIB,</w:t>
      </w:r>
    </w:p>
    <w:p w14:paraId="54F28D7C" w14:textId="5DCADB23" w:rsidR="00AC7685" w:rsidRDefault="00AC7685" w:rsidP="00F07C2F">
      <w:pPr>
        <w:pStyle w:val="NormalnyWeb"/>
        <w:numPr>
          <w:ilvl w:val="0"/>
          <w:numId w:val="38"/>
        </w:numPr>
        <w:tabs>
          <w:tab w:val="left" w:pos="284"/>
        </w:tabs>
        <w:spacing w:after="120" w:line="360" w:lineRule="auto"/>
        <w:jc w:val="both"/>
        <w:rPr>
          <w:rFonts w:ascii="Arial" w:hAnsi="Arial" w:cs="Arial"/>
        </w:rPr>
      </w:pPr>
      <w:r>
        <w:rPr>
          <w:rFonts w:ascii="Arial" w:hAnsi="Arial" w:cs="Arial"/>
        </w:rPr>
        <w:t>u</w:t>
      </w:r>
      <w:r w:rsidRPr="003572CC">
        <w:rPr>
          <w:rFonts w:ascii="Arial" w:hAnsi="Arial" w:cs="Arial"/>
        </w:rPr>
        <w:t>prawy polowe metodami ekologicznymi - badania i ocena substancji podstawowych stosowanych w ochronie roślin rolniczych w uprawie ekologicznej. Opracowanie przewodnika w zakresie rodzaju i sposobu stosowania substancji podstawowych w rolnictwie ekologicznym</w:t>
      </w:r>
      <w:r>
        <w:rPr>
          <w:rFonts w:ascii="Arial" w:hAnsi="Arial" w:cs="Arial"/>
        </w:rPr>
        <w:t>,</w:t>
      </w:r>
      <w:r w:rsidRPr="003572CC">
        <w:rPr>
          <w:rFonts w:ascii="Arial" w:hAnsi="Arial" w:cs="Arial"/>
        </w:rPr>
        <w:t xml:space="preserve"> z uwzględnieniem dotychczasowych badań i opracowań oraz dostępnej wiedzy - Opracowanie narzędzia internetowego umożliwiającego wyszukania substancji podstawowej wraz z jej przeznaczeniem dla ochrony upraw ekologicznych</w:t>
      </w:r>
      <w:r>
        <w:rPr>
          <w:rFonts w:ascii="Arial" w:hAnsi="Arial" w:cs="Arial"/>
        </w:rPr>
        <w:t xml:space="preserve"> </w:t>
      </w:r>
      <w:r w:rsidR="007322D1">
        <w:rPr>
          <w:rFonts w:ascii="Arial" w:hAnsi="Arial" w:cs="Arial"/>
        </w:rPr>
        <w:t>-</w:t>
      </w:r>
      <w:r>
        <w:rPr>
          <w:rFonts w:ascii="Arial" w:hAnsi="Arial" w:cs="Arial"/>
        </w:rPr>
        <w:t xml:space="preserve"> Instytut Ochrony Roślin – PIB,</w:t>
      </w:r>
    </w:p>
    <w:p w14:paraId="782AC2EF" w14:textId="02E67285" w:rsidR="00AC7685" w:rsidRDefault="00AC7685" w:rsidP="00F07C2F">
      <w:pPr>
        <w:pStyle w:val="NormalnyWeb"/>
        <w:numPr>
          <w:ilvl w:val="0"/>
          <w:numId w:val="38"/>
        </w:numPr>
        <w:tabs>
          <w:tab w:val="left" w:pos="284"/>
        </w:tabs>
        <w:spacing w:after="120" w:line="360" w:lineRule="auto"/>
        <w:jc w:val="both"/>
        <w:rPr>
          <w:rFonts w:ascii="Arial" w:hAnsi="Arial" w:cs="Arial"/>
        </w:rPr>
      </w:pPr>
      <w:r>
        <w:rPr>
          <w:rFonts w:ascii="Arial" w:hAnsi="Arial" w:cs="Arial"/>
        </w:rPr>
        <w:t>w</w:t>
      </w:r>
      <w:r w:rsidRPr="00EF28A0">
        <w:rPr>
          <w:rFonts w:ascii="Arial" w:hAnsi="Arial" w:cs="Arial"/>
        </w:rPr>
        <w:t>arzywnictwo ekologiczne, w tym uprawa ziół</w:t>
      </w:r>
      <w:r>
        <w:rPr>
          <w:rFonts w:ascii="Arial" w:hAnsi="Arial" w:cs="Arial"/>
        </w:rPr>
        <w:t xml:space="preserve">. </w:t>
      </w:r>
      <w:r w:rsidRPr="00EF28A0">
        <w:rPr>
          <w:rFonts w:ascii="Arial" w:hAnsi="Arial" w:cs="Arial"/>
        </w:rPr>
        <w:t>Badania w zakresie ochrony warzyw przed chorobami i szkodnikami. Opracowanie, w formie przewodnika, metod zapobiegawczych przed chorobami i szkodnikami</w:t>
      </w:r>
      <w:r>
        <w:rPr>
          <w:rFonts w:ascii="Arial" w:hAnsi="Arial" w:cs="Arial"/>
        </w:rPr>
        <w:t xml:space="preserve">. </w:t>
      </w:r>
      <w:r w:rsidRPr="00EF28A0">
        <w:rPr>
          <w:rFonts w:ascii="Arial" w:hAnsi="Arial" w:cs="Arial"/>
        </w:rPr>
        <w:t>Możliwości wykorzystania substancji podstawowych i bioproduktów w ochronie ekologicznych upraw jarmużu, kalafiora i kapusty głowiastej przed chorobami i</w:t>
      </w:r>
      <w:r>
        <w:rPr>
          <w:rFonts w:ascii="Arial" w:hAnsi="Arial" w:cs="Arial"/>
        </w:rPr>
        <w:t> </w:t>
      </w:r>
      <w:r w:rsidRPr="00EF28A0">
        <w:rPr>
          <w:rFonts w:ascii="Arial" w:hAnsi="Arial" w:cs="Arial"/>
        </w:rPr>
        <w:t>szkodnikami</w:t>
      </w:r>
      <w:r w:rsidR="007322D1">
        <w:rPr>
          <w:rFonts w:ascii="Arial" w:hAnsi="Arial" w:cs="Arial"/>
        </w:rPr>
        <w:t xml:space="preserve"> -</w:t>
      </w:r>
      <w:r>
        <w:rPr>
          <w:rFonts w:ascii="Arial" w:hAnsi="Arial" w:cs="Arial"/>
        </w:rPr>
        <w:t xml:space="preserve"> Instytut Ogrodnictwa – PIB,</w:t>
      </w:r>
    </w:p>
    <w:p w14:paraId="1B853274" w14:textId="3DC0202E" w:rsidR="00AC7685" w:rsidRDefault="00AC7685" w:rsidP="00F07C2F">
      <w:pPr>
        <w:pStyle w:val="NormalnyWeb"/>
        <w:numPr>
          <w:ilvl w:val="0"/>
          <w:numId w:val="38"/>
        </w:numPr>
        <w:tabs>
          <w:tab w:val="left" w:pos="284"/>
        </w:tabs>
        <w:spacing w:after="120" w:line="360" w:lineRule="auto"/>
        <w:jc w:val="both"/>
        <w:rPr>
          <w:rFonts w:ascii="Arial" w:hAnsi="Arial" w:cs="Arial"/>
        </w:rPr>
      </w:pPr>
      <w:r>
        <w:rPr>
          <w:rFonts w:ascii="Arial" w:hAnsi="Arial" w:cs="Arial"/>
        </w:rPr>
        <w:t>s</w:t>
      </w:r>
      <w:r w:rsidRPr="00850F5D">
        <w:rPr>
          <w:rFonts w:ascii="Arial" w:hAnsi="Arial" w:cs="Arial"/>
        </w:rPr>
        <w:t>adownictwo metodami ekologicznymi</w:t>
      </w:r>
      <w:r>
        <w:rPr>
          <w:rFonts w:ascii="Arial" w:hAnsi="Arial" w:cs="Arial"/>
        </w:rPr>
        <w:t xml:space="preserve">. </w:t>
      </w:r>
      <w:r w:rsidRPr="00850F5D">
        <w:rPr>
          <w:rFonts w:ascii="Arial" w:hAnsi="Arial" w:cs="Arial"/>
        </w:rPr>
        <w:t>Badania i ocena substancji podstawowych stosowanych w ochronie roślin sadowniczych w uprawie ekologicznej. Opracowanie przewodnika w zakresie rodzaju i sposobu stosowania substancji podstawowych w rolnictwie ekologicznym, z</w:t>
      </w:r>
      <w:r>
        <w:rPr>
          <w:rFonts w:ascii="Arial" w:hAnsi="Arial" w:cs="Arial"/>
        </w:rPr>
        <w:t> </w:t>
      </w:r>
      <w:r w:rsidRPr="00850F5D">
        <w:rPr>
          <w:rFonts w:ascii="Arial" w:hAnsi="Arial" w:cs="Arial"/>
        </w:rPr>
        <w:t>uwzględnieniem dotychczasowych badań i opracowań oraz dostępnej wiedzy</w:t>
      </w:r>
      <w:r>
        <w:rPr>
          <w:rFonts w:ascii="Arial" w:hAnsi="Arial" w:cs="Arial"/>
        </w:rPr>
        <w:t xml:space="preserve">. </w:t>
      </w:r>
      <w:r w:rsidRPr="00850F5D">
        <w:rPr>
          <w:rFonts w:ascii="Arial" w:hAnsi="Arial" w:cs="Arial"/>
        </w:rPr>
        <w:t>Zastosowanie substancji podstawowych do ograniczania populacji agrofagów (szkodników i chorób) na rokitniku</w:t>
      </w:r>
      <w:r>
        <w:rPr>
          <w:rFonts w:ascii="Arial" w:hAnsi="Arial" w:cs="Arial"/>
        </w:rPr>
        <w:t xml:space="preserve"> </w:t>
      </w:r>
      <w:r w:rsidR="007322D1">
        <w:rPr>
          <w:rFonts w:ascii="Arial" w:hAnsi="Arial" w:cs="Arial"/>
        </w:rPr>
        <w:t>-</w:t>
      </w:r>
      <w:r>
        <w:rPr>
          <w:rFonts w:ascii="Arial" w:hAnsi="Arial" w:cs="Arial"/>
        </w:rPr>
        <w:t xml:space="preserve"> Instytut Ogrodnictwa – PIB.</w:t>
      </w:r>
    </w:p>
    <w:p w14:paraId="5ACD3605" w14:textId="3D26B671" w:rsidR="00E74097" w:rsidRDefault="00E74097" w:rsidP="00E74097">
      <w:pPr>
        <w:pStyle w:val="NormalnyWeb"/>
        <w:tabs>
          <w:tab w:val="left" w:pos="284"/>
        </w:tabs>
        <w:spacing w:after="120" w:line="360" w:lineRule="auto"/>
        <w:jc w:val="both"/>
        <w:rPr>
          <w:rFonts w:ascii="Arial" w:hAnsi="Arial" w:cs="Arial"/>
        </w:rPr>
      </w:pPr>
      <w:r>
        <w:rPr>
          <w:rFonts w:ascii="Arial" w:hAnsi="Arial" w:cs="Arial"/>
        </w:rPr>
        <w:t>W ostatnim, czyli 5 roku realizacji drugiego kr</w:t>
      </w:r>
      <w:r w:rsidR="000E4710">
        <w:rPr>
          <w:rFonts w:ascii="Arial" w:hAnsi="Arial" w:cs="Arial"/>
        </w:rPr>
        <w:t>a</w:t>
      </w:r>
      <w:r w:rsidR="003507CE">
        <w:rPr>
          <w:rFonts w:ascii="Arial" w:hAnsi="Arial" w:cs="Arial"/>
        </w:rPr>
        <w:t>j</w:t>
      </w:r>
      <w:r>
        <w:rPr>
          <w:rFonts w:ascii="Arial" w:hAnsi="Arial" w:cs="Arial"/>
        </w:rPr>
        <w:t xml:space="preserve">owego planu działania, </w:t>
      </w:r>
      <w:r w:rsidRPr="00D94AC9">
        <w:rPr>
          <w:rFonts w:ascii="Arial" w:hAnsi="Arial" w:cs="Arial"/>
          <w:b/>
        </w:rPr>
        <w:t>w 2022 r.</w:t>
      </w:r>
      <w:r w:rsidRPr="00AF5029">
        <w:rPr>
          <w:rFonts w:ascii="Arial" w:hAnsi="Arial" w:cs="Arial"/>
        </w:rPr>
        <w:t xml:space="preserve"> tematy badawcze dotyczące ochrony roślin realizowane były w następującym zakresie</w:t>
      </w:r>
      <w:r>
        <w:rPr>
          <w:rFonts w:ascii="Arial" w:hAnsi="Arial" w:cs="Arial"/>
        </w:rPr>
        <w:t>:</w:t>
      </w:r>
    </w:p>
    <w:p w14:paraId="0D9E3DE1" w14:textId="2C9C77C1"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F61755">
        <w:rPr>
          <w:rFonts w:ascii="Arial" w:hAnsi="Arial" w:cs="Arial"/>
        </w:rPr>
        <w:t>prawy polowe metodami ekologicznymi:</w:t>
      </w:r>
      <w:r>
        <w:rPr>
          <w:rFonts w:ascii="Arial" w:hAnsi="Arial" w:cs="Arial"/>
        </w:rPr>
        <w:t xml:space="preserve"> </w:t>
      </w:r>
      <w:r w:rsidRPr="00F61755">
        <w:rPr>
          <w:rFonts w:ascii="Arial" w:hAnsi="Arial" w:cs="Arial"/>
        </w:rPr>
        <w:t>badania i ocena substancji podstawowych stosowanych w ochronie roślin rolniczych w uprawie ekologicznej. Opracowanie przewodnika w zakresie rodzaju i sposobu stosowania substancji podstawowych w rolnictwie ekologicznym, z uwzględnieniem dotychczasowych badań i opracowań oraz dostępnej wiedzy, zgodnego z</w:t>
      </w:r>
      <w:r>
        <w:rPr>
          <w:rFonts w:ascii="Arial" w:hAnsi="Arial" w:cs="Arial"/>
        </w:rPr>
        <w:t> </w:t>
      </w:r>
      <w:r w:rsidRPr="00F61755">
        <w:rPr>
          <w:rFonts w:ascii="Arial" w:hAnsi="Arial" w:cs="Arial"/>
        </w:rPr>
        <w:t xml:space="preserve">przepisami dotyczącymi środków ochrony roślin, zadanie 1. Aktualizacja bazy danych dla </w:t>
      </w:r>
      <w:r w:rsidRPr="00F61755">
        <w:rPr>
          <w:rFonts w:ascii="Arial" w:hAnsi="Arial" w:cs="Arial"/>
        </w:rPr>
        <w:lastRenderedPageBreak/>
        <w:t>wyszukiwarki substancji podstawowych, przeznaczonych dla ochrony upraw ekologicznych, zadanie 2. Strategia wykorzystania substancji podstawowych w celu opóźnienia wystąpienia alternariozy i zarazy ziemniaka oraz ich ograniczenia w trakcie wegetacji na plantacji</w:t>
      </w:r>
      <w:r>
        <w:rPr>
          <w:rFonts w:ascii="Arial" w:hAnsi="Arial" w:cs="Arial"/>
        </w:rPr>
        <w:t xml:space="preserve"> - </w:t>
      </w:r>
      <w:bookmarkStart w:id="153" w:name="_Hlk151464575"/>
      <w:r w:rsidRPr="00F61755">
        <w:rPr>
          <w:rFonts w:ascii="Arial" w:hAnsi="Arial" w:cs="Arial"/>
        </w:rPr>
        <w:t>Instytut Ochrony Roślin – PIB</w:t>
      </w:r>
      <w:r>
        <w:rPr>
          <w:rFonts w:ascii="Arial" w:hAnsi="Arial" w:cs="Arial"/>
        </w:rPr>
        <w:t>;</w:t>
      </w:r>
      <w:bookmarkEnd w:id="153"/>
    </w:p>
    <w:p w14:paraId="0AB88EF9" w14:textId="413F7F8D"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CE72B9">
        <w:rPr>
          <w:rFonts w:ascii="Arial" w:hAnsi="Arial" w:cs="Arial"/>
        </w:rPr>
        <w:t xml:space="preserve">prawy polowe metodami ekologicznymi. Badania i ocena substancji podstawowych stosowanych w ochronie roślin rolniczych w uprawie ekologicznej. Opracowanie przewodnika w zakresie rodzaju i sposobu stosowania  substancji podstawowych w rolnictwie ekologicznym, z uwzględnieniem dotychczasowych </w:t>
      </w:r>
      <w:r>
        <w:rPr>
          <w:rFonts w:ascii="Arial" w:hAnsi="Arial" w:cs="Arial"/>
        </w:rPr>
        <w:t>ba</w:t>
      </w:r>
      <w:r w:rsidRPr="00CE72B9">
        <w:rPr>
          <w:rFonts w:ascii="Arial" w:hAnsi="Arial" w:cs="Arial"/>
        </w:rPr>
        <w:t>dań i opracowań oraz dostępnej wiedzy, zgodnego z</w:t>
      </w:r>
      <w:r>
        <w:rPr>
          <w:rFonts w:ascii="Arial" w:hAnsi="Arial" w:cs="Arial"/>
        </w:rPr>
        <w:t> </w:t>
      </w:r>
      <w:r w:rsidRPr="00CE72B9">
        <w:rPr>
          <w:rFonts w:ascii="Arial" w:hAnsi="Arial" w:cs="Arial"/>
        </w:rPr>
        <w:t>przepisami dotyczącymi środków ochrony roślin</w:t>
      </w:r>
      <w:r>
        <w:rPr>
          <w:rFonts w:ascii="Arial" w:hAnsi="Arial" w:cs="Arial"/>
        </w:rPr>
        <w:t xml:space="preserve"> - </w:t>
      </w:r>
      <w:r w:rsidRPr="00CE72B9">
        <w:rPr>
          <w:rFonts w:ascii="Arial" w:hAnsi="Arial" w:cs="Arial"/>
        </w:rPr>
        <w:t>Instytut Hodowli i Aklimatyzacji Roślin Radzików – PIB</w:t>
      </w:r>
      <w:r>
        <w:rPr>
          <w:rFonts w:ascii="Arial" w:hAnsi="Arial" w:cs="Arial"/>
        </w:rPr>
        <w:t>;</w:t>
      </w:r>
    </w:p>
    <w:p w14:paraId="65519CB4" w14:textId="36C78066"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s</w:t>
      </w:r>
      <w:r w:rsidRPr="000720DF">
        <w:rPr>
          <w:rFonts w:ascii="Arial" w:hAnsi="Arial" w:cs="Arial"/>
        </w:rPr>
        <w:t>adownictwo metodami ekologicznymi: badania i ocena substancji podstawowych stosowanych w ochronie roślin sadowniczych w  uprawie ekologicznej. Opracowanie przewodnika w zakresie rodzaju i sposobu stosowania  substancji podstawowych w rolnictwie ekologicznym, z</w:t>
      </w:r>
      <w:r>
        <w:rPr>
          <w:rFonts w:ascii="Arial" w:hAnsi="Arial" w:cs="Arial"/>
        </w:rPr>
        <w:t> </w:t>
      </w:r>
      <w:r w:rsidRPr="000720DF">
        <w:rPr>
          <w:rFonts w:ascii="Arial" w:hAnsi="Arial" w:cs="Arial"/>
        </w:rPr>
        <w:t>uwzględnieniem dotychczasowych  badań i opracowań oraz dostępnej wiedzy, zgodnego z</w:t>
      </w:r>
      <w:r>
        <w:rPr>
          <w:rFonts w:ascii="Arial" w:hAnsi="Arial" w:cs="Arial"/>
        </w:rPr>
        <w:t> </w:t>
      </w:r>
      <w:r w:rsidRPr="000720DF">
        <w:rPr>
          <w:rFonts w:ascii="Arial" w:hAnsi="Arial" w:cs="Arial"/>
        </w:rPr>
        <w:t>przepisami dotyczącymi środków  ochrony roślin; Zastosowanie substancji podstawowych jako element zwiększający skuteczność metod ograniczających populację nasionnic oraz chrabąszcza majowego</w:t>
      </w:r>
      <w:r>
        <w:rPr>
          <w:rFonts w:ascii="Arial" w:hAnsi="Arial" w:cs="Arial"/>
        </w:rPr>
        <w:t xml:space="preserve"> - </w:t>
      </w:r>
      <w:r w:rsidRPr="000720DF">
        <w:rPr>
          <w:rFonts w:ascii="Arial" w:hAnsi="Arial" w:cs="Arial"/>
        </w:rPr>
        <w:t>Instytut Ogrodnictwa – PIB</w:t>
      </w:r>
      <w:r>
        <w:rPr>
          <w:rFonts w:ascii="Arial" w:hAnsi="Arial" w:cs="Arial"/>
        </w:rPr>
        <w:t>;</w:t>
      </w:r>
    </w:p>
    <w:p w14:paraId="06F592B7" w14:textId="05E8FEFE"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w</w:t>
      </w:r>
      <w:r w:rsidRPr="00BD6A53">
        <w:rPr>
          <w:rFonts w:ascii="Arial" w:hAnsi="Arial" w:cs="Arial"/>
        </w:rPr>
        <w:t>arzywnictwo ekologiczne, w tym uprawa ziół: podnoszenie efektywności i wydajności w</w:t>
      </w:r>
      <w:r>
        <w:rPr>
          <w:rFonts w:ascii="Arial" w:hAnsi="Arial" w:cs="Arial"/>
        </w:rPr>
        <w:t> </w:t>
      </w:r>
      <w:r w:rsidRPr="00BD6A53">
        <w:rPr>
          <w:rFonts w:ascii="Arial" w:hAnsi="Arial" w:cs="Arial"/>
        </w:rPr>
        <w:t>ekologicznej uprawie roślin warzywniczych, ze  szczególnym uwzględnieniem innowacyjnych rozwiązań zastępujących praktyki i środki produkcji niedozwolone w produkcji ekologicznej; Wpływ różnych ściółek organicznych na wzrost i plonowanie cukinii, ogórka i dyni o</w:t>
      </w:r>
      <w:r>
        <w:rPr>
          <w:rFonts w:ascii="Arial" w:hAnsi="Arial" w:cs="Arial"/>
        </w:rPr>
        <w:t>l</w:t>
      </w:r>
      <w:r w:rsidRPr="00BD6A53">
        <w:rPr>
          <w:rFonts w:ascii="Arial" w:hAnsi="Arial" w:cs="Arial"/>
        </w:rPr>
        <w:t>brzymiej oraz na poprawę żyzności i właściwości fizycznych gleby w uprawie ekologicznej</w:t>
      </w:r>
      <w:r>
        <w:rPr>
          <w:rFonts w:ascii="Arial" w:hAnsi="Arial" w:cs="Arial"/>
        </w:rPr>
        <w:t xml:space="preserve"> - </w:t>
      </w:r>
      <w:r w:rsidRPr="00BD6A53">
        <w:rPr>
          <w:rFonts w:ascii="Arial" w:hAnsi="Arial" w:cs="Arial"/>
        </w:rPr>
        <w:t>Instytut Ogrodnictwa – PIB</w:t>
      </w:r>
    </w:p>
    <w:p w14:paraId="160A2A7C" w14:textId="78D99F47"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294EA8">
        <w:rPr>
          <w:rFonts w:ascii="Arial" w:hAnsi="Arial" w:cs="Arial"/>
        </w:rPr>
        <w:t>prawy polowe metodami ekologicznymi: badania w zakresie możliwości zastosowania dopuszczonych w rolnictwie ekologicznym środków do celów zaprawiania nasion roślin rolniczych oraz jako nawozów o działaniu dolistnym</w:t>
      </w:r>
      <w:r>
        <w:rPr>
          <w:rFonts w:ascii="Arial" w:hAnsi="Arial" w:cs="Arial"/>
        </w:rPr>
        <w:t xml:space="preserve"> - </w:t>
      </w:r>
      <w:r w:rsidRPr="008024D4">
        <w:rPr>
          <w:rFonts w:ascii="Arial" w:hAnsi="Arial" w:cs="Arial"/>
        </w:rPr>
        <w:t>Instytut Ochrony Roślin – PIB;</w:t>
      </w:r>
    </w:p>
    <w:p w14:paraId="1F0C8CC6" w14:textId="3293FC92"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w</w:t>
      </w:r>
      <w:r w:rsidRPr="00BE1000">
        <w:rPr>
          <w:rFonts w:ascii="Arial" w:hAnsi="Arial" w:cs="Arial"/>
        </w:rPr>
        <w:t>arzywnictwo ekologiczne, w tym uprawa ziół: badania w zakresie określenia źródeł oraz przyczyn występowania w surowcach ekologicznych środków niedopuszczonych do stosowania w rolnictwie ekologicznym. Określenie dobrych</w:t>
      </w:r>
      <w:r>
        <w:rPr>
          <w:rFonts w:ascii="Arial" w:hAnsi="Arial" w:cs="Arial"/>
        </w:rPr>
        <w:t xml:space="preserve"> </w:t>
      </w:r>
      <w:r w:rsidRPr="00BE1000">
        <w:rPr>
          <w:rFonts w:ascii="Arial" w:hAnsi="Arial" w:cs="Arial"/>
        </w:rPr>
        <w:t>praktyk, standardów postępowania, opracowanie przewodnika wraz z wytycznymi w zakresie przeciwdziałania takim przypadkom</w:t>
      </w:r>
      <w:r>
        <w:rPr>
          <w:rFonts w:ascii="Arial" w:hAnsi="Arial" w:cs="Arial"/>
        </w:rPr>
        <w:t xml:space="preserve"> - </w:t>
      </w:r>
      <w:r w:rsidRPr="00BE1000">
        <w:rPr>
          <w:rFonts w:ascii="Arial" w:hAnsi="Arial" w:cs="Arial"/>
        </w:rPr>
        <w:t>Szkoła główna Gospodarstwa Wiejskiego</w:t>
      </w:r>
      <w:r>
        <w:rPr>
          <w:rFonts w:ascii="Arial" w:hAnsi="Arial" w:cs="Arial"/>
        </w:rPr>
        <w:t>;</w:t>
      </w:r>
    </w:p>
    <w:p w14:paraId="3F814479" w14:textId="05E45A93"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AF6D4A">
        <w:rPr>
          <w:rFonts w:ascii="Arial" w:hAnsi="Arial" w:cs="Arial"/>
        </w:rPr>
        <w:t>prawy polowe metodami ekologicznymi: badania w zakresie możliwości zastosowania dopuszczonych w rolnictwie ekologicznym środków do celów zaprawiania nasion roślin rolniczych oraz jako nawozów o działaniu dolistnym</w:t>
      </w:r>
      <w:r>
        <w:rPr>
          <w:rFonts w:ascii="Arial" w:hAnsi="Arial" w:cs="Arial"/>
        </w:rPr>
        <w:t xml:space="preserve"> </w:t>
      </w:r>
      <w:r w:rsidRPr="00AF6D4A">
        <w:rPr>
          <w:rFonts w:ascii="Arial" w:hAnsi="Arial" w:cs="Arial"/>
        </w:rPr>
        <w:t>(Wpływ preparatów dopuszczonych do stosowania w rolnictwie ekologicznym jako zapraw  nasiennych i nawozów dolistnych na zdrowotność i plon pszenicy oraz opłacalność ekonomiczną  produkcji)</w:t>
      </w:r>
      <w:r>
        <w:rPr>
          <w:rFonts w:ascii="Arial" w:hAnsi="Arial" w:cs="Arial"/>
        </w:rPr>
        <w:t xml:space="preserve"> - </w:t>
      </w:r>
      <w:r w:rsidRPr="00AF6D4A">
        <w:rPr>
          <w:rFonts w:ascii="Arial" w:hAnsi="Arial" w:cs="Arial"/>
        </w:rPr>
        <w:t>Instytut Uprawy Nawożenia i Gleboznawstwa w Puławach – PIB</w:t>
      </w:r>
      <w:r>
        <w:rPr>
          <w:rFonts w:ascii="Arial" w:hAnsi="Arial" w:cs="Arial"/>
        </w:rPr>
        <w:t>;</w:t>
      </w:r>
    </w:p>
    <w:p w14:paraId="5D2CA6CE" w14:textId="72038A8A"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9B4114">
        <w:rPr>
          <w:rFonts w:ascii="Arial" w:hAnsi="Arial" w:cs="Arial"/>
        </w:rPr>
        <w:t xml:space="preserve">prawy polowe metodami ekologicznymi: produkcja ekologicznego materiału siewnego roślin rolniczych. Określenie dobrych praktyk  produkcyjnych, z uwzględnieniem warunków glebowych i klimatycznych oraz odporności i  tolerancji na choroby ‒ wytyczne dla prowadzenia </w:t>
      </w:r>
      <w:r w:rsidRPr="009B4114">
        <w:rPr>
          <w:rFonts w:ascii="Arial" w:hAnsi="Arial" w:cs="Arial"/>
        </w:rPr>
        <w:lastRenderedPageBreak/>
        <w:t xml:space="preserve">ekologicznych plantacji nasiennych roślin  rolniczych. Doskonalenie produkcji nasiennej pszenżyta ozimego i pszenicy ozimej orkisz dla gospodarstw ekologicznych </w:t>
      </w:r>
      <w:r>
        <w:rPr>
          <w:rFonts w:ascii="Arial" w:hAnsi="Arial" w:cs="Arial"/>
        </w:rPr>
        <w:t>–</w:t>
      </w:r>
      <w:r w:rsidRPr="009B4114">
        <w:rPr>
          <w:rFonts w:ascii="Arial" w:hAnsi="Arial" w:cs="Arial"/>
        </w:rPr>
        <w:t xml:space="preserve"> upowszechnianie wyników badań w formie zaleceń dla producentów ekologicznych</w:t>
      </w:r>
      <w:r>
        <w:rPr>
          <w:rFonts w:ascii="Arial" w:hAnsi="Arial" w:cs="Arial"/>
        </w:rPr>
        <w:t xml:space="preserve"> - </w:t>
      </w:r>
      <w:r w:rsidRPr="009B4114">
        <w:rPr>
          <w:rFonts w:ascii="Arial" w:hAnsi="Arial" w:cs="Arial"/>
        </w:rPr>
        <w:t>Instytut Hodowli i</w:t>
      </w:r>
      <w:r>
        <w:rPr>
          <w:rFonts w:ascii="Arial" w:hAnsi="Arial" w:cs="Arial"/>
        </w:rPr>
        <w:t> </w:t>
      </w:r>
      <w:r w:rsidRPr="009B4114">
        <w:rPr>
          <w:rFonts w:ascii="Arial" w:hAnsi="Arial" w:cs="Arial"/>
        </w:rPr>
        <w:t>Aklimatyzacji Roślin Radzików – PIB</w:t>
      </w:r>
      <w:r>
        <w:rPr>
          <w:rFonts w:ascii="Arial" w:hAnsi="Arial" w:cs="Arial"/>
        </w:rPr>
        <w:t>;</w:t>
      </w:r>
    </w:p>
    <w:p w14:paraId="1508064E" w14:textId="6F0C3B43" w:rsidR="00E74097" w:rsidRDefault="00E74097" w:rsidP="00E74097">
      <w:pPr>
        <w:pStyle w:val="NormalnyWeb"/>
        <w:numPr>
          <w:ilvl w:val="0"/>
          <w:numId w:val="40"/>
        </w:numPr>
        <w:tabs>
          <w:tab w:val="left" w:pos="284"/>
        </w:tabs>
        <w:spacing w:after="120" w:line="360" w:lineRule="auto"/>
        <w:jc w:val="both"/>
        <w:rPr>
          <w:rFonts w:ascii="Arial" w:hAnsi="Arial" w:cs="Arial"/>
        </w:rPr>
      </w:pPr>
      <w:r>
        <w:rPr>
          <w:rFonts w:ascii="Arial" w:hAnsi="Arial" w:cs="Arial"/>
        </w:rPr>
        <w:t>u</w:t>
      </w:r>
      <w:r w:rsidRPr="004D172A">
        <w:rPr>
          <w:rFonts w:ascii="Arial" w:hAnsi="Arial" w:cs="Arial"/>
        </w:rPr>
        <w:t>prawy polowe metodami ekologicznymi: badania w zakresie skutecznej ochrony nasion i</w:t>
      </w:r>
      <w:r w:rsidR="00D94AC9">
        <w:rPr>
          <w:rFonts w:ascii="Arial" w:hAnsi="Arial" w:cs="Arial"/>
        </w:rPr>
        <w:t> </w:t>
      </w:r>
      <w:r w:rsidRPr="004D172A">
        <w:rPr>
          <w:rFonts w:ascii="Arial" w:hAnsi="Arial" w:cs="Arial"/>
        </w:rPr>
        <w:t>młodych roślin buraka cukrowego w uprawie ekologicznej</w:t>
      </w:r>
      <w:r>
        <w:rPr>
          <w:rFonts w:ascii="Arial" w:hAnsi="Arial" w:cs="Arial"/>
        </w:rPr>
        <w:t xml:space="preserve"> - </w:t>
      </w:r>
      <w:r w:rsidRPr="004D172A">
        <w:rPr>
          <w:rFonts w:ascii="Arial" w:hAnsi="Arial" w:cs="Arial"/>
        </w:rPr>
        <w:t>Instytut Ochrony Roślin – PIB</w:t>
      </w:r>
      <w:r>
        <w:rPr>
          <w:rFonts w:ascii="Arial" w:hAnsi="Arial" w:cs="Arial"/>
        </w:rPr>
        <w:t>;</w:t>
      </w:r>
    </w:p>
    <w:p w14:paraId="7D051AFC" w14:textId="77777777" w:rsidR="004179BE" w:rsidRDefault="004179BE" w:rsidP="004179BE">
      <w:pPr>
        <w:pStyle w:val="NormalnyWeb"/>
        <w:tabs>
          <w:tab w:val="left" w:pos="284"/>
        </w:tabs>
        <w:spacing w:beforeAutospacing="0" w:after="120" w:afterAutospacing="0" w:line="360" w:lineRule="auto"/>
        <w:ind w:firstLine="284"/>
        <w:jc w:val="both"/>
        <w:rPr>
          <w:rFonts w:ascii="Arial" w:hAnsi="Arial" w:cs="Arial"/>
        </w:rPr>
      </w:pPr>
      <w:r w:rsidRPr="0096537E">
        <w:rPr>
          <w:rFonts w:ascii="Arial" w:hAnsi="Arial" w:cs="Arial"/>
        </w:rPr>
        <w:t>Rolnictwo ekologiczne, podobnie jak pozostałe systemy produkcji rolniczej wymaga prowadzenia wieloletnich badań naukowych, które będą wspierały jego rozwój. Ukształtowana w Polsce grupa instytutów naukowych i ośrodków akademickich, prowadząca badania dotyczące rolnictwa ekologicznego, sprzyja wypracowaniu innowacyjnych rozwiązań pojawiających się lub istniejących problemów, zarówno w ekologicznej produkcji rolniczej, jak i też w przetwórstwie ekologicznym.</w:t>
      </w:r>
    </w:p>
    <w:p w14:paraId="5A860410" w14:textId="77777777" w:rsidR="004179BE" w:rsidRPr="00925BCD" w:rsidRDefault="004179BE" w:rsidP="004179BE">
      <w:pPr>
        <w:pStyle w:val="NormalnyWeb"/>
        <w:tabs>
          <w:tab w:val="left" w:pos="284"/>
        </w:tabs>
        <w:spacing w:beforeAutospacing="0" w:after="120" w:afterAutospacing="0" w:line="360" w:lineRule="auto"/>
        <w:ind w:firstLine="284"/>
        <w:jc w:val="both"/>
        <w:rPr>
          <w:rFonts w:ascii="Arial" w:hAnsi="Arial" w:cs="Arial"/>
        </w:rPr>
      </w:pPr>
      <w:r w:rsidRPr="0096537E">
        <w:rPr>
          <w:rFonts w:ascii="Arial" w:hAnsi="Arial" w:cs="Arial"/>
        </w:rPr>
        <w:t xml:space="preserve">Tradycyjna wiedza przekazywana przez doradców, jak również w ramach stowarzyszeń rolników ekologicznych, na obecnym etapie rozwoju rolnictwa ekologicznego już nie wystarcza. Większa czasochłonność i mniejsza wydajność produkcji w gospodarstwie ekologicznym nie zachęca do przechodzenia na ten sposób produkcji, mimo wzrastającego popytu na rynku żywności ekologicznej. Producent ekologiczny mając do dyspozycji dużo mniejszą gamę środków produkcji narażony jest na większe ryzyko przy wytwarzaniu żywności ekologicznej, które może być zminimalizowane poprzez wprowadzanie nowych, popartych badaniami ekologicznych technologii. </w:t>
      </w:r>
      <w:r>
        <w:rPr>
          <w:rFonts w:ascii="Arial" w:hAnsi="Arial" w:cs="Arial"/>
        </w:rPr>
        <w:t>Dlatego r</w:t>
      </w:r>
      <w:r w:rsidRPr="009834DD">
        <w:rPr>
          <w:rFonts w:ascii="Arial" w:hAnsi="Arial" w:cs="Arial"/>
        </w:rPr>
        <w:t>ola naukowców</w:t>
      </w:r>
      <w:r>
        <w:rPr>
          <w:rFonts w:ascii="Arial" w:hAnsi="Arial" w:cs="Arial"/>
        </w:rPr>
        <w:t xml:space="preserve"> </w:t>
      </w:r>
      <w:r w:rsidRPr="009834DD">
        <w:rPr>
          <w:rFonts w:ascii="Arial" w:hAnsi="Arial" w:cs="Arial"/>
        </w:rPr>
        <w:t>ciągle wzrasta</w:t>
      </w:r>
      <w:r>
        <w:rPr>
          <w:rFonts w:ascii="Arial" w:hAnsi="Arial" w:cs="Arial"/>
        </w:rPr>
        <w:t xml:space="preserve">, a prowadzone przez nich badania naukowe </w:t>
      </w:r>
      <w:r w:rsidRPr="00925BCD">
        <w:rPr>
          <w:rFonts w:ascii="Arial" w:hAnsi="Arial" w:cs="Arial"/>
        </w:rPr>
        <w:t xml:space="preserve">realizowane na rzecz rolnictwa ekologicznego stanowią istotne wsparcie dla tego sektora produkcji. Pozwalają bowiem na opracowywanie nowych technologii produkcji ekologicznej, przez co staje się ona prostsza i obarczona mniejszym ryzykiem. </w:t>
      </w:r>
    </w:p>
    <w:p w14:paraId="6256BB38" w14:textId="1199613F" w:rsidR="004179BE" w:rsidRPr="00925BCD" w:rsidRDefault="004179BE" w:rsidP="004179B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działania, priorytetowo są realizowane prace na rzecz zapewnienia odpowiedniego asortymentu i wyboru środków ochrony roślin dopuszczonych do stosowania w rolnictwie ekologicznym oraz substancji podstawowych</w:t>
      </w:r>
      <w:r>
        <w:rPr>
          <w:rFonts w:ascii="Arial" w:hAnsi="Arial" w:cs="Arial"/>
        </w:rPr>
        <w:t xml:space="preserve">, co w ogromnej mierze przyczynia się do ułatwienia gospodarowania metodami ekologicznymi. </w:t>
      </w:r>
    </w:p>
    <w:p w14:paraId="29A8AF4A" w14:textId="1FFADA37" w:rsidR="0099131F" w:rsidRDefault="00E54725" w:rsidP="0099131F">
      <w:pPr>
        <w:pStyle w:val="NormalnyWeb"/>
        <w:tabs>
          <w:tab w:val="left" w:pos="284"/>
        </w:tabs>
        <w:spacing w:beforeAutospacing="0" w:after="120" w:afterAutospacing="0" w:line="360" w:lineRule="auto"/>
        <w:ind w:firstLine="284"/>
        <w:jc w:val="both"/>
        <w:rPr>
          <w:rFonts w:ascii="Arial" w:hAnsi="Arial" w:cs="Arial"/>
          <w:color w:val="000000"/>
        </w:rPr>
      </w:pPr>
      <w:r w:rsidRPr="00925BCD">
        <w:rPr>
          <w:rFonts w:ascii="Arial" w:hAnsi="Arial" w:cs="Arial"/>
          <w:b/>
        </w:rPr>
        <w:t>W 2018 r.</w:t>
      </w:r>
      <w:r w:rsidRPr="00925BCD">
        <w:rPr>
          <w:rFonts w:ascii="Arial" w:hAnsi="Arial" w:cs="Arial"/>
        </w:rPr>
        <w:t xml:space="preserve"> 96 środków ochrony roślin, zawierających substancje czynne zakwalifikowane do stosowania w rolnictwie ekologicznym było dopuszczonych do obrotu. </w:t>
      </w:r>
      <w:r w:rsidR="0099131F" w:rsidRPr="00925BCD">
        <w:rPr>
          <w:rFonts w:ascii="Arial" w:hAnsi="Arial" w:cs="Arial"/>
        </w:rPr>
        <w:t>Z</w:t>
      </w:r>
      <w:r w:rsidRPr="00925BCD">
        <w:rPr>
          <w:rFonts w:ascii="Arial" w:hAnsi="Arial" w:cs="Arial"/>
        </w:rPr>
        <w:t>arejestrowanych zostało 22</w:t>
      </w:r>
      <w:r w:rsidR="00E13D1F">
        <w:rPr>
          <w:rFonts w:ascii="Arial" w:hAnsi="Arial" w:cs="Arial"/>
        </w:rPr>
        <w:t> </w:t>
      </w:r>
      <w:r w:rsidR="006D456B">
        <w:rPr>
          <w:rFonts w:ascii="Arial" w:hAnsi="Arial" w:cs="Arial"/>
        </w:rPr>
        <w:t xml:space="preserve">nowych </w:t>
      </w:r>
      <w:r w:rsidRPr="00925BCD">
        <w:rPr>
          <w:rFonts w:ascii="Arial" w:hAnsi="Arial" w:cs="Arial"/>
        </w:rPr>
        <w:t>takich preparatów (12 fungicydów, 4 insektycydy, 1 środek wykazujący zarówno właściwości fungicydu, jak i insektycydu, 2 moluskocydy oraz 1 regulator wzrostu oraz 2 atraktanty).</w:t>
      </w:r>
      <w:r w:rsidR="0099131F" w:rsidRPr="00925BCD">
        <w:rPr>
          <w:rFonts w:ascii="Arial" w:hAnsi="Arial" w:cs="Arial"/>
        </w:rPr>
        <w:t xml:space="preserve"> </w:t>
      </w:r>
      <w:r w:rsidR="0099131F" w:rsidRPr="00925BCD">
        <w:rPr>
          <w:rFonts w:ascii="Arial" w:hAnsi="Arial" w:cs="Arial"/>
          <w:b/>
        </w:rPr>
        <w:t xml:space="preserve">W 2019 r. </w:t>
      </w:r>
      <w:r w:rsidR="0099131F" w:rsidRPr="00925BCD">
        <w:rPr>
          <w:rFonts w:ascii="Arial" w:hAnsi="Arial" w:cs="Arial"/>
        </w:rPr>
        <w:t>110 środków ochrony roślin, zawierających substancje czynne zakwalifikowane do stosowania w rolnictwie ekologicznym było dopuszczonych do obrotu. Zarejestrowanych zostało 21 takich preparatów (5 fungicydów, 1 środek wykazujący zarówno właściwości fungicydu, jak i bakteriocydu, 1 środek wykazujący zarówno właściwości fungicydu, jak i akarycydu, 8 insektycydów, 2 moluskocydy, 2 stymulatory odporności oraz 1 repelent oraz 1 atraktant</w:t>
      </w:r>
      <w:r w:rsidR="0099131F" w:rsidRPr="00812F0B">
        <w:rPr>
          <w:rFonts w:ascii="Arial" w:hAnsi="Arial" w:cs="Arial"/>
        </w:rPr>
        <w:t>).</w:t>
      </w:r>
      <w:r w:rsidR="00812F0B" w:rsidRPr="00812F0B">
        <w:rPr>
          <w:rFonts w:ascii="Arial" w:hAnsi="Arial" w:cs="Arial"/>
          <w:color w:val="000000"/>
        </w:rPr>
        <w:t xml:space="preserve"> W</w:t>
      </w:r>
      <w:r w:rsidR="00812F0B" w:rsidRPr="00812F0B">
        <w:rPr>
          <w:rFonts w:ascii="Arial" w:hAnsi="Arial" w:cs="Arial"/>
          <w:b/>
          <w:bCs/>
          <w:color w:val="000000"/>
        </w:rPr>
        <w:t xml:space="preserve"> 2020 r.</w:t>
      </w:r>
      <w:r w:rsidR="00812F0B" w:rsidRPr="00812F0B">
        <w:rPr>
          <w:rFonts w:ascii="Arial" w:hAnsi="Arial" w:cs="Arial"/>
          <w:color w:val="000000"/>
        </w:rPr>
        <w:t xml:space="preserve"> 123 środki ochrony roślin, zawierając</w:t>
      </w:r>
      <w:r w:rsidR="00593E71">
        <w:rPr>
          <w:rFonts w:ascii="Arial" w:hAnsi="Arial" w:cs="Arial"/>
          <w:color w:val="000000"/>
        </w:rPr>
        <w:t>e</w:t>
      </w:r>
      <w:r w:rsidR="00812F0B" w:rsidRPr="00812F0B">
        <w:rPr>
          <w:rFonts w:ascii="Arial" w:hAnsi="Arial" w:cs="Arial"/>
          <w:color w:val="000000"/>
        </w:rPr>
        <w:t xml:space="preserve"> substancje czynne zakwalifikowane do stosowania w rolnictwie ekologicznym był</w:t>
      </w:r>
      <w:r w:rsidR="00593E71">
        <w:rPr>
          <w:rFonts w:ascii="Arial" w:hAnsi="Arial" w:cs="Arial"/>
          <w:color w:val="000000"/>
        </w:rPr>
        <w:t>y</w:t>
      </w:r>
      <w:r w:rsidR="00812F0B" w:rsidRPr="00812F0B">
        <w:rPr>
          <w:rFonts w:ascii="Arial" w:hAnsi="Arial" w:cs="Arial"/>
          <w:color w:val="000000"/>
        </w:rPr>
        <w:t xml:space="preserve"> dopuszczon</w:t>
      </w:r>
      <w:r w:rsidR="00593E71">
        <w:rPr>
          <w:rFonts w:ascii="Arial" w:hAnsi="Arial" w:cs="Arial"/>
          <w:color w:val="000000"/>
        </w:rPr>
        <w:t>e</w:t>
      </w:r>
      <w:r w:rsidR="00812F0B" w:rsidRPr="00812F0B">
        <w:rPr>
          <w:rFonts w:ascii="Arial" w:hAnsi="Arial" w:cs="Arial"/>
          <w:color w:val="000000"/>
        </w:rPr>
        <w:t xml:space="preserve"> do obrotu. Zarejestrowanych zostało 11 takich preparatów (5 fungicydów, 2</w:t>
      </w:r>
      <w:r w:rsidR="00E13D1F">
        <w:rPr>
          <w:rFonts w:ascii="Arial" w:hAnsi="Arial" w:cs="Arial"/>
          <w:color w:val="000000"/>
        </w:rPr>
        <w:t> </w:t>
      </w:r>
      <w:r w:rsidR="00812F0B" w:rsidRPr="00812F0B">
        <w:rPr>
          <w:rFonts w:ascii="Arial" w:hAnsi="Arial" w:cs="Arial"/>
          <w:color w:val="000000"/>
        </w:rPr>
        <w:t>insektycydy, 1 nematocyd, 1 repelent, 1 środek wykazujący zarówno właściwości insektycydu, jak i</w:t>
      </w:r>
      <w:r w:rsidR="00E13D1F">
        <w:rPr>
          <w:rFonts w:ascii="Arial" w:hAnsi="Arial" w:cs="Arial"/>
          <w:color w:val="000000"/>
        </w:rPr>
        <w:t> </w:t>
      </w:r>
      <w:r w:rsidR="00812F0B" w:rsidRPr="00812F0B">
        <w:rPr>
          <w:rFonts w:ascii="Arial" w:hAnsi="Arial" w:cs="Arial"/>
          <w:color w:val="000000"/>
        </w:rPr>
        <w:t>akarycydu, 1</w:t>
      </w:r>
      <w:r w:rsidR="00BE7A13">
        <w:rPr>
          <w:rFonts w:ascii="Arial" w:hAnsi="Arial" w:cs="Arial"/>
          <w:color w:val="000000"/>
        </w:rPr>
        <w:t> </w:t>
      </w:r>
      <w:r w:rsidR="00812F0B" w:rsidRPr="00812F0B">
        <w:rPr>
          <w:rFonts w:ascii="Arial" w:hAnsi="Arial" w:cs="Arial"/>
          <w:color w:val="000000"/>
        </w:rPr>
        <w:t>środek wykazujący zarówno właściwości fungicydu, insektycydu i akarycydu).</w:t>
      </w:r>
    </w:p>
    <w:p w14:paraId="4F543EAB" w14:textId="3524DADA" w:rsidR="00593E71" w:rsidRDefault="00593E71" w:rsidP="0099131F">
      <w:pPr>
        <w:pStyle w:val="NormalnyWeb"/>
        <w:tabs>
          <w:tab w:val="left" w:pos="284"/>
        </w:tabs>
        <w:spacing w:beforeAutospacing="0" w:after="120" w:afterAutospacing="0" w:line="360" w:lineRule="auto"/>
        <w:ind w:firstLine="284"/>
        <w:jc w:val="both"/>
        <w:rPr>
          <w:rFonts w:ascii="Arial" w:hAnsi="Arial" w:cs="Arial"/>
          <w:color w:val="000000"/>
        </w:rPr>
      </w:pPr>
      <w:r w:rsidRPr="00593E71">
        <w:rPr>
          <w:rFonts w:ascii="Arial" w:hAnsi="Arial" w:cs="Arial"/>
          <w:b/>
          <w:color w:val="000000"/>
        </w:rPr>
        <w:lastRenderedPageBreak/>
        <w:t>W 2021</w:t>
      </w:r>
      <w:r w:rsidR="009E6B3B">
        <w:rPr>
          <w:rFonts w:ascii="Arial" w:hAnsi="Arial" w:cs="Arial"/>
          <w:b/>
          <w:color w:val="000000"/>
        </w:rPr>
        <w:t> </w:t>
      </w:r>
      <w:r w:rsidRPr="00593E71">
        <w:rPr>
          <w:rFonts w:ascii="Arial" w:hAnsi="Arial" w:cs="Arial"/>
          <w:b/>
          <w:color w:val="000000"/>
        </w:rPr>
        <w:t>r</w:t>
      </w:r>
      <w:r w:rsidRPr="00593E71">
        <w:rPr>
          <w:rFonts w:ascii="Arial" w:hAnsi="Arial" w:cs="Arial"/>
          <w:color w:val="000000"/>
        </w:rPr>
        <w:t xml:space="preserve">. </w:t>
      </w:r>
      <w:r>
        <w:rPr>
          <w:rFonts w:ascii="Arial" w:hAnsi="Arial" w:cs="Arial"/>
          <w:color w:val="000000"/>
        </w:rPr>
        <w:t>podobnie jak w 2020</w:t>
      </w:r>
      <w:r w:rsidR="007E74D0">
        <w:rPr>
          <w:rFonts w:ascii="Arial" w:hAnsi="Arial" w:cs="Arial"/>
          <w:color w:val="000000"/>
        </w:rPr>
        <w:t> </w:t>
      </w:r>
      <w:r>
        <w:rPr>
          <w:rFonts w:ascii="Arial" w:hAnsi="Arial" w:cs="Arial"/>
          <w:color w:val="000000"/>
        </w:rPr>
        <w:t xml:space="preserve">r. </w:t>
      </w:r>
      <w:r w:rsidRPr="00593E71">
        <w:rPr>
          <w:rFonts w:ascii="Arial" w:hAnsi="Arial" w:cs="Arial"/>
          <w:color w:val="000000"/>
        </w:rPr>
        <w:t>123 środk</w:t>
      </w:r>
      <w:r>
        <w:rPr>
          <w:rFonts w:ascii="Arial" w:hAnsi="Arial" w:cs="Arial"/>
          <w:color w:val="000000"/>
        </w:rPr>
        <w:t>i</w:t>
      </w:r>
      <w:r w:rsidRPr="00593E71">
        <w:rPr>
          <w:rFonts w:ascii="Arial" w:hAnsi="Arial" w:cs="Arial"/>
          <w:color w:val="000000"/>
        </w:rPr>
        <w:t xml:space="preserve"> ochrony roślin, zawierając</w:t>
      </w:r>
      <w:r>
        <w:rPr>
          <w:rFonts w:ascii="Arial" w:hAnsi="Arial" w:cs="Arial"/>
          <w:color w:val="000000"/>
        </w:rPr>
        <w:t>e</w:t>
      </w:r>
      <w:r w:rsidRPr="00593E71">
        <w:rPr>
          <w:rFonts w:ascii="Arial" w:hAnsi="Arial" w:cs="Arial"/>
          <w:color w:val="000000"/>
        </w:rPr>
        <w:t xml:space="preserve"> substancje czynne zakwalifikowane do stosowania w rolnictwie ekologicznym był</w:t>
      </w:r>
      <w:r>
        <w:rPr>
          <w:rFonts w:ascii="Arial" w:hAnsi="Arial" w:cs="Arial"/>
          <w:color w:val="000000"/>
        </w:rPr>
        <w:t>y</w:t>
      </w:r>
      <w:r w:rsidRPr="00593E71">
        <w:rPr>
          <w:rFonts w:ascii="Arial" w:hAnsi="Arial" w:cs="Arial"/>
          <w:color w:val="000000"/>
        </w:rPr>
        <w:t xml:space="preserve"> dopuszczon</w:t>
      </w:r>
      <w:r>
        <w:rPr>
          <w:rFonts w:ascii="Arial" w:hAnsi="Arial" w:cs="Arial"/>
          <w:color w:val="000000"/>
        </w:rPr>
        <w:t>e</w:t>
      </w:r>
      <w:r w:rsidRPr="00593E71">
        <w:rPr>
          <w:rFonts w:ascii="Arial" w:hAnsi="Arial" w:cs="Arial"/>
          <w:color w:val="000000"/>
        </w:rPr>
        <w:t xml:space="preserve"> do obrotu. Zarejestrowanych zostało 12 takich preparatów (2 fungicydy, 4 insektycydy, 2 regulatory wzrostu, 1</w:t>
      </w:r>
      <w:r w:rsidR="00851ECA">
        <w:rPr>
          <w:rFonts w:ascii="Arial" w:hAnsi="Arial" w:cs="Arial"/>
          <w:color w:val="000000"/>
        </w:rPr>
        <w:t> </w:t>
      </w:r>
      <w:r w:rsidRPr="00593E71">
        <w:rPr>
          <w:rFonts w:ascii="Arial" w:hAnsi="Arial" w:cs="Arial"/>
          <w:color w:val="000000"/>
        </w:rPr>
        <w:t>stymulator odporności, 1 środek wykazujący zarówno właściwości insektycydu, jak i akarycyd).</w:t>
      </w:r>
    </w:p>
    <w:p w14:paraId="65801C01" w14:textId="599F7FD6" w:rsidR="00286EF5" w:rsidRDefault="00286EF5" w:rsidP="0099131F">
      <w:pPr>
        <w:pStyle w:val="NormalnyWeb"/>
        <w:tabs>
          <w:tab w:val="left" w:pos="284"/>
        </w:tabs>
        <w:spacing w:beforeAutospacing="0" w:after="120" w:afterAutospacing="0" w:line="360" w:lineRule="auto"/>
        <w:ind w:firstLine="284"/>
        <w:jc w:val="both"/>
        <w:rPr>
          <w:rFonts w:ascii="Arial" w:hAnsi="Arial" w:cs="Arial"/>
          <w:color w:val="000000"/>
        </w:rPr>
      </w:pPr>
      <w:r w:rsidRPr="00170090">
        <w:rPr>
          <w:rFonts w:ascii="Arial" w:hAnsi="Arial" w:cs="Arial"/>
          <w:b/>
          <w:bCs/>
          <w:color w:val="000000"/>
        </w:rPr>
        <w:t>W 2022</w:t>
      </w:r>
      <w:r w:rsidR="009E6B3B">
        <w:rPr>
          <w:rFonts w:ascii="Arial" w:hAnsi="Arial" w:cs="Arial"/>
          <w:b/>
          <w:bCs/>
          <w:color w:val="000000"/>
        </w:rPr>
        <w:t> </w:t>
      </w:r>
      <w:r w:rsidRPr="00170090">
        <w:rPr>
          <w:rFonts w:ascii="Arial" w:hAnsi="Arial" w:cs="Arial"/>
          <w:b/>
          <w:bCs/>
          <w:color w:val="000000"/>
        </w:rPr>
        <w:t>r.</w:t>
      </w:r>
      <w:r w:rsidRPr="00286EF5">
        <w:rPr>
          <w:rFonts w:ascii="Arial" w:hAnsi="Arial" w:cs="Arial"/>
          <w:color w:val="000000"/>
        </w:rPr>
        <w:t xml:space="preserve"> więcej </w:t>
      </w:r>
      <w:r w:rsidR="00CA025B">
        <w:rPr>
          <w:rFonts w:ascii="Arial" w:hAnsi="Arial" w:cs="Arial"/>
          <w:color w:val="000000"/>
        </w:rPr>
        <w:t>niż</w:t>
      </w:r>
      <w:r w:rsidRPr="00286EF5">
        <w:rPr>
          <w:rFonts w:ascii="Arial" w:hAnsi="Arial" w:cs="Arial"/>
          <w:color w:val="000000"/>
        </w:rPr>
        <w:t xml:space="preserve"> w 2021</w:t>
      </w:r>
      <w:r w:rsidR="007E74D0">
        <w:rPr>
          <w:rFonts w:ascii="Arial" w:hAnsi="Arial" w:cs="Arial"/>
          <w:color w:val="000000"/>
        </w:rPr>
        <w:t> </w:t>
      </w:r>
      <w:r w:rsidRPr="00286EF5">
        <w:rPr>
          <w:rFonts w:ascii="Arial" w:hAnsi="Arial" w:cs="Arial"/>
          <w:color w:val="000000"/>
        </w:rPr>
        <w:t xml:space="preserve">r. </w:t>
      </w:r>
      <w:r w:rsidR="000E4710">
        <w:rPr>
          <w:rFonts w:ascii="Arial" w:hAnsi="Arial" w:cs="Arial"/>
          <w:color w:val="000000"/>
        </w:rPr>
        <w:t xml:space="preserve">– </w:t>
      </w:r>
      <w:r w:rsidRPr="00286EF5">
        <w:rPr>
          <w:rFonts w:ascii="Arial" w:hAnsi="Arial" w:cs="Arial"/>
          <w:color w:val="000000"/>
        </w:rPr>
        <w:t>bo 146 środków ochrony roślin zawierając</w:t>
      </w:r>
      <w:r w:rsidR="007E74D0">
        <w:rPr>
          <w:rFonts w:ascii="Arial" w:hAnsi="Arial" w:cs="Arial"/>
          <w:color w:val="000000"/>
        </w:rPr>
        <w:t>ych</w:t>
      </w:r>
      <w:r w:rsidRPr="00286EF5">
        <w:rPr>
          <w:rFonts w:ascii="Arial" w:hAnsi="Arial" w:cs="Arial"/>
          <w:color w:val="000000"/>
        </w:rPr>
        <w:t xml:space="preserve"> substancje czynne zakwalifikowan</w:t>
      </w:r>
      <w:r w:rsidR="00CA025B">
        <w:rPr>
          <w:rFonts w:ascii="Arial" w:hAnsi="Arial" w:cs="Arial"/>
          <w:color w:val="000000"/>
        </w:rPr>
        <w:t>ych</w:t>
      </w:r>
      <w:r w:rsidRPr="00286EF5">
        <w:rPr>
          <w:rFonts w:ascii="Arial" w:hAnsi="Arial" w:cs="Arial"/>
          <w:color w:val="000000"/>
        </w:rPr>
        <w:t xml:space="preserve"> do stosowania w rolnictwie ekologicznym był</w:t>
      </w:r>
      <w:r w:rsidR="00CA025B">
        <w:rPr>
          <w:rFonts w:ascii="Arial" w:hAnsi="Arial" w:cs="Arial"/>
          <w:color w:val="000000"/>
        </w:rPr>
        <w:t>o</w:t>
      </w:r>
      <w:r w:rsidRPr="00286EF5">
        <w:rPr>
          <w:rFonts w:ascii="Arial" w:hAnsi="Arial" w:cs="Arial"/>
          <w:color w:val="000000"/>
        </w:rPr>
        <w:t xml:space="preserve"> dopuszczon</w:t>
      </w:r>
      <w:r w:rsidR="00CA025B">
        <w:rPr>
          <w:rFonts w:ascii="Arial" w:hAnsi="Arial" w:cs="Arial"/>
          <w:color w:val="000000"/>
        </w:rPr>
        <w:t>ych</w:t>
      </w:r>
      <w:r w:rsidRPr="00286EF5">
        <w:rPr>
          <w:rFonts w:ascii="Arial" w:hAnsi="Arial" w:cs="Arial"/>
          <w:color w:val="000000"/>
        </w:rPr>
        <w:t xml:space="preserve"> do obrotu. Zarejestrowanych zostało 12 </w:t>
      </w:r>
      <w:r w:rsidR="000E4710">
        <w:rPr>
          <w:rFonts w:ascii="Arial" w:hAnsi="Arial" w:cs="Arial"/>
          <w:color w:val="000000"/>
        </w:rPr>
        <w:t>nowych</w:t>
      </w:r>
      <w:r w:rsidR="000E4710" w:rsidRPr="00286EF5">
        <w:rPr>
          <w:rFonts w:ascii="Arial" w:hAnsi="Arial" w:cs="Arial"/>
          <w:color w:val="000000"/>
        </w:rPr>
        <w:t xml:space="preserve"> </w:t>
      </w:r>
      <w:r w:rsidRPr="00286EF5">
        <w:rPr>
          <w:rFonts w:ascii="Arial" w:hAnsi="Arial" w:cs="Arial"/>
          <w:color w:val="000000"/>
        </w:rPr>
        <w:t>preparatów (7 moluskocydów, 2 fungicydy, 2 insektycydy</w:t>
      </w:r>
      <w:r w:rsidR="00170090">
        <w:rPr>
          <w:rFonts w:ascii="Arial" w:hAnsi="Arial" w:cs="Arial"/>
          <w:color w:val="000000"/>
        </w:rPr>
        <w:t xml:space="preserve"> i </w:t>
      </w:r>
      <w:r w:rsidRPr="00286EF5">
        <w:rPr>
          <w:rFonts w:ascii="Arial" w:hAnsi="Arial" w:cs="Arial"/>
          <w:color w:val="000000"/>
        </w:rPr>
        <w:t>1</w:t>
      </w:r>
      <w:r w:rsidR="00170090">
        <w:rPr>
          <w:rFonts w:ascii="Arial" w:hAnsi="Arial" w:cs="Arial"/>
          <w:color w:val="000000"/>
        </w:rPr>
        <w:t> </w:t>
      </w:r>
      <w:r w:rsidRPr="00286EF5">
        <w:rPr>
          <w:rFonts w:ascii="Arial" w:hAnsi="Arial" w:cs="Arial"/>
          <w:color w:val="000000"/>
        </w:rPr>
        <w:t>atraktant).</w:t>
      </w:r>
    </w:p>
    <w:p w14:paraId="68DEC356" w14:textId="15B73954" w:rsidR="00FC51E5" w:rsidRDefault="00FC51E5" w:rsidP="0099131F">
      <w:pPr>
        <w:pStyle w:val="NormalnyWeb"/>
        <w:tabs>
          <w:tab w:val="left" w:pos="284"/>
        </w:tabs>
        <w:spacing w:beforeAutospacing="0" w:after="120" w:afterAutospacing="0" w:line="360" w:lineRule="auto"/>
        <w:ind w:firstLine="284"/>
        <w:jc w:val="both"/>
        <w:rPr>
          <w:rFonts w:ascii="Arial" w:hAnsi="Arial" w:cs="Arial"/>
          <w:color w:val="000000"/>
        </w:rPr>
      </w:pPr>
      <w:r>
        <w:rPr>
          <w:rFonts w:ascii="Arial" w:hAnsi="Arial" w:cs="Arial"/>
          <w:color w:val="000000"/>
        </w:rPr>
        <w:t xml:space="preserve">Liczba środków ochrony roślin dopuszczonych do stosowania w rolnictwie ekologicznym </w:t>
      </w:r>
      <w:r w:rsidR="000E4710">
        <w:rPr>
          <w:rFonts w:ascii="Arial" w:hAnsi="Arial" w:cs="Arial"/>
          <w:color w:val="000000"/>
        </w:rPr>
        <w:t xml:space="preserve">zatem </w:t>
      </w:r>
      <w:r>
        <w:rPr>
          <w:rFonts w:ascii="Arial" w:hAnsi="Arial" w:cs="Arial"/>
          <w:color w:val="000000"/>
        </w:rPr>
        <w:t xml:space="preserve">sukcesywnie wzrasta, co obrazuje poniższy wykres. </w:t>
      </w:r>
    </w:p>
    <w:p w14:paraId="1E0EE036" w14:textId="7009FB5A" w:rsidR="00FC51E5" w:rsidRDefault="00FC51E5" w:rsidP="0099131F">
      <w:pPr>
        <w:pStyle w:val="NormalnyWeb"/>
        <w:tabs>
          <w:tab w:val="left" w:pos="284"/>
        </w:tabs>
        <w:spacing w:beforeAutospacing="0" w:after="120" w:afterAutospacing="0" w:line="360" w:lineRule="auto"/>
        <w:ind w:firstLine="284"/>
        <w:jc w:val="both"/>
        <w:rPr>
          <w:rFonts w:ascii="Arial" w:hAnsi="Arial" w:cs="Arial"/>
        </w:rPr>
      </w:pPr>
      <w:r w:rsidRPr="000A50AF">
        <w:rPr>
          <w:rFonts w:ascii="Arial" w:hAnsi="Arial" w:cs="Arial"/>
          <w:noProof/>
          <w:color w:val="9BBB59" w:themeColor="accent3"/>
        </w:rPr>
        <w:drawing>
          <wp:inline distT="0" distB="0" distL="0" distR="0" wp14:anchorId="49FCA53B" wp14:editId="324ADAA8">
            <wp:extent cx="5126355" cy="2933480"/>
            <wp:effectExtent l="0" t="0" r="17145" b="63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7596EAB" w14:textId="77777777" w:rsidR="00056846" w:rsidRPr="00925BCD" w:rsidRDefault="00E54725">
      <w:pPr>
        <w:pStyle w:val="Nagwek1"/>
        <w:numPr>
          <w:ilvl w:val="1"/>
          <w:numId w:val="9"/>
        </w:numPr>
        <w:tabs>
          <w:tab w:val="left" w:pos="284"/>
        </w:tabs>
        <w:ind w:left="426" w:hanging="426"/>
        <w:jc w:val="both"/>
        <w:rPr>
          <w:i w:val="0"/>
          <w:sz w:val="22"/>
          <w:szCs w:val="22"/>
        </w:rPr>
      </w:pPr>
      <w:bookmarkStart w:id="154" w:name="_Toc161744913"/>
      <w:r w:rsidRPr="00925BCD">
        <w:rPr>
          <w:i w:val="0"/>
          <w:sz w:val="22"/>
          <w:szCs w:val="22"/>
        </w:rPr>
        <w:t>Mierniki służące monitorowaniu</w:t>
      </w:r>
      <w:bookmarkEnd w:id="154"/>
    </w:p>
    <w:p w14:paraId="4CF76638"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Planowane jest coroczne wydanie lub rozszerzenie zakresu co najmniej 50 zezwoleń dla środków ochrony roślin w zakresie zastosowań małoobszarowych lub do stosowania w rolnictwie ekologicznym, w szczególności zawierających substancje czynne niskiego ryzyka lub substancje przeznaczone do stosowania w uprawach ekologicznych.</w:t>
      </w:r>
    </w:p>
    <w:p w14:paraId="29168136" w14:textId="21AB5D44" w:rsidR="00532290" w:rsidRDefault="00E54725" w:rsidP="00532290">
      <w:pPr>
        <w:pStyle w:val="NormalnyWeb"/>
        <w:tabs>
          <w:tab w:val="left" w:pos="284"/>
        </w:tabs>
        <w:spacing w:beforeAutospacing="0" w:after="120" w:afterAutospacing="0" w:line="360" w:lineRule="auto"/>
        <w:ind w:firstLine="284"/>
        <w:jc w:val="both"/>
        <w:rPr>
          <w:rFonts w:ascii="Arial" w:eastAsiaTheme="minorHAnsi" w:hAnsi="Arial" w:cs="Arial"/>
          <w:sz w:val="24"/>
          <w:szCs w:val="24"/>
        </w:rPr>
      </w:pPr>
      <w:r w:rsidRPr="00B70BBE">
        <w:rPr>
          <w:rFonts w:ascii="Arial" w:hAnsi="Arial" w:cs="Arial"/>
        </w:rPr>
        <w:t>W 2018 r.</w:t>
      </w:r>
      <w:r w:rsidRPr="00925BCD">
        <w:rPr>
          <w:rFonts w:ascii="Arial" w:hAnsi="Arial" w:cs="Arial"/>
        </w:rPr>
        <w:t xml:space="preserve"> wydano 76 rozszerzeń</w:t>
      </w:r>
      <w:r w:rsidR="00FC51E5">
        <w:rPr>
          <w:rFonts w:ascii="Arial" w:hAnsi="Arial" w:cs="Arial"/>
        </w:rPr>
        <w:t xml:space="preserve"> małoobszarowych. W</w:t>
      </w:r>
      <w:r w:rsidR="00994492" w:rsidRPr="00B70BBE">
        <w:rPr>
          <w:rFonts w:ascii="Arial" w:hAnsi="Arial" w:cs="Arial"/>
        </w:rPr>
        <w:t xml:space="preserve"> 2019 r</w:t>
      </w:r>
      <w:r w:rsidR="00FC51E5">
        <w:rPr>
          <w:rFonts w:ascii="Arial" w:hAnsi="Arial" w:cs="Arial"/>
        </w:rPr>
        <w:t>.</w:t>
      </w:r>
      <w:r w:rsidR="00994492" w:rsidRPr="00925BCD">
        <w:rPr>
          <w:rFonts w:ascii="Arial" w:hAnsi="Arial" w:cs="Arial"/>
        </w:rPr>
        <w:t xml:space="preserve"> rozszerzenia małoobszarowe zostały uwzględnione w 125 zezwoleniach (w 63 nowych i w 62 istniejących zezwoleniach)</w:t>
      </w:r>
      <w:r w:rsidR="00812F0B">
        <w:rPr>
          <w:rFonts w:ascii="Arial" w:hAnsi="Arial" w:cs="Arial"/>
        </w:rPr>
        <w:t>,</w:t>
      </w:r>
      <w:r w:rsidR="00812F0B" w:rsidRPr="00B70BBE">
        <w:rPr>
          <w:rFonts w:ascii="Arial" w:hAnsi="Arial" w:cs="Arial"/>
        </w:rPr>
        <w:t xml:space="preserve"> w</w:t>
      </w:r>
      <w:r w:rsidR="00B70BBE" w:rsidRPr="00B70BBE">
        <w:rPr>
          <w:rFonts w:ascii="Arial" w:hAnsi="Arial" w:cs="Arial"/>
        </w:rPr>
        <w:t> </w:t>
      </w:r>
      <w:r w:rsidR="00812F0B" w:rsidRPr="00B70BBE">
        <w:rPr>
          <w:rFonts w:ascii="Arial" w:hAnsi="Arial" w:cs="Arial"/>
        </w:rPr>
        <w:t>2020</w:t>
      </w:r>
      <w:r w:rsidR="00B70BBE" w:rsidRPr="00B70BBE">
        <w:rPr>
          <w:rFonts w:ascii="Arial" w:hAnsi="Arial" w:cs="Arial"/>
        </w:rPr>
        <w:t> </w:t>
      </w:r>
      <w:r w:rsidR="00812F0B" w:rsidRPr="00B70BBE">
        <w:rPr>
          <w:rFonts w:ascii="Arial" w:hAnsi="Arial" w:cs="Arial"/>
        </w:rPr>
        <w:t>r.</w:t>
      </w:r>
      <w:r w:rsidR="00812F0B" w:rsidRPr="00812F0B">
        <w:rPr>
          <w:rFonts w:ascii="Arial" w:hAnsi="Arial" w:cs="Arial"/>
        </w:rPr>
        <w:t>  w 11</w:t>
      </w:r>
      <w:r w:rsidR="00C5577E">
        <w:rPr>
          <w:rFonts w:ascii="Arial" w:hAnsi="Arial" w:cs="Arial"/>
        </w:rPr>
        <w:t>7</w:t>
      </w:r>
      <w:r w:rsidR="00812F0B" w:rsidRPr="00812F0B">
        <w:rPr>
          <w:rFonts w:ascii="Arial" w:hAnsi="Arial" w:cs="Arial"/>
        </w:rPr>
        <w:t xml:space="preserve"> zezwoleniach (w 75 nowych i w</w:t>
      </w:r>
      <w:r w:rsidR="00B70BBE">
        <w:rPr>
          <w:rFonts w:ascii="Arial" w:hAnsi="Arial" w:cs="Arial"/>
        </w:rPr>
        <w:t> </w:t>
      </w:r>
      <w:r w:rsidR="00812F0B" w:rsidRPr="00812F0B">
        <w:rPr>
          <w:rFonts w:ascii="Arial" w:hAnsi="Arial" w:cs="Arial"/>
        </w:rPr>
        <w:t>4</w:t>
      </w:r>
      <w:r w:rsidR="00845AA3">
        <w:rPr>
          <w:rFonts w:ascii="Arial" w:hAnsi="Arial" w:cs="Arial"/>
        </w:rPr>
        <w:t>2</w:t>
      </w:r>
      <w:r w:rsidR="00812F0B" w:rsidRPr="00812F0B">
        <w:rPr>
          <w:rFonts w:ascii="Arial" w:hAnsi="Arial" w:cs="Arial"/>
        </w:rPr>
        <w:t xml:space="preserve"> istniejących zezwoleniach)</w:t>
      </w:r>
      <w:r w:rsidR="00532290">
        <w:rPr>
          <w:rFonts w:ascii="Arial" w:hAnsi="Arial" w:cs="Arial"/>
        </w:rPr>
        <w:t xml:space="preserve">, w 2021 r. </w:t>
      </w:r>
      <w:r w:rsidR="000E4710">
        <w:rPr>
          <w:rFonts w:ascii="Arial" w:hAnsi="Arial" w:cs="Arial"/>
        </w:rPr>
        <w:t xml:space="preserve">w </w:t>
      </w:r>
      <w:r w:rsidR="00532290" w:rsidRPr="00532290">
        <w:rPr>
          <w:rFonts w:ascii="Arial" w:hAnsi="Arial" w:cs="Arial"/>
        </w:rPr>
        <w:t xml:space="preserve">145 </w:t>
      </w:r>
      <w:r w:rsidR="000E4710">
        <w:rPr>
          <w:rFonts w:ascii="Arial" w:hAnsi="Arial" w:cs="Arial"/>
        </w:rPr>
        <w:t xml:space="preserve">zezwoleniach </w:t>
      </w:r>
      <w:r w:rsidR="00532290" w:rsidRPr="00532290">
        <w:rPr>
          <w:rFonts w:ascii="Arial" w:hAnsi="Arial" w:cs="Arial"/>
        </w:rPr>
        <w:t>(w</w:t>
      </w:r>
      <w:r w:rsidR="00532290">
        <w:rPr>
          <w:rFonts w:ascii="Arial" w:hAnsi="Arial" w:cs="Arial"/>
        </w:rPr>
        <w:t> </w:t>
      </w:r>
      <w:r w:rsidR="00532290" w:rsidRPr="00532290">
        <w:rPr>
          <w:rFonts w:ascii="Arial" w:hAnsi="Arial" w:cs="Arial"/>
        </w:rPr>
        <w:t>55  nowych i  w 90 istniejących)</w:t>
      </w:r>
      <w:r w:rsidR="005F6816">
        <w:rPr>
          <w:rFonts w:ascii="Arial" w:hAnsi="Arial" w:cs="Arial"/>
        </w:rPr>
        <w:t>,</w:t>
      </w:r>
      <w:r w:rsidR="005F6816" w:rsidRPr="005F6816">
        <w:t xml:space="preserve"> </w:t>
      </w:r>
      <w:r w:rsidR="005F6816">
        <w:rPr>
          <w:rFonts w:ascii="Arial" w:hAnsi="Arial" w:cs="Arial"/>
        </w:rPr>
        <w:t>natomiast</w:t>
      </w:r>
      <w:r w:rsidR="005F6816" w:rsidRPr="005F6816">
        <w:rPr>
          <w:rFonts w:ascii="Arial" w:hAnsi="Arial" w:cs="Arial"/>
        </w:rPr>
        <w:t xml:space="preserve"> w 2022</w:t>
      </w:r>
      <w:r w:rsidR="00D4557B">
        <w:rPr>
          <w:rFonts w:ascii="Arial" w:hAnsi="Arial" w:cs="Arial"/>
        </w:rPr>
        <w:t xml:space="preserve"> </w:t>
      </w:r>
      <w:r w:rsidR="005F6816" w:rsidRPr="005F6816">
        <w:rPr>
          <w:rFonts w:ascii="Arial" w:hAnsi="Arial" w:cs="Arial"/>
        </w:rPr>
        <w:t>r</w:t>
      </w:r>
      <w:r w:rsidR="00D4557B">
        <w:rPr>
          <w:rFonts w:ascii="Arial" w:hAnsi="Arial" w:cs="Arial"/>
        </w:rPr>
        <w:t>.</w:t>
      </w:r>
      <w:r w:rsidR="005F6816" w:rsidRPr="005F6816">
        <w:rPr>
          <w:rFonts w:ascii="Arial" w:hAnsi="Arial" w:cs="Arial"/>
        </w:rPr>
        <w:t xml:space="preserve"> </w:t>
      </w:r>
      <w:r w:rsidR="000E4710">
        <w:rPr>
          <w:rFonts w:ascii="Arial" w:hAnsi="Arial" w:cs="Arial"/>
        </w:rPr>
        <w:t xml:space="preserve">w </w:t>
      </w:r>
      <w:r w:rsidR="00B26FBF" w:rsidRPr="00B26FBF">
        <w:rPr>
          <w:rFonts w:ascii="Arial" w:hAnsi="Arial" w:cs="Arial"/>
        </w:rPr>
        <w:t xml:space="preserve">68 </w:t>
      </w:r>
      <w:r w:rsidR="000E4710">
        <w:rPr>
          <w:rFonts w:ascii="Arial" w:hAnsi="Arial" w:cs="Arial"/>
        </w:rPr>
        <w:t xml:space="preserve">zezwoleniach </w:t>
      </w:r>
      <w:r w:rsidR="00B26FBF" w:rsidRPr="00B26FBF">
        <w:rPr>
          <w:rFonts w:ascii="Arial" w:hAnsi="Arial" w:cs="Arial"/>
        </w:rPr>
        <w:t>(w 46 nowych i w 22 istniejących</w:t>
      </w:r>
      <w:r w:rsidR="007C0A32">
        <w:rPr>
          <w:rFonts w:ascii="Arial" w:hAnsi="Arial" w:cs="Arial"/>
        </w:rPr>
        <w:t>)</w:t>
      </w:r>
      <w:r w:rsidR="005F6816" w:rsidRPr="005F6816">
        <w:rPr>
          <w:rFonts w:ascii="Arial" w:hAnsi="Arial" w:cs="Arial"/>
        </w:rPr>
        <w:t>.</w:t>
      </w:r>
      <w:r w:rsidR="00782A4F">
        <w:rPr>
          <w:rFonts w:ascii="Arial" w:hAnsi="Arial" w:cs="Arial"/>
        </w:rPr>
        <w:t xml:space="preserve"> Cele zadania zostały zatem zrealizowane.</w:t>
      </w:r>
    </w:p>
    <w:p w14:paraId="488C4D3C" w14:textId="7C6038BA"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b/>
          <w:bCs/>
          <w:u w:val="single"/>
        </w:rPr>
        <w:t>Podsumowanie</w:t>
      </w:r>
    </w:p>
    <w:p w14:paraId="497BE10C" w14:textId="389DDA8E" w:rsidR="00056846" w:rsidRPr="00925BCD" w:rsidRDefault="00994492"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Zakończony został </w:t>
      </w:r>
      <w:r w:rsidR="000B7C34">
        <w:rPr>
          <w:rFonts w:ascii="Arial" w:hAnsi="Arial" w:cs="Arial"/>
        </w:rPr>
        <w:t>piąty, ostatni</w:t>
      </w:r>
      <w:r w:rsidR="00E54725" w:rsidRPr="00925BCD">
        <w:rPr>
          <w:rFonts w:ascii="Arial" w:hAnsi="Arial" w:cs="Arial"/>
        </w:rPr>
        <w:t xml:space="preserve"> rok realizacji drugiego przyjętego w</w:t>
      </w:r>
      <w:r w:rsidR="00534399">
        <w:rPr>
          <w:rFonts w:ascii="Arial" w:hAnsi="Arial" w:cs="Arial"/>
        </w:rPr>
        <w:t> </w:t>
      </w:r>
      <w:r w:rsidR="00E54725" w:rsidRPr="00925BCD">
        <w:rPr>
          <w:rFonts w:ascii="Arial" w:hAnsi="Arial" w:cs="Arial"/>
        </w:rPr>
        <w:t xml:space="preserve">Polsce krajowego planu działania na rzecz </w:t>
      </w:r>
      <w:r w:rsidR="00274A8C" w:rsidRPr="00925BCD">
        <w:rPr>
          <w:rFonts w:ascii="Arial" w:hAnsi="Arial" w:cs="Arial"/>
        </w:rPr>
        <w:t>ograniczenia</w:t>
      </w:r>
      <w:r w:rsidR="00E54725" w:rsidRPr="00925BCD">
        <w:rPr>
          <w:rFonts w:ascii="Arial" w:hAnsi="Arial" w:cs="Arial"/>
        </w:rPr>
        <w:t xml:space="preserve"> ryzyka związanego ze stosowaniem środków ochrony roślin, </w:t>
      </w:r>
      <w:r w:rsidR="00E54725" w:rsidRPr="00925BCD">
        <w:rPr>
          <w:rFonts w:ascii="Arial" w:hAnsi="Arial" w:cs="Arial"/>
        </w:rPr>
        <w:lastRenderedPageBreak/>
        <w:t>zaplanowanego na lata 2018-2022. Podobnie jak w latach poprzednich kluczowym celem dla Polski w</w:t>
      </w:r>
      <w:r w:rsidR="00156CB7" w:rsidRPr="00925BCD">
        <w:rPr>
          <w:rFonts w:ascii="Arial" w:hAnsi="Arial" w:cs="Arial"/>
        </w:rPr>
        <w:t> </w:t>
      </w:r>
      <w:r w:rsidR="00E54725" w:rsidRPr="00925BCD">
        <w:rPr>
          <w:rFonts w:ascii="Arial" w:hAnsi="Arial" w:cs="Arial"/>
        </w:rPr>
        <w:t xml:space="preserve">związku z realizacją krajowego planu działania było upowszechnianie ogólnych zasad integrowanej ochrony roślin oraz zapobieganie zagrożeniom związanym ze stosowaniem środków ochrony roślin. </w:t>
      </w:r>
    </w:p>
    <w:p w14:paraId="151FC019" w14:textId="5DCD2161" w:rsidR="00FB2C13"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BF698E">
        <w:rPr>
          <w:rFonts w:ascii="Arial" w:hAnsi="Arial" w:cs="Arial"/>
        </w:rPr>
        <w:t xml:space="preserve">Według danych Państwowej Inspekcji Ochrony Roślin i Nasiennictwa </w:t>
      </w:r>
      <w:r w:rsidR="000E4710" w:rsidRPr="00BF698E">
        <w:rPr>
          <w:rFonts w:ascii="Arial" w:hAnsi="Arial" w:cs="Arial"/>
        </w:rPr>
        <w:t xml:space="preserve">stosowane działania i metody integrowanej ochrony roślin są efektywne </w:t>
      </w:r>
      <w:r w:rsidRPr="00BF698E">
        <w:rPr>
          <w:rFonts w:ascii="Arial" w:hAnsi="Arial" w:cs="Arial"/>
        </w:rPr>
        <w:t>w ocenie</w:t>
      </w:r>
      <w:r w:rsidR="00FB2C13">
        <w:rPr>
          <w:rFonts w:ascii="Arial" w:hAnsi="Arial" w:cs="Arial"/>
        </w:rPr>
        <w:t>:</w:t>
      </w:r>
    </w:p>
    <w:p w14:paraId="176520FC" w14:textId="21867279" w:rsidR="00FB2C13" w:rsidRDefault="00E54725" w:rsidP="0028310D">
      <w:pPr>
        <w:pStyle w:val="NormalnyWeb"/>
        <w:numPr>
          <w:ilvl w:val="0"/>
          <w:numId w:val="49"/>
        </w:numPr>
        <w:tabs>
          <w:tab w:val="left" w:pos="284"/>
        </w:tabs>
        <w:spacing w:beforeAutospacing="0" w:after="120" w:afterAutospacing="0" w:line="360" w:lineRule="auto"/>
        <w:jc w:val="both"/>
        <w:rPr>
          <w:rFonts w:ascii="Arial" w:hAnsi="Arial" w:cs="Arial"/>
        </w:rPr>
      </w:pPr>
      <w:r w:rsidRPr="00BF698E">
        <w:rPr>
          <w:rFonts w:ascii="Arial" w:hAnsi="Arial" w:cs="Arial"/>
        </w:rPr>
        <w:t xml:space="preserve">96,2% </w:t>
      </w:r>
      <w:r w:rsidR="00FB2C13">
        <w:rPr>
          <w:rFonts w:ascii="Arial" w:hAnsi="Arial" w:cs="Arial"/>
        </w:rPr>
        <w:t>s</w:t>
      </w:r>
      <w:r w:rsidRPr="00BF698E">
        <w:rPr>
          <w:rFonts w:ascii="Arial" w:hAnsi="Arial" w:cs="Arial"/>
        </w:rPr>
        <w:t>kontrolowanych profesjonalnych użytkowników środków ochrony roślin</w:t>
      </w:r>
      <w:r w:rsidR="00FB2C13">
        <w:rPr>
          <w:rFonts w:ascii="Arial" w:hAnsi="Arial" w:cs="Arial"/>
        </w:rPr>
        <w:t xml:space="preserve"> w</w:t>
      </w:r>
      <w:r w:rsidR="00FB2C13" w:rsidRPr="00FB2C13">
        <w:rPr>
          <w:rFonts w:ascii="Arial" w:hAnsi="Arial" w:cs="Arial"/>
        </w:rPr>
        <w:t xml:space="preserve"> </w:t>
      </w:r>
      <w:r w:rsidR="00FB2C13" w:rsidRPr="00BF698E">
        <w:rPr>
          <w:rFonts w:ascii="Arial" w:hAnsi="Arial" w:cs="Arial"/>
        </w:rPr>
        <w:t>2018 r.</w:t>
      </w:r>
      <w:r w:rsidRPr="00BF698E">
        <w:rPr>
          <w:rFonts w:ascii="Arial" w:hAnsi="Arial" w:cs="Arial"/>
        </w:rPr>
        <w:t>,</w:t>
      </w:r>
    </w:p>
    <w:p w14:paraId="664EFA05" w14:textId="77777777" w:rsidR="00FB2C13" w:rsidRDefault="00FB2C13" w:rsidP="0028310D">
      <w:pPr>
        <w:pStyle w:val="NormalnyWeb"/>
        <w:numPr>
          <w:ilvl w:val="0"/>
          <w:numId w:val="49"/>
        </w:numPr>
        <w:tabs>
          <w:tab w:val="left" w:pos="284"/>
        </w:tabs>
        <w:spacing w:beforeAutospacing="0" w:after="120" w:afterAutospacing="0" w:line="360" w:lineRule="auto"/>
        <w:jc w:val="both"/>
        <w:rPr>
          <w:rFonts w:ascii="Arial" w:hAnsi="Arial" w:cs="Arial"/>
        </w:rPr>
      </w:pPr>
      <w:r w:rsidRPr="00BF698E">
        <w:rPr>
          <w:rFonts w:ascii="Arial" w:hAnsi="Arial" w:cs="Arial"/>
        </w:rPr>
        <w:t>96,5%</w:t>
      </w:r>
      <w:r w:rsidRPr="00FB2C13">
        <w:rPr>
          <w:rFonts w:ascii="Arial" w:hAnsi="Arial" w:cs="Arial"/>
        </w:rPr>
        <w:t xml:space="preserve"> </w:t>
      </w:r>
      <w:r>
        <w:rPr>
          <w:rFonts w:ascii="Arial" w:hAnsi="Arial" w:cs="Arial"/>
        </w:rPr>
        <w:t>s</w:t>
      </w:r>
      <w:r w:rsidRPr="00BF698E">
        <w:rPr>
          <w:rFonts w:ascii="Arial" w:hAnsi="Arial" w:cs="Arial"/>
        </w:rPr>
        <w:t>kontrolowanych profesjonalnych użytkowników środków ochrony roślin</w:t>
      </w:r>
      <w:r>
        <w:rPr>
          <w:rFonts w:ascii="Arial" w:hAnsi="Arial" w:cs="Arial"/>
        </w:rPr>
        <w:t xml:space="preserve"> w</w:t>
      </w:r>
      <w:r w:rsidRPr="00FB2C13">
        <w:rPr>
          <w:rFonts w:ascii="Arial" w:hAnsi="Arial" w:cs="Arial"/>
        </w:rPr>
        <w:t xml:space="preserve"> </w:t>
      </w:r>
      <w:r w:rsidRPr="00BF698E">
        <w:rPr>
          <w:rFonts w:ascii="Arial" w:hAnsi="Arial" w:cs="Arial"/>
        </w:rPr>
        <w:t>201</w:t>
      </w:r>
      <w:r>
        <w:rPr>
          <w:rFonts w:ascii="Arial" w:hAnsi="Arial" w:cs="Arial"/>
        </w:rPr>
        <w:t>9</w:t>
      </w:r>
      <w:r w:rsidRPr="00BF698E">
        <w:rPr>
          <w:rFonts w:ascii="Arial" w:hAnsi="Arial" w:cs="Arial"/>
        </w:rPr>
        <w:t xml:space="preserve"> r.,</w:t>
      </w:r>
    </w:p>
    <w:p w14:paraId="191B4EDF" w14:textId="19157C38" w:rsidR="00FB2C13" w:rsidRDefault="00FB2C13" w:rsidP="0028310D">
      <w:pPr>
        <w:pStyle w:val="NormalnyWeb"/>
        <w:numPr>
          <w:ilvl w:val="0"/>
          <w:numId w:val="49"/>
        </w:numPr>
        <w:tabs>
          <w:tab w:val="left" w:pos="284"/>
        </w:tabs>
        <w:spacing w:beforeAutospacing="0" w:after="120" w:afterAutospacing="0" w:line="360" w:lineRule="auto"/>
        <w:jc w:val="both"/>
        <w:rPr>
          <w:rFonts w:ascii="Arial" w:hAnsi="Arial" w:cs="Arial"/>
        </w:rPr>
      </w:pPr>
      <w:r w:rsidRPr="00BF698E">
        <w:rPr>
          <w:rFonts w:ascii="Arial" w:hAnsi="Arial" w:cs="Arial"/>
        </w:rPr>
        <w:t>96,5%</w:t>
      </w:r>
      <w:r w:rsidRPr="00FB2C13">
        <w:rPr>
          <w:rFonts w:ascii="Arial" w:hAnsi="Arial" w:cs="Arial"/>
        </w:rPr>
        <w:t xml:space="preserve"> </w:t>
      </w:r>
      <w:r>
        <w:rPr>
          <w:rFonts w:ascii="Arial" w:hAnsi="Arial" w:cs="Arial"/>
        </w:rPr>
        <w:t>s</w:t>
      </w:r>
      <w:r w:rsidRPr="00BF698E">
        <w:rPr>
          <w:rFonts w:ascii="Arial" w:hAnsi="Arial" w:cs="Arial"/>
        </w:rPr>
        <w:t>kontrolowanych profesjonalnych użytkowników środków ochrony roślin</w:t>
      </w:r>
      <w:r>
        <w:rPr>
          <w:rFonts w:ascii="Arial" w:hAnsi="Arial" w:cs="Arial"/>
        </w:rPr>
        <w:t xml:space="preserve"> w</w:t>
      </w:r>
      <w:r w:rsidRPr="00FB2C13">
        <w:rPr>
          <w:rFonts w:ascii="Arial" w:hAnsi="Arial" w:cs="Arial"/>
        </w:rPr>
        <w:t xml:space="preserve"> </w:t>
      </w:r>
      <w:r w:rsidRPr="00BF698E">
        <w:rPr>
          <w:rFonts w:ascii="Arial" w:hAnsi="Arial" w:cs="Arial"/>
        </w:rPr>
        <w:t>20</w:t>
      </w:r>
      <w:r>
        <w:rPr>
          <w:rFonts w:ascii="Arial" w:hAnsi="Arial" w:cs="Arial"/>
        </w:rPr>
        <w:t>20</w:t>
      </w:r>
      <w:r w:rsidRPr="00BF698E">
        <w:rPr>
          <w:rFonts w:ascii="Arial" w:hAnsi="Arial" w:cs="Arial"/>
        </w:rPr>
        <w:t xml:space="preserve"> r.,</w:t>
      </w:r>
    </w:p>
    <w:p w14:paraId="5D7F1E31" w14:textId="4021083C" w:rsidR="00FB2C13" w:rsidRDefault="00FB2C13" w:rsidP="00FB2C13">
      <w:pPr>
        <w:pStyle w:val="NormalnyWeb"/>
        <w:numPr>
          <w:ilvl w:val="0"/>
          <w:numId w:val="49"/>
        </w:numPr>
        <w:tabs>
          <w:tab w:val="left" w:pos="284"/>
        </w:tabs>
        <w:spacing w:beforeAutospacing="0" w:after="120" w:afterAutospacing="0" w:line="360" w:lineRule="auto"/>
        <w:jc w:val="both"/>
        <w:rPr>
          <w:rFonts w:ascii="Arial" w:hAnsi="Arial" w:cs="Arial"/>
        </w:rPr>
      </w:pPr>
      <w:r w:rsidRPr="00BF698E">
        <w:rPr>
          <w:rFonts w:ascii="Arial" w:hAnsi="Arial" w:cs="Arial"/>
        </w:rPr>
        <w:t>96,</w:t>
      </w:r>
      <w:r>
        <w:rPr>
          <w:rFonts w:ascii="Arial" w:hAnsi="Arial" w:cs="Arial"/>
        </w:rPr>
        <w:t>6</w:t>
      </w:r>
      <w:r w:rsidRPr="00BF698E">
        <w:rPr>
          <w:rFonts w:ascii="Arial" w:hAnsi="Arial" w:cs="Arial"/>
        </w:rPr>
        <w:t>%</w:t>
      </w:r>
      <w:r w:rsidRPr="00FB2C13">
        <w:rPr>
          <w:rFonts w:ascii="Arial" w:hAnsi="Arial" w:cs="Arial"/>
        </w:rPr>
        <w:t xml:space="preserve"> </w:t>
      </w:r>
      <w:r>
        <w:rPr>
          <w:rFonts w:ascii="Arial" w:hAnsi="Arial" w:cs="Arial"/>
        </w:rPr>
        <w:t>s</w:t>
      </w:r>
      <w:r w:rsidRPr="00BF698E">
        <w:rPr>
          <w:rFonts w:ascii="Arial" w:hAnsi="Arial" w:cs="Arial"/>
        </w:rPr>
        <w:t>kontrolowanych profesjonalnych użytkowników środków ochrony roślin</w:t>
      </w:r>
      <w:r>
        <w:rPr>
          <w:rFonts w:ascii="Arial" w:hAnsi="Arial" w:cs="Arial"/>
        </w:rPr>
        <w:t xml:space="preserve"> w</w:t>
      </w:r>
      <w:r w:rsidRPr="00FB2C13">
        <w:rPr>
          <w:rFonts w:ascii="Arial" w:hAnsi="Arial" w:cs="Arial"/>
        </w:rPr>
        <w:t xml:space="preserve"> </w:t>
      </w:r>
      <w:r w:rsidRPr="00BF698E">
        <w:rPr>
          <w:rFonts w:ascii="Arial" w:hAnsi="Arial" w:cs="Arial"/>
        </w:rPr>
        <w:t>20</w:t>
      </w:r>
      <w:r>
        <w:rPr>
          <w:rFonts w:ascii="Arial" w:hAnsi="Arial" w:cs="Arial"/>
        </w:rPr>
        <w:t>21</w:t>
      </w:r>
      <w:r w:rsidRPr="00BF698E">
        <w:rPr>
          <w:rFonts w:ascii="Arial" w:hAnsi="Arial" w:cs="Arial"/>
        </w:rPr>
        <w:t xml:space="preserve"> r.,</w:t>
      </w:r>
    </w:p>
    <w:p w14:paraId="30755291" w14:textId="2BAFE017" w:rsidR="00056846" w:rsidRPr="00FB2C13" w:rsidRDefault="00FB2C13" w:rsidP="0028310D">
      <w:pPr>
        <w:pStyle w:val="NormalnyWeb"/>
        <w:numPr>
          <w:ilvl w:val="0"/>
          <w:numId w:val="49"/>
        </w:numPr>
        <w:tabs>
          <w:tab w:val="left" w:pos="284"/>
        </w:tabs>
        <w:spacing w:beforeAutospacing="0" w:after="120" w:afterAutospacing="0" w:line="360" w:lineRule="auto"/>
        <w:jc w:val="both"/>
        <w:rPr>
          <w:rFonts w:ascii="Arial" w:hAnsi="Arial" w:cs="Arial"/>
        </w:rPr>
      </w:pPr>
      <w:r w:rsidRPr="00FB2C13">
        <w:rPr>
          <w:rFonts w:ascii="Arial" w:hAnsi="Arial" w:cs="Arial"/>
        </w:rPr>
        <w:t>95% skontrolowanych profesjonalnych użytkowników środków ochrony roślin w 2022 r.</w:t>
      </w:r>
    </w:p>
    <w:p w14:paraId="1FED49E9"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podstawie przeprowadzonych kontroli stosowania środków ochrony roślin stwierdzono, że spośród dostępnych sposobów realizowania zasad integrowanej ochrony roślin, najwięcej profesjonalnych użytkowników zadeklarowało stosowanie agrotechnicznych metod uprawy, prowadzenie monitoringu organizmów szkodliwych, stosowanie płodozmianu oraz doboru właściwego terminu siewu i sadzenia, ograniczenie liczby zabiegów a także stosowanie zrównoważonego nawożenia i nawadniania.  </w:t>
      </w:r>
    </w:p>
    <w:p w14:paraId="6D394330" w14:textId="4E2324BA" w:rsidR="00750CBF" w:rsidRDefault="00750CBF"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Zmiany w ryzyku związanym ze stosowaniem środków ochrony roślin opisuje poniższa analiza. </w:t>
      </w:r>
    </w:p>
    <w:p w14:paraId="76442041" w14:textId="4F434ECA" w:rsidR="00ED07A6" w:rsidRPr="00ED07A6" w:rsidRDefault="00ED07A6" w:rsidP="00F47CCE">
      <w:pPr>
        <w:pStyle w:val="Nagwek1"/>
        <w:numPr>
          <w:ilvl w:val="0"/>
          <w:numId w:val="9"/>
        </w:numPr>
        <w:jc w:val="both"/>
        <w:rPr>
          <w:i w:val="0"/>
          <w:sz w:val="22"/>
          <w:szCs w:val="22"/>
        </w:rPr>
      </w:pPr>
      <w:bookmarkStart w:id="155" w:name="_Toc161744914"/>
      <w:r w:rsidRPr="00ED07A6">
        <w:rPr>
          <w:i w:val="0"/>
          <w:sz w:val="22"/>
          <w:szCs w:val="22"/>
        </w:rPr>
        <w:t>KOMPLEKSOWA OCENA W ZAKRESIE KRAJOWEGO BEZPIECZEŃSTWA PESTYCYDOWEGO W OPARCIU O KRAJOWE WSKAŹNIKI RYZYKA PESTYCYDOWEGO ORAZ ZHARMONIZOWANY WSKAŹNIK RYZYKA HRI-1 DLA POLSKI</w:t>
      </w:r>
      <w:bookmarkEnd w:id="155"/>
      <w:r w:rsidRPr="00ED07A6">
        <w:rPr>
          <w:i w:val="0"/>
          <w:sz w:val="22"/>
          <w:szCs w:val="22"/>
        </w:rPr>
        <w:t xml:space="preserve"> </w:t>
      </w:r>
    </w:p>
    <w:p w14:paraId="4262F2E5" w14:textId="36160337" w:rsidR="002F489B" w:rsidRPr="009901CB" w:rsidRDefault="00782A4F" w:rsidP="006C2828">
      <w:pPr>
        <w:tabs>
          <w:tab w:val="left" w:pos="426"/>
        </w:tabs>
        <w:spacing w:after="120" w:line="360" w:lineRule="auto"/>
        <w:jc w:val="both"/>
        <w:rPr>
          <w:rFonts w:ascii="Arial" w:hAnsi="Arial" w:cs="Arial"/>
          <w:b/>
          <w:sz w:val="20"/>
          <w:szCs w:val="20"/>
        </w:rPr>
      </w:pPr>
      <w:r>
        <w:rPr>
          <w:rFonts w:ascii="Arial" w:hAnsi="Arial" w:cs="Arial"/>
          <w:b/>
          <w:sz w:val="20"/>
          <w:szCs w:val="20"/>
        </w:rPr>
        <w:t>1</w:t>
      </w:r>
      <w:r w:rsidR="002F489B" w:rsidRPr="009901CB">
        <w:rPr>
          <w:rFonts w:ascii="Arial" w:hAnsi="Arial" w:cs="Arial"/>
          <w:b/>
          <w:sz w:val="20"/>
          <w:szCs w:val="20"/>
        </w:rPr>
        <w:t xml:space="preserve">. </w:t>
      </w:r>
      <w:r w:rsidR="002F489B" w:rsidRPr="009901CB">
        <w:rPr>
          <w:rFonts w:ascii="Arial" w:hAnsi="Arial" w:cs="Arial"/>
          <w:b/>
          <w:sz w:val="20"/>
          <w:szCs w:val="20"/>
        </w:rPr>
        <w:tab/>
      </w:r>
      <w:r w:rsidR="002E1B89">
        <w:rPr>
          <w:rFonts w:ascii="Arial" w:hAnsi="Arial" w:cs="Arial"/>
          <w:b/>
          <w:sz w:val="20"/>
          <w:szCs w:val="20"/>
        </w:rPr>
        <w:t>R</w:t>
      </w:r>
      <w:r>
        <w:rPr>
          <w:rFonts w:ascii="Arial" w:hAnsi="Arial" w:cs="Arial"/>
          <w:b/>
          <w:sz w:val="20"/>
          <w:szCs w:val="20"/>
        </w:rPr>
        <w:t xml:space="preserve">yzyko </w:t>
      </w:r>
      <w:r w:rsidR="002F489B" w:rsidRPr="009901CB">
        <w:rPr>
          <w:rFonts w:ascii="Arial" w:hAnsi="Arial" w:cs="Arial"/>
          <w:b/>
          <w:sz w:val="20"/>
          <w:szCs w:val="20"/>
        </w:rPr>
        <w:t>wynikające z nieprawidłowego stosowania ś</w:t>
      </w:r>
      <w:r w:rsidR="009901CB">
        <w:rPr>
          <w:rFonts w:ascii="Arial" w:hAnsi="Arial" w:cs="Arial"/>
          <w:b/>
          <w:sz w:val="20"/>
          <w:szCs w:val="20"/>
        </w:rPr>
        <w:t>rodków ochrony roślin</w:t>
      </w:r>
      <w:r w:rsidR="002F489B" w:rsidRPr="009901CB">
        <w:rPr>
          <w:rFonts w:ascii="Arial" w:hAnsi="Arial" w:cs="Arial"/>
          <w:b/>
          <w:sz w:val="20"/>
          <w:szCs w:val="20"/>
        </w:rPr>
        <w:t xml:space="preserve"> </w:t>
      </w:r>
    </w:p>
    <w:p w14:paraId="0D5AAC25" w14:textId="07D8B2F4" w:rsidR="00D67E82" w:rsidRPr="00BD6E71" w:rsidRDefault="00D67E82" w:rsidP="00D67E8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Pr="00BD6E71">
        <w:rPr>
          <w:rFonts w:ascii="Arial" w:hAnsi="Arial" w:cs="Arial"/>
        </w:rPr>
        <w:t>skaźnik WS.Kontrola jest wykorzystywany jako miernik do monitorowania stopnia realizacji głównych celów Krajowego Planu Działania na rzecz ograniczenia ryzyka związanego ze stosowaniem środków ochrony roślin na lata 2018-2022. Przyjęta w KPD wartość graniczna miernika wynosi 1,5. Wskaźnik ten uwzględnia wyniki prowadzonych przez PIORiN kntroli stosowania ś.o.r. w siedmiu szczegółowych obszarach kontroli i</w:t>
      </w:r>
      <w:r>
        <w:rPr>
          <w:rFonts w:ascii="Arial" w:hAnsi="Arial" w:cs="Arial"/>
        </w:rPr>
        <w:t> </w:t>
      </w:r>
      <w:r w:rsidRPr="00BD6E71">
        <w:rPr>
          <w:rFonts w:ascii="Arial" w:hAnsi="Arial" w:cs="Arial"/>
        </w:rPr>
        <w:t>obrazuje procentową liczbę nieprawidłowości w stosunku do liczby kontroli. Każdemu szczegółowemu obszarowi kontroli przypisana jest decyzyjnie indywidualna waga (</w:t>
      </w:r>
      <w:r w:rsidR="008874EF" w:rsidRPr="00BD6E71">
        <w:rPr>
          <w:rFonts w:ascii="Arial" w:hAnsi="Arial" w:cs="Arial"/>
        </w:rPr>
        <w:t>w</w:t>
      </w:r>
      <w:r w:rsidR="008874EF">
        <w:rPr>
          <w:rFonts w:ascii="Arial" w:hAnsi="Arial" w:cs="Arial"/>
        </w:rPr>
        <w:t> </w:t>
      </w:r>
      <w:r w:rsidRPr="00BD6E71">
        <w:rPr>
          <w:rFonts w:ascii="Arial" w:hAnsi="Arial" w:cs="Arial"/>
        </w:rPr>
        <w:t>uzgodnieniu z MRiRW) uwypuklająca znaczenie poszczególnych obszarów kontroli. Za najważniejszy obszar nieprawidłowości uznano użycie ś.o.r. niedopuszczonego do obrotu (waga 0,3), a za najmniej istotne posiadanie aktualnego zaświadczenia potwierdzającego ukończenie szkolenia oraz nieprawidłowości w</w:t>
      </w:r>
      <w:r>
        <w:rPr>
          <w:rFonts w:ascii="Arial" w:hAnsi="Arial" w:cs="Arial"/>
        </w:rPr>
        <w:t> </w:t>
      </w:r>
      <w:r w:rsidRPr="00BD6E71">
        <w:rPr>
          <w:rFonts w:ascii="Arial" w:hAnsi="Arial" w:cs="Arial"/>
        </w:rPr>
        <w:t>dokumentacji dotyczącej stosowania ś.o.r. (waga po 0,05 dla każdego z tych obszarów).</w:t>
      </w:r>
    </w:p>
    <w:p w14:paraId="6A8ABE83" w14:textId="77777777" w:rsidR="00D67E82" w:rsidRDefault="00D67E82" w:rsidP="00D67E82">
      <w:pPr>
        <w:pStyle w:val="NormalnyWeb"/>
        <w:tabs>
          <w:tab w:val="left" w:pos="284"/>
        </w:tabs>
        <w:spacing w:beforeAutospacing="0" w:after="120" w:afterAutospacing="0" w:line="360" w:lineRule="auto"/>
        <w:ind w:firstLine="284"/>
        <w:jc w:val="both"/>
        <w:rPr>
          <w:rFonts w:ascii="Arial" w:hAnsi="Arial" w:cs="Arial"/>
        </w:rPr>
      </w:pPr>
      <w:r w:rsidRPr="00BD6E71">
        <w:rPr>
          <w:rFonts w:ascii="Arial" w:hAnsi="Arial" w:cs="Arial"/>
        </w:rPr>
        <w:t xml:space="preserve">W 2022 </w:t>
      </w:r>
      <w:r>
        <w:rPr>
          <w:rFonts w:ascii="Arial" w:hAnsi="Arial" w:cs="Arial"/>
        </w:rPr>
        <w:t xml:space="preserve">r. </w:t>
      </w:r>
      <w:r w:rsidRPr="00BD6E71">
        <w:rPr>
          <w:rFonts w:ascii="Arial" w:hAnsi="Arial" w:cs="Arial"/>
        </w:rPr>
        <w:t xml:space="preserve">nastąpił minimalny wzrost wartości wskaźnika WS.Kontrola z 1,358% do 1,369%. </w:t>
      </w:r>
      <w:r>
        <w:rPr>
          <w:rFonts w:ascii="Arial" w:hAnsi="Arial" w:cs="Arial"/>
        </w:rPr>
        <w:t xml:space="preserve">Wartość wskaźnika pozostaje jednak poniżej wartości docelowej – tj. 1,5%. Tym samym cele krajowego planu działania zostały osiągnięte. </w:t>
      </w:r>
    </w:p>
    <w:p w14:paraId="0BBBD729" w14:textId="412D3E31" w:rsidR="002F489B" w:rsidRPr="00217DEF" w:rsidRDefault="002F489B" w:rsidP="00217DEF">
      <w:pPr>
        <w:spacing w:before="120" w:after="120"/>
        <w:rPr>
          <w:rFonts w:ascii="Arial" w:hAnsi="Arial" w:cs="Arial"/>
          <w:i/>
          <w:sz w:val="20"/>
          <w:szCs w:val="20"/>
        </w:rPr>
      </w:pPr>
      <w:r w:rsidRPr="00217DEF">
        <w:rPr>
          <w:rFonts w:ascii="Arial" w:hAnsi="Arial" w:cs="Arial"/>
          <w:i/>
          <w:sz w:val="20"/>
          <w:szCs w:val="20"/>
        </w:rPr>
        <w:lastRenderedPageBreak/>
        <w:t xml:space="preserve">Rys. </w:t>
      </w:r>
      <w:r w:rsidR="001837AA">
        <w:rPr>
          <w:rFonts w:ascii="Arial" w:hAnsi="Arial" w:cs="Arial"/>
          <w:i/>
          <w:sz w:val="20"/>
          <w:szCs w:val="20"/>
        </w:rPr>
        <w:t>1</w:t>
      </w:r>
      <w:r w:rsidRPr="00217DEF">
        <w:rPr>
          <w:rFonts w:ascii="Arial" w:hAnsi="Arial" w:cs="Arial"/>
          <w:i/>
          <w:sz w:val="20"/>
          <w:szCs w:val="20"/>
        </w:rPr>
        <w:t>. Wyniki obliczeń wskaźnika W</w:t>
      </w:r>
      <w:r w:rsidRPr="00217DEF">
        <w:rPr>
          <w:rFonts w:ascii="Arial" w:hAnsi="Arial" w:cs="Arial"/>
          <w:i/>
          <w:sz w:val="20"/>
          <w:szCs w:val="20"/>
          <w:vertAlign w:val="subscript"/>
        </w:rPr>
        <w:t xml:space="preserve">S.Kontrola </w:t>
      </w:r>
      <w:r w:rsidRPr="00217DEF">
        <w:rPr>
          <w:rFonts w:ascii="Arial" w:hAnsi="Arial" w:cs="Arial"/>
          <w:i/>
          <w:sz w:val="20"/>
          <w:szCs w:val="20"/>
        </w:rPr>
        <w:t>[%]</w:t>
      </w:r>
      <w:r w:rsidRPr="00217DEF">
        <w:rPr>
          <w:rFonts w:ascii="Arial" w:hAnsi="Arial" w:cs="Arial"/>
          <w:i/>
          <w:sz w:val="20"/>
          <w:szCs w:val="20"/>
          <w:vertAlign w:val="subscript"/>
        </w:rPr>
        <w:t xml:space="preserve"> </w:t>
      </w:r>
      <w:r w:rsidRPr="00217DEF">
        <w:rPr>
          <w:rFonts w:ascii="Arial" w:hAnsi="Arial" w:cs="Arial"/>
          <w:i/>
          <w:sz w:val="20"/>
          <w:szCs w:val="20"/>
        </w:rPr>
        <w:t>w latach 2015-2022</w:t>
      </w:r>
    </w:p>
    <w:p w14:paraId="4039E582" w14:textId="5350361F" w:rsidR="002F489B" w:rsidRDefault="00A25731" w:rsidP="002F489B">
      <w:pPr>
        <w:spacing w:after="0"/>
        <w:jc w:val="center"/>
        <w:rPr>
          <w:rFonts w:eastAsia="Lucida Sans Unicode" w:cs="F"/>
          <w:kern w:val="3"/>
          <w:highlight w:val="yellow"/>
        </w:rPr>
      </w:pPr>
      <w:r>
        <w:rPr>
          <w:noProof/>
          <w:lang w:eastAsia="pl-PL"/>
        </w:rPr>
        <mc:AlternateContent>
          <mc:Choice Requires="wpg">
            <w:drawing>
              <wp:anchor distT="0" distB="0" distL="114300" distR="114300" simplePos="0" relativeHeight="251661312" behindDoc="0" locked="0" layoutInCell="1" allowOverlap="1" wp14:anchorId="4739306F" wp14:editId="268094B9">
                <wp:simplePos x="0" y="0"/>
                <wp:positionH relativeFrom="column">
                  <wp:posOffset>596496</wp:posOffset>
                </wp:positionH>
                <wp:positionV relativeFrom="paragraph">
                  <wp:posOffset>91399</wp:posOffset>
                </wp:positionV>
                <wp:extent cx="5029200" cy="629359"/>
                <wp:effectExtent l="0" t="0" r="19050" b="37465"/>
                <wp:wrapNone/>
                <wp:docPr id="29" name="Grupa 29"/>
                <wp:cNvGraphicFramePr/>
                <a:graphic xmlns:a="http://schemas.openxmlformats.org/drawingml/2006/main">
                  <a:graphicData uri="http://schemas.microsoft.com/office/word/2010/wordprocessingGroup">
                    <wpg:wgp>
                      <wpg:cNvGrpSpPr/>
                      <wpg:grpSpPr>
                        <a:xfrm>
                          <a:off x="0" y="0"/>
                          <a:ext cx="5029200" cy="629359"/>
                          <a:chOff x="0" y="0"/>
                          <a:chExt cx="5029200" cy="629359"/>
                        </a:xfrm>
                      </wpg:grpSpPr>
                      <wps:wsp>
                        <wps:cNvPr id="23" name="Łącznik prosty 23"/>
                        <wps:cNvCnPr/>
                        <wps:spPr>
                          <a:xfrm flipV="1">
                            <a:off x="0" y="605641"/>
                            <a:ext cx="5029200" cy="2371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Objaśnienie liniowe 1 27"/>
                        <wps:cNvSpPr/>
                        <wps:spPr>
                          <a:xfrm>
                            <a:off x="855023" y="0"/>
                            <a:ext cx="1483995" cy="266700"/>
                          </a:xfrm>
                          <a:prstGeom prst="borderCallout1">
                            <a:avLst>
                              <a:gd name="adj1" fmla="val 52145"/>
                              <a:gd name="adj2" fmla="val -331"/>
                              <a:gd name="adj3" fmla="val 235245"/>
                              <a:gd name="adj4" fmla="val -56929"/>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A22577" w14:textId="77777777" w:rsidR="00D67E82" w:rsidRPr="00E03CB1" w:rsidRDefault="00D67E82" w:rsidP="00D67E82">
                              <w:pPr>
                                <w:jc w:val="center"/>
                                <w:rPr>
                                  <w:color w:val="1F497D" w:themeColor="text2"/>
                                  <w:sz w:val="16"/>
                                  <w:szCs w:val="16"/>
                                </w:rPr>
                              </w:pPr>
                              <w:r w:rsidRPr="00E03CB1">
                                <w:rPr>
                                  <w:color w:val="1F497D" w:themeColor="text2"/>
                                  <w:sz w:val="16"/>
                                  <w:szCs w:val="16"/>
                                </w:rPr>
                                <w:t>Docelowa wartość wskaźnika</w:t>
                              </w:r>
                            </w:p>
                            <w:p w14:paraId="7E2C5DE3" w14:textId="77777777" w:rsidR="00D67E82" w:rsidRDefault="00D67E82" w:rsidP="003D18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39306F" id="Grupa 29" o:spid="_x0000_s1026" style="position:absolute;left:0;text-align:left;margin-left:46.95pt;margin-top:7.2pt;width:396pt;height:49.55pt;z-index:251661312" coordsize="50292,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">
                <v:line id="Łącznik prosty 23" o:spid="_x0000_s1027" style="position:absolute;flip:y;visibility:visible;mso-wrap-style:square" from="0,6056" to="50292,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" strokecolor="#4579b8 [3044]"/>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Objaśnienie liniowe 1 27" o:spid="_x0000_s1028" type="#_x0000_t47" style="position:absolute;left:8550;width:1484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" adj="-12297,50813,-71,11263" fillcolor="white [3212]" strokecolor="#243f60 [1604]" strokeweight="2pt">
                  <v:textbox>
                    <w:txbxContent>
                      <w:p w14:paraId="4EA22577" w14:textId="77777777" w:rsidR="00D67E82" w:rsidRPr="00E03CB1" w:rsidRDefault="00D67E82" w:rsidP="00D67E82">
                        <w:pPr>
                          <w:jc w:val="center"/>
                          <w:rPr>
                            <w:color w:val="1F497D" w:themeColor="text2"/>
                            <w:sz w:val="16"/>
                            <w:szCs w:val="16"/>
                          </w:rPr>
                        </w:pPr>
                        <w:r w:rsidRPr="00E03CB1">
                          <w:rPr>
                            <w:color w:val="1F497D" w:themeColor="text2"/>
                            <w:sz w:val="16"/>
                            <w:szCs w:val="16"/>
                          </w:rPr>
                          <w:t>Docelowa wartość wskaźnika</w:t>
                        </w:r>
                      </w:p>
                      <w:p w14:paraId="7E2C5DE3" w14:textId="77777777" w:rsidR="00D67E82" w:rsidRDefault="00D67E82" w:rsidP="003D187F">
                        <w:pPr>
                          <w:jc w:val="center"/>
                        </w:pPr>
                      </w:p>
                    </w:txbxContent>
                  </v:textbox>
                  <o:callout v:ext="edit" minusy="t"/>
                </v:shape>
              </v:group>
            </w:pict>
          </mc:Fallback>
        </mc:AlternateContent>
      </w:r>
      <w:r w:rsidR="002F489B">
        <w:rPr>
          <w:noProof/>
          <w:lang w:eastAsia="pl-PL"/>
        </w:rPr>
        <w:drawing>
          <wp:inline distT="0" distB="0" distL="0" distR="0" wp14:anchorId="19EAB95C" wp14:editId="5E968F4E">
            <wp:extent cx="5701086" cy="2711395"/>
            <wp:effectExtent l="0" t="0" r="13970" b="13335"/>
            <wp:docPr id="1888601176" name="Wykres 1888601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A003FB1" w14:textId="6210D21C" w:rsidR="002F489B" w:rsidRDefault="002F489B" w:rsidP="002F489B">
      <w:pPr>
        <w:spacing w:after="0"/>
        <w:jc w:val="center"/>
        <w:rPr>
          <w:rFonts w:eastAsia="Lucida Sans Unicode" w:cs="F"/>
          <w:kern w:val="3"/>
          <w:highlight w:val="yellow"/>
        </w:rPr>
      </w:pPr>
    </w:p>
    <w:p w14:paraId="2982A56C" w14:textId="0AE7E634" w:rsidR="002F489B" w:rsidRDefault="00D67E82" w:rsidP="00C97889">
      <w:pPr>
        <w:spacing w:before="120" w:after="120" w:line="360" w:lineRule="auto"/>
        <w:jc w:val="both"/>
        <w:rPr>
          <w:rFonts w:ascii="Arial" w:hAnsi="Arial" w:cs="Arial"/>
          <w:b/>
          <w:sz w:val="20"/>
          <w:szCs w:val="20"/>
        </w:rPr>
      </w:pPr>
      <w:r>
        <w:rPr>
          <w:rFonts w:ascii="Arial" w:hAnsi="Arial" w:cs="Arial"/>
          <w:b/>
          <w:sz w:val="20"/>
          <w:szCs w:val="20"/>
        </w:rPr>
        <w:t>2</w:t>
      </w:r>
      <w:r w:rsidR="002F489B" w:rsidRPr="00C97889">
        <w:rPr>
          <w:rFonts w:ascii="Arial" w:hAnsi="Arial" w:cs="Arial"/>
          <w:b/>
          <w:sz w:val="20"/>
          <w:szCs w:val="20"/>
        </w:rPr>
        <w:t>. Zharmonizowany wskaźnika ryzyka HRI nr 1 (HRI1) – lata 2011-2021</w:t>
      </w:r>
      <w:r w:rsidR="007B3031">
        <w:rPr>
          <w:rFonts w:ascii="Arial" w:hAnsi="Arial" w:cs="Arial"/>
          <w:b/>
          <w:sz w:val="20"/>
          <w:szCs w:val="20"/>
        </w:rPr>
        <w:t xml:space="preserve"> (obliczenia na poziomie Unii Europejskiej)</w:t>
      </w:r>
    </w:p>
    <w:p w14:paraId="0B9F2AFB" w14:textId="20513B13" w:rsidR="00716B54" w:rsidRPr="00713601" w:rsidRDefault="00716B54" w:rsidP="009F0218">
      <w:pPr>
        <w:pStyle w:val="NormalnyWeb"/>
        <w:tabs>
          <w:tab w:val="left" w:pos="284"/>
        </w:tabs>
        <w:spacing w:beforeAutospacing="0" w:after="120" w:afterAutospacing="0" w:line="360" w:lineRule="auto"/>
        <w:ind w:firstLine="284"/>
        <w:jc w:val="both"/>
        <w:rPr>
          <w:rFonts w:ascii="Arial" w:hAnsi="Arial" w:cs="Arial"/>
          <w:b/>
        </w:rPr>
      </w:pPr>
      <w:r w:rsidRPr="009F0218">
        <w:rPr>
          <w:rFonts w:ascii="Arial" w:hAnsi="Arial" w:cs="Arial"/>
        </w:rPr>
        <w:t>Postanowienia dyrektywy Parlamentu Europejskiego i Rady 2009/128/WE z dnia 21 października 2009 r. ustanawiającej ramy wspólnotowego działania na rzecz zrównoważonego stosowania pestycydów</w:t>
      </w:r>
      <w:r>
        <w:rPr>
          <w:rFonts w:ascii="Arial" w:hAnsi="Arial" w:cs="Arial"/>
        </w:rPr>
        <w:t xml:space="preserve"> określiły zharmonizowane wskaźniki ryzyka, obliczane dla wszystkich państw członkowskich Unii Europejskiej. </w:t>
      </w:r>
      <w:r w:rsidRPr="009F0218">
        <w:rPr>
          <w:rFonts w:ascii="Arial" w:hAnsi="Arial" w:cs="Arial"/>
        </w:rPr>
        <w:t xml:space="preserve">Szczegółowe zasady obliczania tych wskaźników zostały określone </w:t>
      </w:r>
      <w:r w:rsidR="00E23BB7" w:rsidRPr="009F0218">
        <w:rPr>
          <w:rFonts w:ascii="Arial" w:hAnsi="Arial" w:cs="Arial"/>
        </w:rPr>
        <w:t>w</w:t>
      </w:r>
      <w:r w:rsidR="00E23BB7">
        <w:rPr>
          <w:rFonts w:ascii="Arial" w:hAnsi="Arial" w:cs="Arial"/>
        </w:rPr>
        <w:t> </w:t>
      </w:r>
      <w:r w:rsidRPr="009F0218">
        <w:rPr>
          <w:rFonts w:ascii="Arial" w:hAnsi="Arial" w:cs="Arial"/>
        </w:rPr>
        <w:t>załączniku IV do dyrektywy 2009/128/WE.</w:t>
      </w:r>
      <w:r>
        <w:rPr>
          <w:rFonts w:ascii="Arial" w:hAnsi="Arial" w:cs="Arial"/>
        </w:rPr>
        <w:t xml:space="preserve"> Dla niniejszej analizy znaczenie ma wskaźnik </w:t>
      </w:r>
      <w:r w:rsidRPr="009F0218">
        <w:rPr>
          <w:rFonts w:ascii="Arial" w:hAnsi="Arial" w:cs="Arial"/>
        </w:rPr>
        <w:t>HRI1.</w:t>
      </w:r>
    </w:p>
    <w:p w14:paraId="6EDF3131" w14:textId="01925575" w:rsidR="00716B54" w:rsidRPr="009F0218" w:rsidRDefault="00716B54" w:rsidP="009F0218">
      <w:pPr>
        <w:pStyle w:val="NormalnyWeb"/>
        <w:tabs>
          <w:tab w:val="left" w:pos="284"/>
        </w:tabs>
        <w:spacing w:beforeAutospacing="0" w:after="120" w:afterAutospacing="0" w:line="360" w:lineRule="auto"/>
        <w:ind w:firstLine="284"/>
        <w:jc w:val="both"/>
        <w:rPr>
          <w:rFonts w:ascii="Arial" w:hAnsi="Arial" w:cs="Arial"/>
        </w:rPr>
      </w:pPr>
      <w:r w:rsidRPr="009F0218">
        <w:rPr>
          <w:rFonts w:ascii="Arial" w:hAnsi="Arial" w:cs="Arial"/>
        </w:rPr>
        <w:t>Zharmonizowany wskaźnik ryzyka HRI1 oparty jest na wielkości sprzedaży środków ochrony roślin zawierających substancje czynne należące do określonych w dyrektywie 2009/128/WE grup charakteryzujących się różnym poziomem potencjalnego zagrożenia i którym przypisane zostały różne wskaźniki korygujące.</w:t>
      </w:r>
    </w:p>
    <w:p w14:paraId="5C7E3BF3" w14:textId="7BB18112" w:rsidR="00716B54" w:rsidRPr="00D97FC0" w:rsidRDefault="00EE21C5" w:rsidP="00D97FC0">
      <w:pPr>
        <w:spacing w:before="120" w:after="120"/>
        <w:rPr>
          <w:rFonts w:ascii="Arial" w:hAnsi="Arial" w:cs="Arial"/>
          <w:i/>
          <w:sz w:val="20"/>
          <w:szCs w:val="20"/>
        </w:rPr>
      </w:pPr>
      <w:r w:rsidRPr="00EE21C5">
        <w:rPr>
          <w:rFonts w:ascii="Arial" w:hAnsi="Arial" w:cs="Arial"/>
          <w:i/>
          <w:sz w:val="20"/>
          <w:szCs w:val="20"/>
        </w:rPr>
        <w:t>Tabela</w:t>
      </w:r>
      <w:r w:rsidR="00716B54" w:rsidRPr="00D97FC0">
        <w:rPr>
          <w:rFonts w:ascii="Arial" w:hAnsi="Arial" w:cs="Arial"/>
          <w:i/>
          <w:sz w:val="20"/>
          <w:szCs w:val="20"/>
        </w:rPr>
        <w:t>. 1 Kategoryzacja substancji czynnych i wskaźniki korygujące zagrożenia do celów obliczania zharmonizowanego wskaźnika ryzyka 1 (HRI1)</w:t>
      </w:r>
    </w:p>
    <w:p w14:paraId="0D089E10" w14:textId="63A2DB79" w:rsidR="00716B54" w:rsidRDefault="00716B54" w:rsidP="00C97889">
      <w:pPr>
        <w:spacing w:before="120" w:after="120" w:line="360" w:lineRule="auto"/>
        <w:jc w:val="both"/>
        <w:rPr>
          <w:rFonts w:ascii="Arial" w:hAnsi="Arial" w:cs="Arial"/>
          <w:b/>
          <w:sz w:val="20"/>
          <w:szCs w:val="20"/>
        </w:rPr>
      </w:pPr>
      <w:r>
        <w:rPr>
          <w:noProof/>
          <w:lang w:eastAsia="pl-PL"/>
        </w:rPr>
        <w:drawing>
          <wp:inline distT="0" distB="0" distL="0" distR="0" wp14:anchorId="79CA932F" wp14:editId="41162BA0">
            <wp:extent cx="5530993" cy="2456953"/>
            <wp:effectExtent l="0" t="0" r="0" b="635"/>
            <wp:docPr id="1888601153" name="Obraz 188860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4656" t="19587" r="10637" b="43394"/>
                    <a:stretch/>
                  </pic:blipFill>
                  <pic:spPr bwMode="auto">
                    <a:xfrm>
                      <a:off x="0" y="0"/>
                      <a:ext cx="5728985" cy="2544904"/>
                    </a:xfrm>
                    <a:prstGeom prst="rect">
                      <a:avLst/>
                    </a:prstGeom>
                    <a:ln>
                      <a:noFill/>
                    </a:ln>
                    <a:extLst>
                      <a:ext uri="{53640926-AAD7-44D8-BBD7-CCE9431645EC}">
                        <a14:shadowObscured xmlns:a14="http://schemas.microsoft.com/office/drawing/2010/main"/>
                      </a:ext>
                    </a:extLst>
                  </pic:spPr>
                </pic:pic>
              </a:graphicData>
            </a:graphic>
          </wp:inline>
        </w:drawing>
      </w:r>
    </w:p>
    <w:p w14:paraId="1410FB80" w14:textId="2F5178B0" w:rsidR="002F489B" w:rsidRDefault="002F489B" w:rsidP="00C97889">
      <w:pPr>
        <w:pStyle w:val="NormalnyWeb"/>
        <w:tabs>
          <w:tab w:val="left" w:pos="284"/>
        </w:tabs>
        <w:spacing w:beforeAutospacing="0" w:after="120" w:afterAutospacing="0" w:line="360" w:lineRule="auto"/>
        <w:ind w:firstLine="284"/>
        <w:jc w:val="both"/>
        <w:rPr>
          <w:rFonts w:ascii="Arial" w:hAnsi="Arial" w:cs="Arial"/>
        </w:rPr>
      </w:pPr>
      <w:r w:rsidRPr="00C97889">
        <w:rPr>
          <w:rFonts w:ascii="Arial" w:hAnsi="Arial" w:cs="Arial"/>
        </w:rPr>
        <w:lastRenderedPageBreak/>
        <w:t xml:space="preserve">Zharmonizowany wskaźnik ryzyka pestycydowego HRI1 według swojej definicji ma pokazywać trend zmiany wielkości i struktury sprzedaży środków ochrony roślin w odniesieniu do okresu bazowego 2011-2013. W tabeli </w:t>
      </w:r>
      <w:r w:rsidR="00F442C7">
        <w:rPr>
          <w:rFonts w:ascii="Arial" w:hAnsi="Arial" w:cs="Arial"/>
        </w:rPr>
        <w:t>2</w:t>
      </w:r>
      <w:r w:rsidRPr="00C97889">
        <w:rPr>
          <w:rFonts w:ascii="Arial" w:hAnsi="Arial" w:cs="Arial"/>
        </w:rPr>
        <w:t xml:space="preserve"> i na rysunku </w:t>
      </w:r>
      <w:r w:rsidR="00912236">
        <w:rPr>
          <w:rFonts w:ascii="Arial" w:hAnsi="Arial" w:cs="Arial"/>
        </w:rPr>
        <w:t>2</w:t>
      </w:r>
      <w:r w:rsidRPr="00C97889">
        <w:rPr>
          <w:rFonts w:ascii="Arial" w:hAnsi="Arial" w:cs="Arial"/>
        </w:rPr>
        <w:t xml:space="preserve"> zaprezentowano opublikowane przez Komisję Europejską wyliczenia wskaźnika HRI1 według klasyfikacji substancji z 2021</w:t>
      </w:r>
      <w:r w:rsidR="00C97889">
        <w:rPr>
          <w:rFonts w:ascii="Arial" w:hAnsi="Arial" w:cs="Arial"/>
        </w:rPr>
        <w:t xml:space="preserve"> r</w:t>
      </w:r>
      <w:r w:rsidRPr="00C97889">
        <w:rPr>
          <w:rFonts w:ascii="Arial" w:hAnsi="Arial" w:cs="Arial"/>
        </w:rPr>
        <w:t xml:space="preserve">. Wartość wskaźnika dla Polski w 2021 </w:t>
      </w:r>
      <w:r w:rsidR="00C97889">
        <w:rPr>
          <w:rFonts w:ascii="Arial" w:hAnsi="Arial" w:cs="Arial"/>
        </w:rPr>
        <w:t xml:space="preserve">r. </w:t>
      </w:r>
      <w:r w:rsidRPr="00C97889">
        <w:rPr>
          <w:rFonts w:ascii="Arial" w:hAnsi="Arial" w:cs="Arial"/>
        </w:rPr>
        <w:t>wynosi 67.</w:t>
      </w:r>
    </w:p>
    <w:p w14:paraId="6A8D1A1D" w14:textId="550D5130" w:rsidR="002F489B" w:rsidRPr="0053095E" w:rsidRDefault="002F489B" w:rsidP="0053095E">
      <w:pPr>
        <w:spacing w:before="120" w:after="120" w:line="240" w:lineRule="auto"/>
        <w:ind w:left="993" w:hanging="993"/>
        <w:rPr>
          <w:rFonts w:ascii="Arial" w:hAnsi="Arial" w:cs="Arial"/>
          <w:i/>
          <w:sz w:val="20"/>
          <w:szCs w:val="20"/>
        </w:rPr>
      </w:pPr>
      <w:r w:rsidRPr="0053095E">
        <w:rPr>
          <w:rFonts w:ascii="Arial" w:hAnsi="Arial" w:cs="Arial"/>
          <w:i/>
          <w:sz w:val="20"/>
          <w:szCs w:val="20"/>
        </w:rPr>
        <w:t xml:space="preserve">Tabela </w:t>
      </w:r>
      <w:r w:rsidR="00D97FC0">
        <w:rPr>
          <w:rFonts w:ascii="Arial" w:hAnsi="Arial" w:cs="Arial"/>
          <w:i/>
          <w:sz w:val="20"/>
          <w:szCs w:val="20"/>
        </w:rPr>
        <w:t>2</w:t>
      </w:r>
      <w:r w:rsidRPr="0053095E">
        <w:rPr>
          <w:rFonts w:ascii="Arial" w:hAnsi="Arial" w:cs="Arial"/>
          <w:i/>
          <w:sz w:val="20"/>
          <w:szCs w:val="20"/>
        </w:rPr>
        <w:t>. Zharmonizowany wskaźnik ryzyka pestycydowego HRI1 – lata 2014-2021</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3"/>
        <w:gridCol w:w="1141"/>
        <w:gridCol w:w="784"/>
        <w:gridCol w:w="785"/>
        <w:gridCol w:w="784"/>
        <w:gridCol w:w="785"/>
        <w:gridCol w:w="785"/>
        <w:gridCol w:w="784"/>
        <w:gridCol w:w="785"/>
        <w:gridCol w:w="785"/>
      </w:tblGrid>
      <w:tr w:rsidR="002F489B" w:rsidRPr="00F934D9" w14:paraId="26C2E015" w14:textId="77777777" w:rsidTr="00886F19">
        <w:trPr>
          <w:trHeight w:val="294"/>
        </w:trPr>
        <w:tc>
          <w:tcPr>
            <w:tcW w:w="1783" w:type="dxa"/>
            <w:shd w:val="clear" w:color="auto" w:fill="auto"/>
            <w:noWrap/>
            <w:vAlign w:val="center"/>
            <w:hideMark/>
          </w:tcPr>
          <w:p w14:paraId="422FC8B7" w14:textId="77777777" w:rsidR="002F489B" w:rsidRPr="0053095E" w:rsidRDefault="002F489B" w:rsidP="00F841F4">
            <w:pPr>
              <w:spacing w:after="0" w:line="240" w:lineRule="auto"/>
              <w:jc w:val="both"/>
              <w:rPr>
                <w:rFonts w:ascii="Arial" w:eastAsia="Times New Roman" w:hAnsi="Arial" w:cs="Arial"/>
                <w:bCs/>
                <w:sz w:val="20"/>
                <w:szCs w:val="20"/>
                <w:lang w:eastAsia="pl-PL"/>
              </w:rPr>
            </w:pPr>
          </w:p>
        </w:tc>
        <w:tc>
          <w:tcPr>
            <w:tcW w:w="1141" w:type="dxa"/>
            <w:shd w:val="clear" w:color="auto" w:fill="auto"/>
            <w:noWrap/>
            <w:vAlign w:val="center"/>
            <w:hideMark/>
          </w:tcPr>
          <w:p w14:paraId="3E33E9D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2011-2013</w:t>
            </w:r>
          </w:p>
        </w:tc>
        <w:tc>
          <w:tcPr>
            <w:tcW w:w="784" w:type="dxa"/>
            <w:vAlign w:val="center"/>
          </w:tcPr>
          <w:p w14:paraId="689E193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2014</w:t>
            </w:r>
          </w:p>
        </w:tc>
        <w:tc>
          <w:tcPr>
            <w:tcW w:w="785" w:type="dxa"/>
            <w:vAlign w:val="center"/>
          </w:tcPr>
          <w:p w14:paraId="143A63D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2015</w:t>
            </w:r>
          </w:p>
        </w:tc>
        <w:tc>
          <w:tcPr>
            <w:tcW w:w="784" w:type="dxa"/>
            <w:vAlign w:val="center"/>
          </w:tcPr>
          <w:p w14:paraId="1F14270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2016</w:t>
            </w:r>
          </w:p>
        </w:tc>
        <w:tc>
          <w:tcPr>
            <w:tcW w:w="785" w:type="dxa"/>
            <w:vAlign w:val="center"/>
          </w:tcPr>
          <w:p w14:paraId="632A638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2017</w:t>
            </w:r>
          </w:p>
        </w:tc>
        <w:tc>
          <w:tcPr>
            <w:tcW w:w="785" w:type="dxa"/>
            <w:vAlign w:val="center"/>
          </w:tcPr>
          <w:p w14:paraId="6C38208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2018</w:t>
            </w:r>
          </w:p>
        </w:tc>
        <w:tc>
          <w:tcPr>
            <w:tcW w:w="784" w:type="dxa"/>
            <w:vAlign w:val="center"/>
          </w:tcPr>
          <w:p w14:paraId="4044E4F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2019</w:t>
            </w:r>
          </w:p>
        </w:tc>
        <w:tc>
          <w:tcPr>
            <w:tcW w:w="785" w:type="dxa"/>
            <w:vAlign w:val="center"/>
          </w:tcPr>
          <w:p w14:paraId="2E1180D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2020</w:t>
            </w:r>
          </w:p>
        </w:tc>
        <w:tc>
          <w:tcPr>
            <w:tcW w:w="785" w:type="dxa"/>
            <w:shd w:val="clear" w:color="auto" w:fill="auto"/>
            <w:noWrap/>
            <w:vAlign w:val="center"/>
          </w:tcPr>
          <w:p w14:paraId="7087D9F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2021</w:t>
            </w:r>
          </w:p>
        </w:tc>
      </w:tr>
      <w:tr w:rsidR="002F489B" w:rsidRPr="00F934D9" w14:paraId="234E94E3" w14:textId="77777777" w:rsidTr="00886F19">
        <w:trPr>
          <w:trHeight w:val="294"/>
        </w:trPr>
        <w:tc>
          <w:tcPr>
            <w:tcW w:w="1783" w:type="dxa"/>
            <w:shd w:val="clear" w:color="auto" w:fill="auto"/>
            <w:noWrap/>
            <w:vAlign w:val="center"/>
            <w:hideMark/>
          </w:tcPr>
          <w:p w14:paraId="1D1B5462"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Unia Europejska</w:t>
            </w:r>
          </w:p>
        </w:tc>
        <w:tc>
          <w:tcPr>
            <w:tcW w:w="1141" w:type="dxa"/>
            <w:shd w:val="clear" w:color="auto" w:fill="auto"/>
            <w:noWrap/>
            <w:vAlign w:val="center"/>
          </w:tcPr>
          <w:p w14:paraId="3C80E36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37A0E24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97</w:t>
            </w:r>
          </w:p>
        </w:tc>
        <w:tc>
          <w:tcPr>
            <w:tcW w:w="785" w:type="dxa"/>
            <w:vAlign w:val="center"/>
          </w:tcPr>
          <w:p w14:paraId="32157AF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99</w:t>
            </w:r>
          </w:p>
        </w:tc>
        <w:tc>
          <w:tcPr>
            <w:tcW w:w="784" w:type="dxa"/>
            <w:vAlign w:val="center"/>
          </w:tcPr>
          <w:p w14:paraId="7D1A050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94</w:t>
            </w:r>
          </w:p>
        </w:tc>
        <w:tc>
          <w:tcPr>
            <w:tcW w:w="785" w:type="dxa"/>
            <w:vAlign w:val="center"/>
          </w:tcPr>
          <w:p w14:paraId="6A40C8F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86</w:t>
            </w:r>
          </w:p>
        </w:tc>
        <w:tc>
          <w:tcPr>
            <w:tcW w:w="785" w:type="dxa"/>
            <w:vAlign w:val="center"/>
          </w:tcPr>
          <w:p w14:paraId="5269C44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86</w:t>
            </w:r>
          </w:p>
        </w:tc>
        <w:tc>
          <w:tcPr>
            <w:tcW w:w="784" w:type="dxa"/>
            <w:vAlign w:val="center"/>
          </w:tcPr>
          <w:p w14:paraId="3E9AD15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79</w:t>
            </w:r>
          </w:p>
        </w:tc>
        <w:tc>
          <w:tcPr>
            <w:tcW w:w="785" w:type="dxa"/>
            <w:vAlign w:val="center"/>
          </w:tcPr>
          <w:p w14:paraId="545F089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c>
          <w:tcPr>
            <w:tcW w:w="785" w:type="dxa"/>
            <w:shd w:val="clear" w:color="auto" w:fill="auto"/>
            <w:noWrap/>
            <w:vAlign w:val="center"/>
          </w:tcPr>
          <w:p w14:paraId="5CD99C5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62</w:t>
            </w:r>
          </w:p>
        </w:tc>
      </w:tr>
      <w:tr w:rsidR="002F489B" w:rsidRPr="00F934D9" w14:paraId="23B2AFE2" w14:textId="77777777" w:rsidTr="00886F19">
        <w:trPr>
          <w:trHeight w:val="294"/>
        </w:trPr>
        <w:tc>
          <w:tcPr>
            <w:tcW w:w="1783" w:type="dxa"/>
            <w:shd w:val="clear" w:color="auto" w:fill="auto"/>
            <w:noWrap/>
            <w:vAlign w:val="center"/>
            <w:hideMark/>
          </w:tcPr>
          <w:p w14:paraId="18B28A8E"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Austria</w:t>
            </w:r>
          </w:p>
        </w:tc>
        <w:tc>
          <w:tcPr>
            <w:tcW w:w="1141" w:type="dxa"/>
            <w:shd w:val="clear" w:color="auto" w:fill="auto"/>
            <w:noWrap/>
            <w:vAlign w:val="center"/>
          </w:tcPr>
          <w:p w14:paraId="147A250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2CEA72C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95</w:t>
            </w:r>
          </w:p>
        </w:tc>
        <w:tc>
          <w:tcPr>
            <w:tcW w:w="785" w:type="dxa"/>
            <w:vAlign w:val="center"/>
          </w:tcPr>
          <w:p w14:paraId="394206D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99</w:t>
            </w:r>
          </w:p>
        </w:tc>
        <w:tc>
          <w:tcPr>
            <w:tcW w:w="784" w:type="dxa"/>
            <w:vAlign w:val="center"/>
          </w:tcPr>
          <w:p w14:paraId="350D826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111</w:t>
            </w:r>
          </w:p>
        </w:tc>
        <w:tc>
          <w:tcPr>
            <w:tcW w:w="785" w:type="dxa"/>
            <w:vAlign w:val="center"/>
          </w:tcPr>
          <w:p w14:paraId="6250A5D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116</w:t>
            </w:r>
          </w:p>
        </w:tc>
        <w:tc>
          <w:tcPr>
            <w:tcW w:w="785" w:type="dxa"/>
            <w:vAlign w:val="center"/>
          </w:tcPr>
          <w:p w14:paraId="4AF850E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125</w:t>
            </w:r>
          </w:p>
        </w:tc>
        <w:tc>
          <w:tcPr>
            <w:tcW w:w="784" w:type="dxa"/>
            <w:vAlign w:val="center"/>
          </w:tcPr>
          <w:p w14:paraId="33446F2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118</w:t>
            </w:r>
          </w:p>
        </w:tc>
        <w:tc>
          <w:tcPr>
            <w:tcW w:w="785" w:type="dxa"/>
            <w:vAlign w:val="center"/>
          </w:tcPr>
          <w:p w14:paraId="636A199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116</w:t>
            </w:r>
          </w:p>
        </w:tc>
        <w:tc>
          <w:tcPr>
            <w:tcW w:w="785" w:type="dxa"/>
            <w:shd w:val="clear" w:color="auto" w:fill="auto"/>
            <w:noWrap/>
            <w:vAlign w:val="center"/>
          </w:tcPr>
          <w:p w14:paraId="7863B20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124</w:t>
            </w:r>
          </w:p>
        </w:tc>
      </w:tr>
      <w:tr w:rsidR="002F489B" w:rsidRPr="00F934D9" w14:paraId="6707E276" w14:textId="77777777" w:rsidTr="00886F19">
        <w:trPr>
          <w:trHeight w:val="294"/>
        </w:trPr>
        <w:tc>
          <w:tcPr>
            <w:tcW w:w="1783" w:type="dxa"/>
            <w:shd w:val="clear" w:color="auto" w:fill="auto"/>
            <w:noWrap/>
            <w:vAlign w:val="center"/>
            <w:hideMark/>
          </w:tcPr>
          <w:p w14:paraId="1912410E"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Belgia</w:t>
            </w:r>
          </w:p>
        </w:tc>
        <w:tc>
          <w:tcPr>
            <w:tcW w:w="1141" w:type="dxa"/>
            <w:shd w:val="clear" w:color="auto" w:fill="auto"/>
            <w:noWrap/>
            <w:vAlign w:val="center"/>
          </w:tcPr>
          <w:p w14:paraId="6C56624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905B78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111</w:t>
            </w:r>
          </w:p>
        </w:tc>
        <w:tc>
          <w:tcPr>
            <w:tcW w:w="785" w:type="dxa"/>
            <w:vAlign w:val="center"/>
          </w:tcPr>
          <w:p w14:paraId="7B5E9F9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105</w:t>
            </w:r>
          </w:p>
        </w:tc>
        <w:tc>
          <w:tcPr>
            <w:tcW w:w="784" w:type="dxa"/>
            <w:vAlign w:val="center"/>
          </w:tcPr>
          <w:p w14:paraId="781E479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5" w:type="dxa"/>
            <w:vAlign w:val="center"/>
          </w:tcPr>
          <w:p w14:paraId="3CAE3C5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84</w:t>
            </w:r>
          </w:p>
        </w:tc>
        <w:tc>
          <w:tcPr>
            <w:tcW w:w="785" w:type="dxa"/>
            <w:vAlign w:val="center"/>
          </w:tcPr>
          <w:p w14:paraId="034E65A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85</w:t>
            </w:r>
          </w:p>
        </w:tc>
        <w:tc>
          <w:tcPr>
            <w:tcW w:w="784" w:type="dxa"/>
            <w:vAlign w:val="center"/>
          </w:tcPr>
          <w:p w14:paraId="719F3F9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66</w:t>
            </w:r>
          </w:p>
        </w:tc>
        <w:tc>
          <w:tcPr>
            <w:tcW w:w="785" w:type="dxa"/>
            <w:vAlign w:val="center"/>
          </w:tcPr>
          <w:p w14:paraId="05566D7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48</w:t>
            </w:r>
          </w:p>
        </w:tc>
        <w:tc>
          <w:tcPr>
            <w:tcW w:w="785" w:type="dxa"/>
            <w:shd w:val="clear" w:color="auto" w:fill="auto"/>
            <w:noWrap/>
            <w:vAlign w:val="center"/>
          </w:tcPr>
          <w:p w14:paraId="5FB2BCF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47</w:t>
            </w:r>
          </w:p>
        </w:tc>
      </w:tr>
      <w:tr w:rsidR="002F489B" w:rsidRPr="00F934D9" w14:paraId="4E50B93C" w14:textId="77777777" w:rsidTr="00886F19">
        <w:trPr>
          <w:trHeight w:val="294"/>
        </w:trPr>
        <w:tc>
          <w:tcPr>
            <w:tcW w:w="1783" w:type="dxa"/>
            <w:shd w:val="clear" w:color="auto" w:fill="auto"/>
            <w:noWrap/>
            <w:vAlign w:val="center"/>
            <w:hideMark/>
          </w:tcPr>
          <w:p w14:paraId="3487B271"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Bułgaria</w:t>
            </w:r>
          </w:p>
        </w:tc>
        <w:tc>
          <w:tcPr>
            <w:tcW w:w="1141" w:type="dxa"/>
            <w:shd w:val="clear" w:color="auto" w:fill="auto"/>
            <w:noWrap/>
            <w:vAlign w:val="center"/>
          </w:tcPr>
          <w:p w14:paraId="54D5704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B40CB0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23</w:t>
            </w:r>
          </w:p>
        </w:tc>
        <w:tc>
          <w:tcPr>
            <w:tcW w:w="785" w:type="dxa"/>
            <w:vAlign w:val="center"/>
          </w:tcPr>
          <w:p w14:paraId="1FB99BB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48</w:t>
            </w:r>
          </w:p>
        </w:tc>
        <w:tc>
          <w:tcPr>
            <w:tcW w:w="784" w:type="dxa"/>
            <w:vAlign w:val="center"/>
          </w:tcPr>
          <w:p w14:paraId="2E97A2F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5" w:type="dxa"/>
            <w:vAlign w:val="center"/>
          </w:tcPr>
          <w:p w14:paraId="0A5364E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82</w:t>
            </w:r>
          </w:p>
        </w:tc>
        <w:tc>
          <w:tcPr>
            <w:tcW w:w="785" w:type="dxa"/>
            <w:vAlign w:val="center"/>
          </w:tcPr>
          <w:p w14:paraId="3C539C5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142</w:t>
            </w:r>
          </w:p>
        </w:tc>
        <w:tc>
          <w:tcPr>
            <w:tcW w:w="784" w:type="dxa"/>
            <w:vAlign w:val="center"/>
          </w:tcPr>
          <w:p w14:paraId="6EA23B1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152</w:t>
            </w:r>
          </w:p>
        </w:tc>
        <w:tc>
          <w:tcPr>
            <w:tcW w:w="785" w:type="dxa"/>
            <w:vAlign w:val="center"/>
          </w:tcPr>
          <w:p w14:paraId="60C251C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84</w:t>
            </w:r>
          </w:p>
        </w:tc>
        <w:tc>
          <w:tcPr>
            <w:tcW w:w="785" w:type="dxa"/>
            <w:shd w:val="clear" w:color="auto" w:fill="auto"/>
            <w:noWrap/>
            <w:vAlign w:val="center"/>
          </w:tcPr>
          <w:p w14:paraId="19C8FAF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67</w:t>
            </w:r>
          </w:p>
        </w:tc>
      </w:tr>
      <w:tr w:rsidR="002F489B" w:rsidRPr="00F934D9" w14:paraId="42E151A1" w14:textId="77777777" w:rsidTr="00886F19">
        <w:trPr>
          <w:trHeight w:val="294"/>
        </w:trPr>
        <w:tc>
          <w:tcPr>
            <w:tcW w:w="1783" w:type="dxa"/>
            <w:shd w:val="clear" w:color="auto" w:fill="auto"/>
            <w:noWrap/>
            <w:vAlign w:val="center"/>
            <w:hideMark/>
          </w:tcPr>
          <w:p w14:paraId="09DF1508"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Chorwacja</w:t>
            </w:r>
          </w:p>
        </w:tc>
        <w:tc>
          <w:tcPr>
            <w:tcW w:w="1141" w:type="dxa"/>
            <w:shd w:val="clear" w:color="auto" w:fill="auto"/>
            <w:noWrap/>
            <w:vAlign w:val="center"/>
          </w:tcPr>
          <w:p w14:paraId="4E368C6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DB5239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97</w:t>
            </w:r>
          </w:p>
        </w:tc>
        <w:tc>
          <w:tcPr>
            <w:tcW w:w="785" w:type="dxa"/>
            <w:vAlign w:val="center"/>
          </w:tcPr>
          <w:p w14:paraId="4923E97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86</w:t>
            </w:r>
          </w:p>
        </w:tc>
        <w:tc>
          <w:tcPr>
            <w:tcW w:w="784" w:type="dxa"/>
            <w:vAlign w:val="center"/>
          </w:tcPr>
          <w:p w14:paraId="01C16E1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72</w:t>
            </w:r>
          </w:p>
        </w:tc>
        <w:tc>
          <w:tcPr>
            <w:tcW w:w="785" w:type="dxa"/>
            <w:vAlign w:val="center"/>
          </w:tcPr>
          <w:p w14:paraId="74A9A16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62</w:t>
            </w:r>
          </w:p>
        </w:tc>
        <w:tc>
          <w:tcPr>
            <w:tcW w:w="785" w:type="dxa"/>
            <w:vAlign w:val="center"/>
          </w:tcPr>
          <w:p w14:paraId="2AA2C57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65</w:t>
            </w:r>
          </w:p>
        </w:tc>
        <w:tc>
          <w:tcPr>
            <w:tcW w:w="784" w:type="dxa"/>
            <w:vAlign w:val="center"/>
          </w:tcPr>
          <w:p w14:paraId="417E422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59</w:t>
            </w:r>
          </w:p>
        </w:tc>
        <w:tc>
          <w:tcPr>
            <w:tcW w:w="785" w:type="dxa"/>
            <w:vAlign w:val="center"/>
          </w:tcPr>
          <w:p w14:paraId="23BD409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54</w:t>
            </w:r>
          </w:p>
        </w:tc>
        <w:tc>
          <w:tcPr>
            <w:tcW w:w="785" w:type="dxa"/>
            <w:shd w:val="clear" w:color="auto" w:fill="auto"/>
            <w:noWrap/>
            <w:vAlign w:val="center"/>
          </w:tcPr>
          <w:p w14:paraId="2E63B9F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43</w:t>
            </w:r>
          </w:p>
        </w:tc>
      </w:tr>
      <w:tr w:rsidR="002F489B" w:rsidRPr="00F934D9" w14:paraId="4D3A887C" w14:textId="77777777" w:rsidTr="00886F19">
        <w:trPr>
          <w:trHeight w:val="294"/>
        </w:trPr>
        <w:tc>
          <w:tcPr>
            <w:tcW w:w="1783" w:type="dxa"/>
            <w:shd w:val="clear" w:color="auto" w:fill="auto"/>
            <w:noWrap/>
            <w:vAlign w:val="center"/>
            <w:hideMark/>
          </w:tcPr>
          <w:p w14:paraId="590569B9"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Cypr</w:t>
            </w:r>
          </w:p>
        </w:tc>
        <w:tc>
          <w:tcPr>
            <w:tcW w:w="1141" w:type="dxa"/>
            <w:shd w:val="clear" w:color="auto" w:fill="auto"/>
            <w:noWrap/>
            <w:vAlign w:val="center"/>
          </w:tcPr>
          <w:p w14:paraId="3FB5CF0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3CD4EE5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c>
          <w:tcPr>
            <w:tcW w:w="785" w:type="dxa"/>
            <w:vAlign w:val="center"/>
          </w:tcPr>
          <w:p w14:paraId="4FC7E6B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c>
          <w:tcPr>
            <w:tcW w:w="784" w:type="dxa"/>
            <w:vAlign w:val="center"/>
          </w:tcPr>
          <w:p w14:paraId="42EB621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c>
          <w:tcPr>
            <w:tcW w:w="785" w:type="dxa"/>
            <w:vAlign w:val="center"/>
          </w:tcPr>
          <w:p w14:paraId="5B1EAAC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428A646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89</w:t>
            </w:r>
          </w:p>
        </w:tc>
        <w:tc>
          <w:tcPr>
            <w:tcW w:w="784" w:type="dxa"/>
            <w:vAlign w:val="center"/>
          </w:tcPr>
          <w:p w14:paraId="523A30D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1D7059C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79</w:t>
            </w:r>
          </w:p>
        </w:tc>
        <w:tc>
          <w:tcPr>
            <w:tcW w:w="785" w:type="dxa"/>
            <w:shd w:val="clear" w:color="auto" w:fill="auto"/>
            <w:noWrap/>
            <w:vAlign w:val="center"/>
          </w:tcPr>
          <w:p w14:paraId="7A3137E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71</w:t>
            </w:r>
          </w:p>
        </w:tc>
      </w:tr>
      <w:tr w:rsidR="002F489B" w:rsidRPr="00F934D9" w14:paraId="146B5354" w14:textId="77777777" w:rsidTr="00886F19">
        <w:trPr>
          <w:trHeight w:val="294"/>
        </w:trPr>
        <w:tc>
          <w:tcPr>
            <w:tcW w:w="1783" w:type="dxa"/>
            <w:shd w:val="clear" w:color="auto" w:fill="auto"/>
            <w:noWrap/>
            <w:vAlign w:val="center"/>
            <w:hideMark/>
          </w:tcPr>
          <w:p w14:paraId="5992E8B8"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Czechy</w:t>
            </w:r>
          </w:p>
        </w:tc>
        <w:tc>
          <w:tcPr>
            <w:tcW w:w="1141" w:type="dxa"/>
            <w:shd w:val="clear" w:color="auto" w:fill="auto"/>
            <w:noWrap/>
            <w:vAlign w:val="center"/>
          </w:tcPr>
          <w:p w14:paraId="73F6B55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5A984E1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83</w:t>
            </w:r>
          </w:p>
        </w:tc>
        <w:tc>
          <w:tcPr>
            <w:tcW w:w="785" w:type="dxa"/>
            <w:vAlign w:val="center"/>
          </w:tcPr>
          <w:p w14:paraId="1FF8565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c>
          <w:tcPr>
            <w:tcW w:w="784" w:type="dxa"/>
            <w:vAlign w:val="center"/>
          </w:tcPr>
          <w:p w14:paraId="15162CB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82</w:t>
            </w:r>
          </w:p>
        </w:tc>
        <w:tc>
          <w:tcPr>
            <w:tcW w:w="785" w:type="dxa"/>
            <w:vAlign w:val="center"/>
          </w:tcPr>
          <w:p w14:paraId="0EBE36C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c>
          <w:tcPr>
            <w:tcW w:w="785" w:type="dxa"/>
            <w:vAlign w:val="center"/>
          </w:tcPr>
          <w:p w14:paraId="3248696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69</w:t>
            </w:r>
          </w:p>
        </w:tc>
        <w:tc>
          <w:tcPr>
            <w:tcW w:w="784" w:type="dxa"/>
            <w:vAlign w:val="center"/>
          </w:tcPr>
          <w:p w14:paraId="1EFF761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62</w:t>
            </w:r>
          </w:p>
        </w:tc>
        <w:tc>
          <w:tcPr>
            <w:tcW w:w="785" w:type="dxa"/>
            <w:vAlign w:val="center"/>
          </w:tcPr>
          <w:p w14:paraId="496257F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40</w:t>
            </w:r>
          </w:p>
        </w:tc>
        <w:tc>
          <w:tcPr>
            <w:tcW w:w="785" w:type="dxa"/>
            <w:shd w:val="clear" w:color="auto" w:fill="auto"/>
            <w:noWrap/>
            <w:vAlign w:val="center"/>
          </w:tcPr>
          <w:p w14:paraId="5CD5E2D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37</w:t>
            </w:r>
          </w:p>
        </w:tc>
      </w:tr>
      <w:tr w:rsidR="002F489B" w:rsidRPr="00F934D9" w14:paraId="2876BEB4" w14:textId="77777777" w:rsidTr="00886F19">
        <w:trPr>
          <w:trHeight w:val="294"/>
        </w:trPr>
        <w:tc>
          <w:tcPr>
            <w:tcW w:w="1783" w:type="dxa"/>
            <w:shd w:val="clear" w:color="auto" w:fill="auto"/>
            <w:noWrap/>
            <w:vAlign w:val="center"/>
            <w:hideMark/>
          </w:tcPr>
          <w:p w14:paraId="74688A77"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Dania</w:t>
            </w:r>
          </w:p>
        </w:tc>
        <w:tc>
          <w:tcPr>
            <w:tcW w:w="1141" w:type="dxa"/>
            <w:shd w:val="clear" w:color="auto" w:fill="auto"/>
            <w:noWrap/>
            <w:vAlign w:val="center"/>
          </w:tcPr>
          <w:p w14:paraId="6994E5F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0476D4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40</w:t>
            </w:r>
          </w:p>
        </w:tc>
        <w:tc>
          <w:tcPr>
            <w:tcW w:w="785" w:type="dxa"/>
            <w:vAlign w:val="center"/>
          </w:tcPr>
          <w:p w14:paraId="1F38253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53</w:t>
            </w:r>
          </w:p>
        </w:tc>
        <w:tc>
          <w:tcPr>
            <w:tcW w:w="784" w:type="dxa"/>
            <w:vAlign w:val="center"/>
          </w:tcPr>
          <w:p w14:paraId="47F99D4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53</w:t>
            </w:r>
          </w:p>
        </w:tc>
        <w:tc>
          <w:tcPr>
            <w:tcW w:w="785" w:type="dxa"/>
            <w:vAlign w:val="center"/>
          </w:tcPr>
          <w:p w14:paraId="4E1494B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56</w:t>
            </w:r>
          </w:p>
        </w:tc>
        <w:tc>
          <w:tcPr>
            <w:tcW w:w="785" w:type="dxa"/>
            <w:vAlign w:val="center"/>
          </w:tcPr>
          <w:p w14:paraId="069B544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57</w:t>
            </w:r>
          </w:p>
        </w:tc>
        <w:tc>
          <w:tcPr>
            <w:tcW w:w="784" w:type="dxa"/>
            <w:vAlign w:val="center"/>
          </w:tcPr>
          <w:p w14:paraId="0FFE03E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57</w:t>
            </w:r>
          </w:p>
        </w:tc>
        <w:tc>
          <w:tcPr>
            <w:tcW w:w="785" w:type="dxa"/>
            <w:vAlign w:val="center"/>
          </w:tcPr>
          <w:p w14:paraId="1EE8D7B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58</w:t>
            </w:r>
          </w:p>
        </w:tc>
        <w:tc>
          <w:tcPr>
            <w:tcW w:w="785" w:type="dxa"/>
            <w:shd w:val="clear" w:color="auto" w:fill="auto"/>
            <w:noWrap/>
            <w:vAlign w:val="center"/>
          </w:tcPr>
          <w:p w14:paraId="65A93C2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56</w:t>
            </w:r>
          </w:p>
        </w:tc>
      </w:tr>
      <w:tr w:rsidR="002F489B" w:rsidRPr="00F934D9" w14:paraId="25A8B7A1" w14:textId="77777777" w:rsidTr="00886F19">
        <w:trPr>
          <w:trHeight w:val="294"/>
        </w:trPr>
        <w:tc>
          <w:tcPr>
            <w:tcW w:w="1783" w:type="dxa"/>
            <w:shd w:val="clear" w:color="auto" w:fill="auto"/>
            <w:noWrap/>
            <w:vAlign w:val="center"/>
            <w:hideMark/>
          </w:tcPr>
          <w:p w14:paraId="6E7EBAE2"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Estonia</w:t>
            </w:r>
          </w:p>
        </w:tc>
        <w:tc>
          <w:tcPr>
            <w:tcW w:w="1141" w:type="dxa"/>
            <w:shd w:val="clear" w:color="auto" w:fill="auto"/>
            <w:noWrap/>
            <w:vAlign w:val="center"/>
          </w:tcPr>
          <w:p w14:paraId="0ED4527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026D258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119</w:t>
            </w:r>
          </w:p>
        </w:tc>
        <w:tc>
          <w:tcPr>
            <w:tcW w:w="785" w:type="dxa"/>
            <w:vAlign w:val="center"/>
          </w:tcPr>
          <w:p w14:paraId="30468F8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141</w:t>
            </w:r>
          </w:p>
        </w:tc>
        <w:tc>
          <w:tcPr>
            <w:tcW w:w="784" w:type="dxa"/>
            <w:vAlign w:val="center"/>
          </w:tcPr>
          <w:p w14:paraId="1DFC165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175</w:t>
            </w:r>
          </w:p>
        </w:tc>
        <w:tc>
          <w:tcPr>
            <w:tcW w:w="785" w:type="dxa"/>
            <w:vAlign w:val="center"/>
          </w:tcPr>
          <w:p w14:paraId="6AF0F2B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160</w:t>
            </w:r>
          </w:p>
        </w:tc>
        <w:tc>
          <w:tcPr>
            <w:tcW w:w="785" w:type="dxa"/>
            <w:vAlign w:val="center"/>
          </w:tcPr>
          <w:p w14:paraId="389C801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137</w:t>
            </w:r>
          </w:p>
        </w:tc>
        <w:tc>
          <w:tcPr>
            <w:tcW w:w="784" w:type="dxa"/>
            <w:vAlign w:val="center"/>
          </w:tcPr>
          <w:p w14:paraId="66EBE1B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157</w:t>
            </w:r>
          </w:p>
        </w:tc>
        <w:tc>
          <w:tcPr>
            <w:tcW w:w="785" w:type="dxa"/>
            <w:vAlign w:val="center"/>
          </w:tcPr>
          <w:p w14:paraId="023F8CD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144</w:t>
            </w:r>
          </w:p>
        </w:tc>
        <w:tc>
          <w:tcPr>
            <w:tcW w:w="785" w:type="dxa"/>
            <w:shd w:val="clear" w:color="auto" w:fill="auto"/>
            <w:noWrap/>
            <w:vAlign w:val="center"/>
          </w:tcPr>
          <w:p w14:paraId="5B09E52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140</w:t>
            </w:r>
          </w:p>
        </w:tc>
      </w:tr>
      <w:tr w:rsidR="002F489B" w:rsidRPr="00F934D9" w14:paraId="03797B23" w14:textId="77777777" w:rsidTr="00886F19">
        <w:trPr>
          <w:trHeight w:val="294"/>
        </w:trPr>
        <w:tc>
          <w:tcPr>
            <w:tcW w:w="1783" w:type="dxa"/>
            <w:shd w:val="clear" w:color="auto" w:fill="auto"/>
            <w:noWrap/>
            <w:vAlign w:val="center"/>
            <w:hideMark/>
          </w:tcPr>
          <w:p w14:paraId="54995748"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Finlandia</w:t>
            </w:r>
          </w:p>
        </w:tc>
        <w:tc>
          <w:tcPr>
            <w:tcW w:w="1141" w:type="dxa"/>
            <w:shd w:val="clear" w:color="auto" w:fill="auto"/>
            <w:noWrap/>
            <w:vAlign w:val="center"/>
          </w:tcPr>
          <w:p w14:paraId="19B63D0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7F50D1A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5" w:type="dxa"/>
            <w:vAlign w:val="center"/>
          </w:tcPr>
          <w:p w14:paraId="5A8884E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121</w:t>
            </w:r>
          </w:p>
        </w:tc>
        <w:tc>
          <w:tcPr>
            <w:tcW w:w="784" w:type="dxa"/>
            <w:vAlign w:val="center"/>
          </w:tcPr>
          <w:p w14:paraId="4260896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133</w:t>
            </w:r>
          </w:p>
        </w:tc>
        <w:tc>
          <w:tcPr>
            <w:tcW w:w="785" w:type="dxa"/>
            <w:vAlign w:val="center"/>
          </w:tcPr>
          <w:p w14:paraId="0C83562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128</w:t>
            </w:r>
          </w:p>
        </w:tc>
        <w:tc>
          <w:tcPr>
            <w:tcW w:w="785" w:type="dxa"/>
            <w:vAlign w:val="center"/>
          </w:tcPr>
          <w:p w14:paraId="258D296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140</w:t>
            </w:r>
          </w:p>
        </w:tc>
        <w:tc>
          <w:tcPr>
            <w:tcW w:w="784" w:type="dxa"/>
            <w:vAlign w:val="center"/>
          </w:tcPr>
          <w:p w14:paraId="337A2B5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116</w:t>
            </w:r>
          </w:p>
        </w:tc>
        <w:tc>
          <w:tcPr>
            <w:tcW w:w="785" w:type="dxa"/>
            <w:vAlign w:val="center"/>
          </w:tcPr>
          <w:p w14:paraId="70DD50B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137</w:t>
            </w:r>
          </w:p>
        </w:tc>
        <w:tc>
          <w:tcPr>
            <w:tcW w:w="785" w:type="dxa"/>
            <w:shd w:val="clear" w:color="auto" w:fill="auto"/>
            <w:noWrap/>
            <w:vAlign w:val="center"/>
          </w:tcPr>
          <w:p w14:paraId="756D76F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115</w:t>
            </w:r>
          </w:p>
        </w:tc>
      </w:tr>
      <w:tr w:rsidR="002F489B" w:rsidRPr="00F934D9" w14:paraId="33A8D19C" w14:textId="77777777" w:rsidTr="00886F19">
        <w:trPr>
          <w:trHeight w:val="294"/>
        </w:trPr>
        <w:tc>
          <w:tcPr>
            <w:tcW w:w="1783" w:type="dxa"/>
            <w:shd w:val="clear" w:color="auto" w:fill="auto"/>
            <w:noWrap/>
            <w:vAlign w:val="center"/>
            <w:hideMark/>
          </w:tcPr>
          <w:p w14:paraId="66759101"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Francja</w:t>
            </w:r>
          </w:p>
        </w:tc>
        <w:tc>
          <w:tcPr>
            <w:tcW w:w="1141" w:type="dxa"/>
            <w:shd w:val="clear" w:color="auto" w:fill="auto"/>
            <w:noWrap/>
            <w:vAlign w:val="center"/>
          </w:tcPr>
          <w:p w14:paraId="4748C26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D56F0F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110</w:t>
            </w:r>
          </w:p>
        </w:tc>
        <w:tc>
          <w:tcPr>
            <w:tcW w:w="785" w:type="dxa"/>
            <w:vAlign w:val="center"/>
          </w:tcPr>
          <w:p w14:paraId="1B66FDC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103</w:t>
            </w:r>
          </w:p>
        </w:tc>
        <w:tc>
          <w:tcPr>
            <w:tcW w:w="784" w:type="dxa"/>
            <w:vAlign w:val="center"/>
          </w:tcPr>
          <w:p w14:paraId="5921E6F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103</w:t>
            </w:r>
          </w:p>
        </w:tc>
        <w:tc>
          <w:tcPr>
            <w:tcW w:w="785" w:type="dxa"/>
            <w:vAlign w:val="center"/>
          </w:tcPr>
          <w:p w14:paraId="04A7B79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92</w:t>
            </w:r>
          </w:p>
        </w:tc>
        <w:tc>
          <w:tcPr>
            <w:tcW w:w="785" w:type="dxa"/>
            <w:vAlign w:val="center"/>
          </w:tcPr>
          <w:p w14:paraId="313A74A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4" w:type="dxa"/>
            <w:vAlign w:val="center"/>
          </w:tcPr>
          <w:p w14:paraId="2A9A9E0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61</w:t>
            </w:r>
          </w:p>
        </w:tc>
        <w:tc>
          <w:tcPr>
            <w:tcW w:w="785" w:type="dxa"/>
            <w:vAlign w:val="center"/>
          </w:tcPr>
          <w:p w14:paraId="08AD97E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67</w:t>
            </w:r>
          </w:p>
        </w:tc>
        <w:tc>
          <w:tcPr>
            <w:tcW w:w="785" w:type="dxa"/>
            <w:shd w:val="clear" w:color="auto" w:fill="auto"/>
            <w:noWrap/>
            <w:vAlign w:val="center"/>
          </w:tcPr>
          <w:p w14:paraId="06A99AE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r>
      <w:tr w:rsidR="002F489B" w:rsidRPr="00F934D9" w14:paraId="5E3E009B" w14:textId="77777777" w:rsidTr="00886F19">
        <w:trPr>
          <w:trHeight w:val="294"/>
        </w:trPr>
        <w:tc>
          <w:tcPr>
            <w:tcW w:w="1783" w:type="dxa"/>
            <w:shd w:val="clear" w:color="auto" w:fill="auto"/>
            <w:noWrap/>
            <w:vAlign w:val="center"/>
            <w:hideMark/>
          </w:tcPr>
          <w:p w14:paraId="6E7E15E6"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Grecja</w:t>
            </w:r>
          </w:p>
        </w:tc>
        <w:tc>
          <w:tcPr>
            <w:tcW w:w="1141" w:type="dxa"/>
            <w:shd w:val="clear" w:color="auto" w:fill="auto"/>
            <w:noWrap/>
            <w:vAlign w:val="center"/>
          </w:tcPr>
          <w:p w14:paraId="761B1CA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0927158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54</w:t>
            </w:r>
          </w:p>
        </w:tc>
        <w:tc>
          <w:tcPr>
            <w:tcW w:w="785" w:type="dxa"/>
            <w:vAlign w:val="center"/>
          </w:tcPr>
          <w:p w14:paraId="3B70997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58</w:t>
            </w:r>
          </w:p>
        </w:tc>
        <w:tc>
          <w:tcPr>
            <w:tcW w:w="784" w:type="dxa"/>
            <w:vAlign w:val="center"/>
          </w:tcPr>
          <w:p w14:paraId="69BBDBB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60</w:t>
            </w:r>
          </w:p>
        </w:tc>
        <w:tc>
          <w:tcPr>
            <w:tcW w:w="785" w:type="dxa"/>
            <w:vAlign w:val="center"/>
          </w:tcPr>
          <w:p w14:paraId="66E80C5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60</w:t>
            </w:r>
          </w:p>
        </w:tc>
        <w:tc>
          <w:tcPr>
            <w:tcW w:w="785" w:type="dxa"/>
            <w:vAlign w:val="center"/>
          </w:tcPr>
          <w:p w14:paraId="6F2F174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63</w:t>
            </w:r>
          </w:p>
        </w:tc>
        <w:tc>
          <w:tcPr>
            <w:tcW w:w="784" w:type="dxa"/>
            <w:vAlign w:val="center"/>
          </w:tcPr>
          <w:p w14:paraId="7C9E357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59</w:t>
            </w:r>
          </w:p>
        </w:tc>
        <w:tc>
          <w:tcPr>
            <w:tcW w:w="785" w:type="dxa"/>
            <w:vAlign w:val="center"/>
          </w:tcPr>
          <w:p w14:paraId="5C77367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50</w:t>
            </w:r>
          </w:p>
        </w:tc>
        <w:tc>
          <w:tcPr>
            <w:tcW w:w="785" w:type="dxa"/>
            <w:shd w:val="clear" w:color="auto" w:fill="auto"/>
            <w:noWrap/>
            <w:vAlign w:val="center"/>
          </w:tcPr>
          <w:p w14:paraId="647100F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43</w:t>
            </w:r>
          </w:p>
        </w:tc>
      </w:tr>
      <w:tr w:rsidR="002F489B" w:rsidRPr="00F934D9" w14:paraId="2EDF669C" w14:textId="77777777" w:rsidTr="00886F19">
        <w:trPr>
          <w:trHeight w:val="294"/>
        </w:trPr>
        <w:tc>
          <w:tcPr>
            <w:tcW w:w="1783" w:type="dxa"/>
            <w:shd w:val="clear" w:color="auto" w:fill="auto"/>
            <w:noWrap/>
            <w:vAlign w:val="center"/>
            <w:hideMark/>
          </w:tcPr>
          <w:p w14:paraId="0BAA1919"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Hiszpania</w:t>
            </w:r>
          </w:p>
        </w:tc>
        <w:tc>
          <w:tcPr>
            <w:tcW w:w="1141" w:type="dxa"/>
            <w:shd w:val="clear" w:color="auto" w:fill="auto"/>
            <w:noWrap/>
            <w:vAlign w:val="center"/>
          </w:tcPr>
          <w:p w14:paraId="17917EF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3BFB97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5" w:type="dxa"/>
            <w:vAlign w:val="center"/>
          </w:tcPr>
          <w:p w14:paraId="2D3BFDB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105</w:t>
            </w:r>
          </w:p>
        </w:tc>
        <w:tc>
          <w:tcPr>
            <w:tcW w:w="784" w:type="dxa"/>
            <w:vAlign w:val="center"/>
          </w:tcPr>
          <w:p w14:paraId="7181921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88</w:t>
            </w:r>
          </w:p>
        </w:tc>
        <w:tc>
          <w:tcPr>
            <w:tcW w:w="785" w:type="dxa"/>
            <w:vAlign w:val="center"/>
          </w:tcPr>
          <w:p w14:paraId="12CDC40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70</w:t>
            </w:r>
          </w:p>
        </w:tc>
        <w:tc>
          <w:tcPr>
            <w:tcW w:w="785" w:type="dxa"/>
            <w:vAlign w:val="center"/>
          </w:tcPr>
          <w:p w14:paraId="7AE56A2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74</w:t>
            </w:r>
          </w:p>
        </w:tc>
        <w:tc>
          <w:tcPr>
            <w:tcW w:w="784" w:type="dxa"/>
            <w:vAlign w:val="center"/>
          </w:tcPr>
          <w:p w14:paraId="4E26237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85</w:t>
            </w:r>
          </w:p>
        </w:tc>
        <w:tc>
          <w:tcPr>
            <w:tcW w:w="785" w:type="dxa"/>
            <w:vAlign w:val="center"/>
          </w:tcPr>
          <w:p w14:paraId="282ABF2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77</w:t>
            </w:r>
          </w:p>
        </w:tc>
        <w:tc>
          <w:tcPr>
            <w:tcW w:w="785" w:type="dxa"/>
            <w:shd w:val="clear" w:color="auto" w:fill="auto"/>
            <w:noWrap/>
            <w:vAlign w:val="center"/>
          </w:tcPr>
          <w:p w14:paraId="0AF3325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65</w:t>
            </w:r>
          </w:p>
        </w:tc>
      </w:tr>
      <w:tr w:rsidR="002F489B" w:rsidRPr="00F934D9" w14:paraId="4AF4A4AC" w14:textId="77777777" w:rsidTr="00886F19">
        <w:trPr>
          <w:trHeight w:val="294"/>
        </w:trPr>
        <w:tc>
          <w:tcPr>
            <w:tcW w:w="1783" w:type="dxa"/>
            <w:shd w:val="clear" w:color="auto" w:fill="auto"/>
            <w:noWrap/>
            <w:vAlign w:val="center"/>
            <w:hideMark/>
          </w:tcPr>
          <w:p w14:paraId="4B704630"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Holandia</w:t>
            </w:r>
          </w:p>
        </w:tc>
        <w:tc>
          <w:tcPr>
            <w:tcW w:w="1141" w:type="dxa"/>
            <w:shd w:val="clear" w:color="auto" w:fill="auto"/>
            <w:noWrap/>
            <w:vAlign w:val="center"/>
          </w:tcPr>
          <w:p w14:paraId="2D417F4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4BC601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89</w:t>
            </w:r>
          </w:p>
        </w:tc>
        <w:tc>
          <w:tcPr>
            <w:tcW w:w="785" w:type="dxa"/>
            <w:vAlign w:val="center"/>
          </w:tcPr>
          <w:p w14:paraId="09C047E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82</w:t>
            </w:r>
          </w:p>
        </w:tc>
        <w:tc>
          <w:tcPr>
            <w:tcW w:w="784" w:type="dxa"/>
            <w:vAlign w:val="center"/>
          </w:tcPr>
          <w:p w14:paraId="3092223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88</w:t>
            </w:r>
          </w:p>
        </w:tc>
        <w:tc>
          <w:tcPr>
            <w:tcW w:w="785" w:type="dxa"/>
            <w:vAlign w:val="center"/>
          </w:tcPr>
          <w:p w14:paraId="7137302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82</w:t>
            </w:r>
          </w:p>
        </w:tc>
        <w:tc>
          <w:tcPr>
            <w:tcW w:w="785" w:type="dxa"/>
            <w:vAlign w:val="center"/>
          </w:tcPr>
          <w:p w14:paraId="6D40483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75</w:t>
            </w:r>
          </w:p>
        </w:tc>
        <w:tc>
          <w:tcPr>
            <w:tcW w:w="784" w:type="dxa"/>
            <w:vAlign w:val="center"/>
          </w:tcPr>
          <w:p w14:paraId="56209CA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c>
          <w:tcPr>
            <w:tcW w:w="785" w:type="dxa"/>
            <w:vAlign w:val="center"/>
          </w:tcPr>
          <w:p w14:paraId="3C27D2E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59</w:t>
            </w:r>
          </w:p>
        </w:tc>
        <w:tc>
          <w:tcPr>
            <w:tcW w:w="785" w:type="dxa"/>
            <w:shd w:val="clear" w:color="auto" w:fill="auto"/>
            <w:noWrap/>
            <w:vAlign w:val="center"/>
          </w:tcPr>
          <w:p w14:paraId="5ED2758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55</w:t>
            </w:r>
          </w:p>
        </w:tc>
      </w:tr>
      <w:tr w:rsidR="002F489B" w:rsidRPr="00F934D9" w14:paraId="6AB2388C" w14:textId="77777777" w:rsidTr="00886F19">
        <w:trPr>
          <w:trHeight w:val="294"/>
        </w:trPr>
        <w:tc>
          <w:tcPr>
            <w:tcW w:w="1783" w:type="dxa"/>
            <w:shd w:val="clear" w:color="auto" w:fill="auto"/>
            <w:noWrap/>
            <w:vAlign w:val="center"/>
            <w:hideMark/>
          </w:tcPr>
          <w:p w14:paraId="265E3D64"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Irlandia</w:t>
            </w:r>
          </w:p>
        </w:tc>
        <w:tc>
          <w:tcPr>
            <w:tcW w:w="1141" w:type="dxa"/>
            <w:shd w:val="clear" w:color="auto" w:fill="auto"/>
            <w:noWrap/>
            <w:vAlign w:val="center"/>
          </w:tcPr>
          <w:p w14:paraId="0865F62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AA1F5D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111</w:t>
            </w:r>
          </w:p>
        </w:tc>
        <w:tc>
          <w:tcPr>
            <w:tcW w:w="785" w:type="dxa"/>
            <w:vAlign w:val="center"/>
          </w:tcPr>
          <w:p w14:paraId="426001C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114</w:t>
            </w:r>
          </w:p>
        </w:tc>
        <w:tc>
          <w:tcPr>
            <w:tcW w:w="784" w:type="dxa"/>
            <w:vAlign w:val="center"/>
          </w:tcPr>
          <w:p w14:paraId="7830371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102</w:t>
            </w:r>
          </w:p>
        </w:tc>
        <w:tc>
          <w:tcPr>
            <w:tcW w:w="785" w:type="dxa"/>
            <w:vAlign w:val="center"/>
          </w:tcPr>
          <w:p w14:paraId="6CBEF98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7577671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83</w:t>
            </w:r>
          </w:p>
        </w:tc>
        <w:tc>
          <w:tcPr>
            <w:tcW w:w="784" w:type="dxa"/>
            <w:vAlign w:val="center"/>
          </w:tcPr>
          <w:p w14:paraId="00BBB0D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124</w:t>
            </w:r>
          </w:p>
        </w:tc>
        <w:tc>
          <w:tcPr>
            <w:tcW w:w="785" w:type="dxa"/>
            <w:vAlign w:val="center"/>
          </w:tcPr>
          <w:p w14:paraId="3B7C9BF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50</w:t>
            </w:r>
          </w:p>
        </w:tc>
        <w:tc>
          <w:tcPr>
            <w:tcW w:w="785" w:type="dxa"/>
            <w:shd w:val="clear" w:color="auto" w:fill="auto"/>
            <w:noWrap/>
            <w:vAlign w:val="center"/>
          </w:tcPr>
          <w:p w14:paraId="367968B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52</w:t>
            </w:r>
          </w:p>
        </w:tc>
      </w:tr>
      <w:tr w:rsidR="002F489B" w:rsidRPr="00F934D9" w14:paraId="3446740A" w14:textId="77777777" w:rsidTr="00886F19">
        <w:trPr>
          <w:trHeight w:val="294"/>
        </w:trPr>
        <w:tc>
          <w:tcPr>
            <w:tcW w:w="1783" w:type="dxa"/>
            <w:shd w:val="clear" w:color="auto" w:fill="auto"/>
            <w:noWrap/>
            <w:vAlign w:val="center"/>
            <w:hideMark/>
          </w:tcPr>
          <w:p w14:paraId="5230426D"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Litwa</w:t>
            </w:r>
          </w:p>
        </w:tc>
        <w:tc>
          <w:tcPr>
            <w:tcW w:w="1141" w:type="dxa"/>
            <w:shd w:val="clear" w:color="auto" w:fill="auto"/>
            <w:noWrap/>
            <w:vAlign w:val="center"/>
          </w:tcPr>
          <w:p w14:paraId="20713B3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32F8C0B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5" w:type="dxa"/>
            <w:vAlign w:val="center"/>
          </w:tcPr>
          <w:p w14:paraId="0C05CDE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114</w:t>
            </w:r>
          </w:p>
        </w:tc>
        <w:tc>
          <w:tcPr>
            <w:tcW w:w="784" w:type="dxa"/>
            <w:vAlign w:val="center"/>
          </w:tcPr>
          <w:p w14:paraId="55B8CAD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138</w:t>
            </w:r>
          </w:p>
        </w:tc>
        <w:tc>
          <w:tcPr>
            <w:tcW w:w="785" w:type="dxa"/>
            <w:vAlign w:val="center"/>
          </w:tcPr>
          <w:p w14:paraId="2D4A9597"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129</w:t>
            </w:r>
          </w:p>
        </w:tc>
        <w:tc>
          <w:tcPr>
            <w:tcW w:w="785" w:type="dxa"/>
            <w:vAlign w:val="center"/>
          </w:tcPr>
          <w:p w14:paraId="2159828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95</w:t>
            </w:r>
          </w:p>
        </w:tc>
        <w:tc>
          <w:tcPr>
            <w:tcW w:w="784" w:type="dxa"/>
            <w:vAlign w:val="center"/>
          </w:tcPr>
          <w:p w14:paraId="01F0F8C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105</w:t>
            </w:r>
          </w:p>
        </w:tc>
        <w:tc>
          <w:tcPr>
            <w:tcW w:w="785" w:type="dxa"/>
            <w:vAlign w:val="center"/>
          </w:tcPr>
          <w:p w14:paraId="14853A5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shd w:val="clear" w:color="auto" w:fill="auto"/>
            <w:noWrap/>
            <w:vAlign w:val="center"/>
          </w:tcPr>
          <w:p w14:paraId="561D11F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r>
      <w:tr w:rsidR="002F489B" w:rsidRPr="00F934D9" w14:paraId="24E5FA44" w14:textId="77777777" w:rsidTr="00886F19">
        <w:trPr>
          <w:trHeight w:val="294"/>
        </w:trPr>
        <w:tc>
          <w:tcPr>
            <w:tcW w:w="1783" w:type="dxa"/>
            <w:shd w:val="clear" w:color="auto" w:fill="auto"/>
            <w:noWrap/>
            <w:vAlign w:val="center"/>
            <w:hideMark/>
          </w:tcPr>
          <w:p w14:paraId="0DDE7888"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Luksemburg</w:t>
            </w:r>
          </w:p>
        </w:tc>
        <w:tc>
          <w:tcPr>
            <w:tcW w:w="1141" w:type="dxa"/>
            <w:shd w:val="clear" w:color="auto" w:fill="auto"/>
            <w:noWrap/>
            <w:vAlign w:val="center"/>
          </w:tcPr>
          <w:p w14:paraId="2AC2A52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0847191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106</w:t>
            </w:r>
          </w:p>
        </w:tc>
        <w:tc>
          <w:tcPr>
            <w:tcW w:w="785" w:type="dxa"/>
            <w:vAlign w:val="center"/>
          </w:tcPr>
          <w:p w14:paraId="2A9A899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104</w:t>
            </w:r>
          </w:p>
        </w:tc>
        <w:tc>
          <w:tcPr>
            <w:tcW w:w="784" w:type="dxa"/>
            <w:vAlign w:val="center"/>
          </w:tcPr>
          <w:p w14:paraId="059CE72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77</w:t>
            </w:r>
          </w:p>
        </w:tc>
        <w:tc>
          <w:tcPr>
            <w:tcW w:w="785" w:type="dxa"/>
            <w:vAlign w:val="center"/>
          </w:tcPr>
          <w:p w14:paraId="6F5BBA3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69</w:t>
            </w:r>
          </w:p>
        </w:tc>
        <w:tc>
          <w:tcPr>
            <w:tcW w:w="785" w:type="dxa"/>
            <w:vAlign w:val="center"/>
          </w:tcPr>
          <w:p w14:paraId="2D030ED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62</w:t>
            </w:r>
          </w:p>
        </w:tc>
        <w:tc>
          <w:tcPr>
            <w:tcW w:w="784" w:type="dxa"/>
            <w:vAlign w:val="center"/>
          </w:tcPr>
          <w:p w14:paraId="695E3A7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52</w:t>
            </w:r>
          </w:p>
        </w:tc>
        <w:tc>
          <w:tcPr>
            <w:tcW w:w="785" w:type="dxa"/>
            <w:vAlign w:val="center"/>
          </w:tcPr>
          <w:p w14:paraId="5EF666B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45</w:t>
            </w:r>
          </w:p>
        </w:tc>
        <w:tc>
          <w:tcPr>
            <w:tcW w:w="785" w:type="dxa"/>
            <w:shd w:val="clear" w:color="auto" w:fill="auto"/>
            <w:noWrap/>
            <w:vAlign w:val="center"/>
          </w:tcPr>
          <w:p w14:paraId="2DD0234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36</w:t>
            </w:r>
          </w:p>
        </w:tc>
      </w:tr>
      <w:tr w:rsidR="002F489B" w:rsidRPr="00F934D9" w14:paraId="15C9229E" w14:textId="77777777" w:rsidTr="00886F19">
        <w:trPr>
          <w:trHeight w:val="294"/>
        </w:trPr>
        <w:tc>
          <w:tcPr>
            <w:tcW w:w="1783" w:type="dxa"/>
            <w:shd w:val="clear" w:color="auto" w:fill="auto"/>
            <w:noWrap/>
            <w:vAlign w:val="center"/>
            <w:hideMark/>
          </w:tcPr>
          <w:p w14:paraId="25BEC145"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Łotwa</w:t>
            </w:r>
          </w:p>
        </w:tc>
        <w:tc>
          <w:tcPr>
            <w:tcW w:w="1141" w:type="dxa"/>
            <w:shd w:val="clear" w:color="auto" w:fill="auto"/>
            <w:noWrap/>
            <w:vAlign w:val="center"/>
          </w:tcPr>
          <w:p w14:paraId="2209413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5818C4C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122</w:t>
            </w:r>
          </w:p>
        </w:tc>
        <w:tc>
          <w:tcPr>
            <w:tcW w:w="785" w:type="dxa"/>
            <w:vAlign w:val="center"/>
          </w:tcPr>
          <w:p w14:paraId="4943188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117</w:t>
            </w:r>
          </w:p>
        </w:tc>
        <w:tc>
          <w:tcPr>
            <w:tcW w:w="784" w:type="dxa"/>
            <w:vAlign w:val="center"/>
          </w:tcPr>
          <w:p w14:paraId="2E100ED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131</w:t>
            </w:r>
          </w:p>
        </w:tc>
        <w:tc>
          <w:tcPr>
            <w:tcW w:w="785" w:type="dxa"/>
            <w:vAlign w:val="center"/>
          </w:tcPr>
          <w:p w14:paraId="391713B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116</w:t>
            </w:r>
          </w:p>
        </w:tc>
        <w:tc>
          <w:tcPr>
            <w:tcW w:w="785" w:type="dxa"/>
            <w:vAlign w:val="center"/>
          </w:tcPr>
          <w:p w14:paraId="455D499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123</w:t>
            </w:r>
          </w:p>
        </w:tc>
        <w:tc>
          <w:tcPr>
            <w:tcW w:w="784" w:type="dxa"/>
            <w:vAlign w:val="center"/>
          </w:tcPr>
          <w:p w14:paraId="26DD49C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136</w:t>
            </w:r>
          </w:p>
        </w:tc>
        <w:tc>
          <w:tcPr>
            <w:tcW w:w="785" w:type="dxa"/>
            <w:vAlign w:val="center"/>
          </w:tcPr>
          <w:p w14:paraId="1265017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120</w:t>
            </w:r>
          </w:p>
        </w:tc>
        <w:tc>
          <w:tcPr>
            <w:tcW w:w="785" w:type="dxa"/>
            <w:shd w:val="clear" w:color="auto" w:fill="auto"/>
            <w:noWrap/>
            <w:vAlign w:val="center"/>
          </w:tcPr>
          <w:p w14:paraId="47F4CF7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123</w:t>
            </w:r>
          </w:p>
        </w:tc>
      </w:tr>
      <w:tr w:rsidR="002F489B" w:rsidRPr="00F934D9" w14:paraId="3823193B" w14:textId="77777777" w:rsidTr="00886F19">
        <w:trPr>
          <w:trHeight w:val="294"/>
        </w:trPr>
        <w:tc>
          <w:tcPr>
            <w:tcW w:w="1783" w:type="dxa"/>
            <w:shd w:val="clear" w:color="auto" w:fill="auto"/>
            <w:noWrap/>
            <w:vAlign w:val="center"/>
            <w:hideMark/>
          </w:tcPr>
          <w:p w14:paraId="6041B4F4"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Malta</w:t>
            </w:r>
          </w:p>
        </w:tc>
        <w:tc>
          <w:tcPr>
            <w:tcW w:w="1141" w:type="dxa"/>
            <w:shd w:val="clear" w:color="auto" w:fill="auto"/>
            <w:noWrap/>
            <w:vAlign w:val="center"/>
          </w:tcPr>
          <w:p w14:paraId="53C7DF4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35CCF96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94</w:t>
            </w:r>
          </w:p>
        </w:tc>
        <w:tc>
          <w:tcPr>
            <w:tcW w:w="785" w:type="dxa"/>
            <w:vAlign w:val="center"/>
          </w:tcPr>
          <w:p w14:paraId="138821F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116</w:t>
            </w:r>
          </w:p>
        </w:tc>
        <w:tc>
          <w:tcPr>
            <w:tcW w:w="784" w:type="dxa"/>
            <w:vAlign w:val="center"/>
          </w:tcPr>
          <w:p w14:paraId="688B896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78</w:t>
            </w:r>
          </w:p>
        </w:tc>
        <w:tc>
          <w:tcPr>
            <w:tcW w:w="785" w:type="dxa"/>
            <w:vAlign w:val="center"/>
          </w:tcPr>
          <w:p w14:paraId="4C23D0C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87</w:t>
            </w:r>
          </w:p>
        </w:tc>
        <w:tc>
          <w:tcPr>
            <w:tcW w:w="785" w:type="dxa"/>
            <w:vAlign w:val="center"/>
          </w:tcPr>
          <w:p w14:paraId="150CFBE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78</w:t>
            </w:r>
          </w:p>
        </w:tc>
        <w:tc>
          <w:tcPr>
            <w:tcW w:w="784" w:type="dxa"/>
            <w:vAlign w:val="center"/>
          </w:tcPr>
          <w:p w14:paraId="2E2944D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c>
          <w:tcPr>
            <w:tcW w:w="785" w:type="dxa"/>
            <w:vAlign w:val="center"/>
          </w:tcPr>
          <w:p w14:paraId="0043614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78</w:t>
            </w:r>
          </w:p>
        </w:tc>
        <w:tc>
          <w:tcPr>
            <w:tcW w:w="785" w:type="dxa"/>
            <w:shd w:val="clear" w:color="auto" w:fill="auto"/>
            <w:noWrap/>
            <w:vAlign w:val="center"/>
          </w:tcPr>
          <w:p w14:paraId="33F77A7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69</w:t>
            </w:r>
          </w:p>
        </w:tc>
      </w:tr>
      <w:tr w:rsidR="002F489B" w:rsidRPr="00F934D9" w14:paraId="03C9644E" w14:textId="77777777" w:rsidTr="00886F19">
        <w:trPr>
          <w:trHeight w:val="294"/>
        </w:trPr>
        <w:tc>
          <w:tcPr>
            <w:tcW w:w="1783" w:type="dxa"/>
            <w:shd w:val="clear" w:color="auto" w:fill="auto"/>
            <w:noWrap/>
            <w:vAlign w:val="center"/>
            <w:hideMark/>
          </w:tcPr>
          <w:p w14:paraId="358BAC0C"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Niemcy</w:t>
            </w:r>
          </w:p>
        </w:tc>
        <w:tc>
          <w:tcPr>
            <w:tcW w:w="1141" w:type="dxa"/>
            <w:shd w:val="clear" w:color="auto" w:fill="auto"/>
            <w:noWrap/>
            <w:vAlign w:val="center"/>
          </w:tcPr>
          <w:p w14:paraId="4A542A5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9EA221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105</w:t>
            </w:r>
          </w:p>
        </w:tc>
        <w:tc>
          <w:tcPr>
            <w:tcW w:w="785" w:type="dxa"/>
            <w:vAlign w:val="center"/>
          </w:tcPr>
          <w:p w14:paraId="462B240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103</w:t>
            </w:r>
          </w:p>
        </w:tc>
        <w:tc>
          <w:tcPr>
            <w:tcW w:w="784" w:type="dxa"/>
            <w:vAlign w:val="center"/>
          </w:tcPr>
          <w:p w14:paraId="0010E4B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99</w:t>
            </w:r>
          </w:p>
        </w:tc>
        <w:tc>
          <w:tcPr>
            <w:tcW w:w="785" w:type="dxa"/>
            <w:vAlign w:val="center"/>
          </w:tcPr>
          <w:p w14:paraId="2322728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99</w:t>
            </w:r>
          </w:p>
        </w:tc>
        <w:tc>
          <w:tcPr>
            <w:tcW w:w="785" w:type="dxa"/>
            <w:vAlign w:val="center"/>
          </w:tcPr>
          <w:p w14:paraId="7B918F0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86</w:t>
            </w:r>
          </w:p>
        </w:tc>
        <w:tc>
          <w:tcPr>
            <w:tcW w:w="784" w:type="dxa"/>
            <w:vAlign w:val="center"/>
          </w:tcPr>
          <w:p w14:paraId="1A28ADB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84</w:t>
            </w:r>
          </w:p>
        </w:tc>
        <w:tc>
          <w:tcPr>
            <w:tcW w:w="785" w:type="dxa"/>
            <w:vAlign w:val="center"/>
          </w:tcPr>
          <w:p w14:paraId="259C81A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73</w:t>
            </w:r>
          </w:p>
        </w:tc>
        <w:tc>
          <w:tcPr>
            <w:tcW w:w="785" w:type="dxa"/>
            <w:shd w:val="clear" w:color="auto" w:fill="auto"/>
            <w:noWrap/>
            <w:vAlign w:val="center"/>
          </w:tcPr>
          <w:p w14:paraId="00276E91"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73</w:t>
            </w:r>
          </w:p>
        </w:tc>
      </w:tr>
      <w:tr w:rsidR="002F489B" w:rsidRPr="00F934D9" w14:paraId="02B0FE4E" w14:textId="77777777" w:rsidTr="00886F19">
        <w:trPr>
          <w:trHeight w:val="294"/>
        </w:trPr>
        <w:tc>
          <w:tcPr>
            <w:tcW w:w="1783" w:type="dxa"/>
            <w:shd w:val="clear" w:color="auto" w:fill="auto"/>
            <w:noWrap/>
            <w:vAlign w:val="center"/>
            <w:hideMark/>
          </w:tcPr>
          <w:p w14:paraId="6019BD95"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Polska</w:t>
            </w:r>
          </w:p>
        </w:tc>
        <w:tc>
          <w:tcPr>
            <w:tcW w:w="1141" w:type="dxa"/>
            <w:shd w:val="clear" w:color="auto" w:fill="auto"/>
            <w:noWrap/>
            <w:vAlign w:val="center"/>
          </w:tcPr>
          <w:p w14:paraId="568ADCA6"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100</w:t>
            </w:r>
          </w:p>
        </w:tc>
        <w:tc>
          <w:tcPr>
            <w:tcW w:w="784" w:type="dxa"/>
            <w:vAlign w:val="center"/>
          </w:tcPr>
          <w:p w14:paraId="283FA5FF"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102</w:t>
            </w:r>
          </w:p>
        </w:tc>
        <w:tc>
          <w:tcPr>
            <w:tcW w:w="785" w:type="dxa"/>
            <w:vAlign w:val="center"/>
          </w:tcPr>
          <w:p w14:paraId="2CCFEB60"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107</w:t>
            </w:r>
          </w:p>
        </w:tc>
        <w:tc>
          <w:tcPr>
            <w:tcW w:w="784" w:type="dxa"/>
            <w:vAlign w:val="center"/>
          </w:tcPr>
          <w:p w14:paraId="3F857D25"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105</w:t>
            </w:r>
          </w:p>
        </w:tc>
        <w:tc>
          <w:tcPr>
            <w:tcW w:w="785" w:type="dxa"/>
            <w:vAlign w:val="center"/>
          </w:tcPr>
          <w:p w14:paraId="7F1EC1EA"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100</w:t>
            </w:r>
          </w:p>
        </w:tc>
        <w:tc>
          <w:tcPr>
            <w:tcW w:w="785" w:type="dxa"/>
            <w:vAlign w:val="center"/>
          </w:tcPr>
          <w:p w14:paraId="5A02272A"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91</w:t>
            </w:r>
          </w:p>
        </w:tc>
        <w:tc>
          <w:tcPr>
            <w:tcW w:w="784" w:type="dxa"/>
            <w:vAlign w:val="center"/>
          </w:tcPr>
          <w:p w14:paraId="1FA56B86"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106</w:t>
            </w:r>
          </w:p>
        </w:tc>
        <w:tc>
          <w:tcPr>
            <w:tcW w:w="785" w:type="dxa"/>
            <w:vAlign w:val="center"/>
          </w:tcPr>
          <w:p w14:paraId="281AB16C"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64</w:t>
            </w:r>
          </w:p>
        </w:tc>
        <w:tc>
          <w:tcPr>
            <w:tcW w:w="785" w:type="dxa"/>
            <w:shd w:val="clear" w:color="auto" w:fill="auto"/>
            <w:noWrap/>
            <w:vAlign w:val="center"/>
          </w:tcPr>
          <w:p w14:paraId="2315497D" w14:textId="77777777" w:rsidR="002F489B" w:rsidRPr="0053095E" w:rsidRDefault="002F489B" w:rsidP="00F841F4">
            <w:pPr>
              <w:spacing w:after="0" w:line="240" w:lineRule="auto"/>
              <w:jc w:val="center"/>
              <w:rPr>
                <w:rFonts w:ascii="Arial" w:eastAsia="Times New Roman" w:hAnsi="Arial" w:cs="Arial"/>
                <w:b/>
                <w:bCs/>
                <w:sz w:val="20"/>
                <w:szCs w:val="20"/>
                <w:lang w:eastAsia="pl-PL"/>
              </w:rPr>
            </w:pPr>
            <w:r w:rsidRPr="0053095E">
              <w:rPr>
                <w:rFonts w:ascii="Arial" w:eastAsia="Times New Roman" w:hAnsi="Arial" w:cs="Arial"/>
                <w:b/>
                <w:bCs/>
                <w:sz w:val="20"/>
                <w:szCs w:val="20"/>
                <w:lang w:eastAsia="pl-PL"/>
              </w:rPr>
              <w:t>67</w:t>
            </w:r>
          </w:p>
        </w:tc>
      </w:tr>
      <w:tr w:rsidR="002F489B" w:rsidRPr="00F934D9" w14:paraId="1F753732" w14:textId="77777777" w:rsidTr="00886F19">
        <w:trPr>
          <w:trHeight w:val="294"/>
        </w:trPr>
        <w:tc>
          <w:tcPr>
            <w:tcW w:w="1783" w:type="dxa"/>
            <w:shd w:val="clear" w:color="auto" w:fill="auto"/>
            <w:noWrap/>
            <w:vAlign w:val="center"/>
            <w:hideMark/>
          </w:tcPr>
          <w:p w14:paraId="5B18AB29"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Portugalia</w:t>
            </w:r>
          </w:p>
        </w:tc>
        <w:tc>
          <w:tcPr>
            <w:tcW w:w="1141" w:type="dxa"/>
            <w:shd w:val="clear" w:color="auto" w:fill="auto"/>
            <w:noWrap/>
            <w:vAlign w:val="center"/>
          </w:tcPr>
          <w:p w14:paraId="5C6B1FE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4B3FA3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107</w:t>
            </w:r>
          </w:p>
        </w:tc>
        <w:tc>
          <w:tcPr>
            <w:tcW w:w="785" w:type="dxa"/>
            <w:vAlign w:val="center"/>
          </w:tcPr>
          <w:p w14:paraId="5793289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88</w:t>
            </w:r>
          </w:p>
        </w:tc>
        <w:tc>
          <w:tcPr>
            <w:tcW w:w="784" w:type="dxa"/>
            <w:vAlign w:val="center"/>
          </w:tcPr>
          <w:p w14:paraId="4389C29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101</w:t>
            </w:r>
          </w:p>
        </w:tc>
        <w:tc>
          <w:tcPr>
            <w:tcW w:w="785" w:type="dxa"/>
            <w:vAlign w:val="center"/>
          </w:tcPr>
          <w:p w14:paraId="16FACD2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79</w:t>
            </w:r>
          </w:p>
        </w:tc>
        <w:tc>
          <w:tcPr>
            <w:tcW w:w="785" w:type="dxa"/>
            <w:vAlign w:val="center"/>
          </w:tcPr>
          <w:p w14:paraId="2E9C669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67</w:t>
            </w:r>
          </w:p>
        </w:tc>
        <w:tc>
          <w:tcPr>
            <w:tcW w:w="784" w:type="dxa"/>
            <w:vAlign w:val="center"/>
          </w:tcPr>
          <w:p w14:paraId="4119B05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71</w:t>
            </w:r>
          </w:p>
        </w:tc>
        <w:tc>
          <w:tcPr>
            <w:tcW w:w="785" w:type="dxa"/>
            <w:vAlign w:val="center"/>
          </w:tcPr>
          <w:p w14:paraId="118FA80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60</w:t>
            </w:r>
          </w:p>
        </w:tc>
        <w:tc>
          <w:tcPr>
            <w:tcW w:w="785" w:type="dxa"/>
            <w:shd w:val="clear" w:color="auto" w:fill="auto"/>
            <w:noWrap/>
            <w:vAlign w:val="center"/>
          </w:tcPr>
          <w:p w14:paraId="4F2D7F3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60</w:t>
            </w:r>
          </w:p>
        </w:tc>
      </w:tr>
      <w:tr w:rsidR="002F489B" w:rsidRPr="00F934D9" w14:paraId="3A7112C7" w14:textId="77777777" w:rsidTr="00886F19">
        <w:trPr>
          <w:trHeight w:val="294"/>
        </w:trPr>
        <w:tc>
          <w:tcPr>
            <w:tcW w:w="1783" w:type="dxa"/>
            <w:shd w:val="clear" w:color="auto" w:fill="auto"/>
            <w:noWrap/>
            <w:vAlign w:val="center"/>
            <w:hideMark/>
          </w:tcPr>
          <w:p w14:paraId="6ED33C13"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Rumunia</w:t>
            </w:r>
          </w:p>
        </w:tc>
        <w:tc>
          <w:tcPr>
            <w:tcW w:w="1141" w:type="dxa"/>
            <w:shd w:val="clear" w:color="auto" w:fill="auto"/>
            <w:noWrap/>
            <w:vAlign w:val="center"/>
          </w:tcPr>
          <w:p w14:paraId="38B4869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009CE31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52</w:t>
            </w:r>
          </w:p>
        </w:tc>
        <w:tc>
          <w:tcPr>
            <w:tcW w:w="785" w:type="dxa"/>
            <w:vAlign w:val="center"/>
          </w:tcPr>
          <w:p w14:paraId="1DC1C49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57</w:t>
            </w:r>
          </w:p>
        </w:tc>
        <w:tc>
          <w:tcPr>
            <w:tcW w:w="784" w:type="dxa"/>
            <w:vAlign w:val="center"/>
          </w:tcPr>
          <w:p w14:paraId="2D9F0A9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53</w:t>
            </w:r>
          </w:p>
        </w:tc>
        <w:tc>
          <w:tcPr>
            <w:tcW w:w="785" w:type="dxa"/>
            <w:vAlign w:val="center"/>
          </w:tcPr>
          <w:p w14:paraId="49669B1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60</w:t>
            </w:r>
          </w:p>
        </w:tc>
        <w:tc>
          <w:tcPr>
            <w:tcW w:w="785" w:type="dxa"/>
            <w:vAlign w:val="center"/>
          </w:tcPr>
          <w:p w14:paraId="0057803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57</w:t>
            </w:r>
          </w:p>
        </w:tc>
        <w:tc>
          <w:tcPr>
            <w:tcW w:w="784" w:type="dxa"/>
            <w:vAlign w:val="center"/>
          </w:tcPr>
          <w:p w14:paraId="37DF174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46</w:t>
            </w:r>
          </w:p>
        </w:tc>
        <w:tc>
          <w:tcPr>
            <w:tcW w:w="785" w:type="dxa"/>
            <w:vAlign w:val="center"/>
          </w:tcPr>
          <w:p w14:paraId="048CA8F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36</w:t>
            </w:r>
          </w:p>
        </w:tc>
        <w:tc>
          <w:tcPr>
            <w:tcW w:w="785" w:type="dxa"/>
            <w:shd w:val="clear" w:color="auto" w:fill="auto"/>
            <w:noWrap/>
            <w:vAlign w:val="center"/>
          </w:tcPr>
          <w:p w14:paraId="233B712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32</w:t>
            </w:r>
          </w:p>
        </w:tc>
      </w:tr>
      <w:tr w:rsidR="002F489B" w:rsidRPr="00F934D9" w14:paraId="46A9A948" w14:textId="77777777" w:rsidTr="00886F19">
        <w:trPr>
          <w:trHeight w:val="294"/>
        </w:trPr>
        <w:tc>
          <w:tcPr>
            <w:tcW w:w="1783" w:type="dxa"/>
            <w:shd w:val="clear" w:color="auto" w:fill="auto"/>
            <w:noWrap/>
            <w:vAlign w:val="center"/>
            <w:hideMark/>
          </w:tcPr>
          <w:p w14:paraId="1EEA30D0"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Słowacja</w:t>
            </w:r>
          </w:p>
        </w:tc>
        <w:tc>
          <w:tcPr>
            <w:tcW w:w="1141" w:type="dxa"/>
            <w:shd w:val="clear" w:color="auto" w:fill="auto"/>
            <w:noWrap/>
            <w:vAlign w:val="center"/>
          </w:tcPr>
          <w:p w14:paraId="195F713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7D86C95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36E69BD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92</w:t>
            </w:r>
          </w:p>
        </w:tc>
        <w:tc>
          <w:tcPr>
            <w:tcW w:w="784" w:type="dxa"/>
            <w:vAlign w:val="center"/>
          </w:tcPr>
          <w:p w14:paraId="47F6735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54B35BF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92</w:t>
            </w:r>
          </w:p>
        </w:tc>
        <w:tc>
          <w:tcPr>
            <w:tcW w:w="785" w:type="dxa"/>
            <w:vAlign w:val="center"/>
          </w:tcPr>
          <w:p w14:paraId="7FDD107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98</w:t>
            </w:r>
          </w:p>
        </w:tc>
        <w:tc>
          <w:tcPr>
            <w:tcW w:w="784" w:type="dxa"/>
            <w:vAlign w:val="center"/>
          </w:tcPr>
          <w:p w14:paraId="5ECE76D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91</w:t>
            </w:r>
          </w:p>
        </w:tc>
        <w:tc>
          <w:tcPr>
            <w:tcW w:w="785" w:type="dxa"/>
            <w:vAlign w:val="center"/>
          </w:tcPr>
          <w:p w14:paraId="31B29BA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71</w:t>
            </w:r>
          </w:p>
        </w:tc>
        <w:tc>
          <w:tcPr>
            <w:tcW w:w="785" w:type="dxa"/>
            <w:shd w:val="clear" w:color="auto" w:fill="auto"/>
            <w:noWrap/>
            <w:vAlign w:val="center"/>
          </w:tcPr>
          <w:p w14:paraId="2C0B402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58</w:t>
            </w:r>
          </w:p>
        </w:tc>
      </w:tr>
      <w:tr w:rsidR="002F489B" w:rsidRPr="00F934D9" w14:paraId="277F2F7A" w14:textId="77777777" w:rsidTr="00886F19">
        <w:trPr>
          <w:trHeight w:val="294"/>
        </w:trPr>
        <w:tc>
          <w:tcPr>
            <w:tcW w:w="1783" w:type="dxa"/>
            <w:shd w:val="clear" w:color="auto" w:fill="auto"/>
            <w:noWrap/>
            <w:vAlign w:val="center"/>
            <w:hideMark/>
          </w:tcPr>
          <w:p w14:paraId="75D00C10"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Słowenia</w:t>
            </w:r>
          </w:p>
        </w:tc>
        <w:tc>
          <w:tcPr>
            <w:tcW w:w="1141" w:type="dxa"/>
            <w:shd w:val="clear" w:color="auto" w:fill="auto"/>
            <w:noWrap/>
            <w:vAlign w:val="center"/>
          </w:tcPr>
          <w:p w14:paraId="496BCB0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4757D5A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98</w:t>
            </w:r>
          </w:p>
        </w:tc>
        <w:tc>
          <w:tcPr>
            <w:tcW w:w="785" w:type="dxa"/>
            <w:vAlign w:val="center"/>
          </w:tcPr>
          <w:p w14:paraId="0FAD58C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083327E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107</w:t>
            </w:r>
          </w:p>
        </w:tc>
        <w:tc>
          <w:tcPr>
            <w:tcW w:w="785" w:type="dxa"/>
            <w:vAlign w:val="center"/>
          </w:tcPr>
          <w:p w14:paraId="2D8E9472"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98</w:t>
            </w:r>
          </w:p>
        </w:tc>
        <w:tc>
          <w:tcPr>
            <w:tcW w:w="785" w:type="dxa"/>
            <w:vAlign w:val="center"/>
          </w:tcPr>
          <w:p w14:paraId="51E1B6D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103</w:t>
            </w:r>
          </w:p>
        </w:tc>
        <w:tc>
          <w:tcPr>
            <w:tcW w:w="784" w:type="dxa"/>
            <w:vAlign w:val="center"/>
          </w:tcPr>
          <w:p w14:paraId="5B30901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75</w:t>
            </w:r>
          </w:p>
        </w:tc>
        <w:tc>
          <w:tcPr>
            <w:tcW w:w="785" w:type="dxa"/>
            <w:vAlign w:val="center"/>
          </w:tcPr>
          <w:p w14:paraId="711422A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72</w:t>
            </w:r>
          </w:p>
        </w:tc>
        <w:tc>
          <w:tcPr>
            <w:tcW w:w="785" w:type="dxa"/>
            <w:shd w:val="clear" w:color="auto" w:fill="auto"/>
            <w:noWrap/>
            <w:vAlign w:val="center"/>
          </w:tcPr>
          <w:p w14:paraId="2C828D9B"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68</w:t>
            </w:r>
          </w:p>
        </w:tc>
      </w:tr>
      <w:tr w:rsidR="002F489B" w:rsidRPr="00F934D9" w14:paraId="3A8E8A8C" w14:textId="77777777" w:rsidTr="00886F19">
        <w:trPr>
          <w:trHeight w:val="294"/>
        </w:trPr>
        <w:tc>
          <w:tcPr>
            <w:tcW w:w="1783" w:type="dxa"/>
            <w:shd w:val="clear" w:color="auto" w:fill="auto"/>
            <w:noWrap/>
            <w:vAlign w:val="center"/>
            <w:hideMark/>
          </w:tcPr>
          <w:p w14:paraId="554D2FB0"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Szwecja</w:t>
            </w:r>
          </w:p>
        </w:tc>
        <w:tc>
          <w:tcPr>
            <w:tcW w:w="1141" w:type="dxa"/>
            <w:shd w:val="clear" w:color="auto" w:fill="auto"/>
            <w:noWrap/>
            <w:vAlign w:val="center"/>
          </w:tcPr>
          <w:p w14:paraId="0D2B610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54355D0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86</w:t>
            </w:r>
          </w:p>
        </w:tc>
        <w:tc>
          <w:tcPr>
            <w:tcW w:w="785" w:type="dxa"/>
            <w:vAlign w:val="center"/>
          </w:tcPr>
          <w:p w14:paraId="1E3F6E9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82</w:t>
            </w:r>
          </w:p>
        </w:tc>
        <w:tc>
          <w:tcPr>
            <w:tcW w:w="784" w:type="dxa"/>
            <w:vAlign w:val="center"/>
          </w:tcPr>
          <w:p w14:paraId="0282CA3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67</w:t>
            </w:r>
          </w:p>
        </w:tc>
        <w:tc>
          <w:tcPr>
            <w:tcW w:w="785" w:type="dxa"/>
            <w:vAlign w:val="center"/>
          </w:tcPr>
          <w:p w14:paraId="6E9533C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69</w:t>
            </w:r>
          </w:p>
        </w:tc>
        <w:tc>
          <w:tcPr>
            <w:tcW w:w="785" w:type="dxa"/>
            <w:vAlign w:val="center"/>
          </w:tcPr>
          <w:p w14:paraId="6CF0BDF9"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59</w:t>
            </w:r>
          </w:p>
        </w:tc>
        <w:tc>
          <w:tcPr>
            <w:tcW w:w="784" w:type="dxa"/>
            <w:vAlign w:val="center"/>
          </w:tcPr>
          <w:p w14:paraId="6AB4F87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56</w:t>
            </w:r>
          </w:p>
        </w:tc>
        <w:tc>
          <w:tcPr>
            <w:tcW w:w="785" w:type="dxa"/>
            <w:vAlign w:val="center"/>
          </w:tcPr>
          <w:p w14:paraId="3BAC9C3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58</w:t>
            </w:r>
          </w:p>
        </w:tc>
        <w:tc>
          <w:tcPr>
            <w:tcW w:w="785" w:type="dxa"/>
            <w:shd w:val="clear" w:color="auto" w:fill="auto"/>
            <w:noWrap/>
            <w:vAlign w:val="center"/>
          </w:tcPr>
          <w:p w14:paraId="67F1992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61</w:t>
            </w:r>
          </w:p>
        </w:tc>
      </w:tr>
      <w:tr w:rsidR="002F489B" w:rsidRPr="00F934D9" w14:paraId="2A58349B" w14:textId="77777777" w:rsidTr="00886F19">
        <w:trPr>
          <w:trHeight w:val="294"/>
        </w:trPr>
        <w:tc>
          <w:tcPr>
            <w:tcW w:w="1783" w:type="dxa"/>
            <w:shd w:val="clear" w:color="auto" w:fill="auto"/>
            <w:noWrap/>
            <w:vAlign w:val="center"/>
            <w:hideMark/>
          </w:tcPr>
          <w:p w14:paraId="0965FAF9"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Węgry</w:t>
            </w:r>
          </w:p>
        </w:tc>
        <w:tc>
          <w:tcPr>
            <w:tcW w:w="1141" w:type="dxa"/>
            <w:shd w:val="clear" w:color="auto" w:fill="auto"/>
            <w:noWrap/>
            <w:vAlign w:val="center"/>
          </w:tcPr>
          <w:p w14:paraId="2859DB5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1A3FFA30"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113</w:t>
            </w:r>
          </w:p>
        </w:tc>
        <w:tc>
          <w:tcPr>
            <w:tcW w:w="785" w:type="dxa"/>
            <w:vAlign w:val="center"/>
          </w:tcPr>
          <w:p w14:paraId="236DC0A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117</w:t>
            </w:r>
          </w:p>
        </w:tc>
        <w:tc>
          <w:tcPr>
            <w:tcW w:w="784" w:type="dxa"/>
            <w:vAlign w:val="center"/>
          </w:tcPr>
          <w:p w14:paraId="4484AFDE"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115</w:t>
            </w:r>
          </w:p>
        </w:tc>
        <w:tc>
          <w:tcPr>
            <w:tcW w:w="785" w:type="dxa"/>
            <w:vAlign w:val="center"/>
          </w:tcPr>
          <w:p w14:paraId="315BB263"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111</w:t>
            </w:r>
          </w:p>
        </w:tc>
        <w:tc>
          <w:tcPr>
            <w:tcW w:w="785" w:type="dxa"/>
            <w:vAlign w:val="center"/>
          </w:tcPr>
          <w:p w14:paraId="25D75888"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97</w:t>
            </w:r>
          </w:p>
        </w:tc>
        <w:tc>
          <w:tcPr>
            <w:tcW w:w="784" w:type="dxa"/>
            <w:vAlign w:val="center"/>
          </w:tcPr>
          <w:p w14:paraId="516C27B5"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81</w:t>
            </w:r>
          </w:p>
        </w:tc>
        <w:tc>
          <w:tcPr>
            <w:tcW w:w="785" w:type="dxa"/>
            <w:vAlign w:val="center"/>
          </w:tcPr>
          <w:p w14:paraId="3D3C1D7A"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76</w:t>
            </w:r>
          </w:p>
        </w:tc>
        <w:tc>
          <w:tcPr>
            <w:tcW w:w="785" w:type="dxa"/>
            <w:shd w:val="clear" w:color="auto" w:fill="auto"/>
            <w:noWrap/>
            <w:vAlign w:val="center"/>
          </w:tcPr>
          <w:p w14:paraId="4643992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70</w:t>
            </w:r>
          </w:p>
        </w:tc>
      </w:tr>
      <w:tr w:rsidR="002F489B" w:rsidRPr="00757FA0" w14:paraId="77AC506E" w14:textId="77777777" w:rsidTr="00886F19">
        <w:trPr>
          <w:trHeight w:val="294"/>
        </w:trPr>
        <w:tc>
          <w:tcPr>
            <w:tcW w:w="1783" w:type="dxa"/>
            <w:shd w:val="clear" w:color="auto" w:fill="auto"/>
            <w:noWrap/>
            <w:vAlign w:val="center"/>
          </w:tcPr>
          <w:p w14:paraId="14E6EF4F" w14:textId="77777777" w:rsidR="002F489B" w:rsidRPr="0053095E" w:rsidRDefault="002F489B" w:rsidP="00F841F4">
            <w:pPr>
              <w:spacing w:after="0" w:line="240" w:lineRule="auto"/>
              <w:rPr>
                <w:rFonts w:ascii="Arial" w:eastAsia="Times New Roman" w:hAnsi="Arial" w:cs="Arial"/>
                <w:bCs/>
                <w:sz w:val="20"/>
                <w:szCs w:val="20"/>
                <w:lang w:eastAsia="pl-PL"/>
              </w:rPr>
            </w:pPr>
            <w:r w:rsidRPr="0053095E">
              <w:rPr>
                <w:rFonts w:ascii="Arial" w:eastAsia="Times New Roman" w:hAnsi="Arial" w:cs="Arial"/>
                <w:bCs/>
                <w:sz w:val="20"/>
                <w:szCs w:val="20"/>
                <w:lang w:eastAsia="pl-PL"/>
              </w:rPr>
              <w:t>Włochy</w:t>
            </w:r>
          </w:p>
        </w:tc>
        <w:tc>
          <w:tcPr>
            <w:tcW w:w="1141" w:type="dxa"/>
            <w:shd w:val="clear" w:color="auto" w:fill="auto"/>
            <w:noWrap/>
            <w:vAlign w:val="center"/>
          </w:tcPr>
          <w:p w14:paraId="7A776AB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100</w:t>
            </w:r>
          </w:p>
        </w:tc>
        <w:tc>
          <w:tcPr>
            <w:tcW w:w="784" w:type="dxa"/>
            <w:vAlign w:val="center"/>
          </w:tcPr>
          <w:p w14:paraId="5246A19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90</w:t>
            </w:r>
          </w:p>
        </w:tc>
        <w:tc>
          <w:tcPr>
            <w:tcW w:w="785" w:type="dxa"/>
            <w:vAlign w:val="center"/>
          </w:tcPr>
          <w:p w14:paraId="7AB2CC7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101</w:t>
            </w:r>
          </w:p>
        </w:tc>
        <w:tc>
          <w:tcPr>
            <w:tcW w:w="784" w:type="dxa"/>
            <w:vAlign w:val="center"/>
          </w:tcPr>
          <w:p w14:paraId="385BCA0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97</w:t>
            </w:r>
          </w:p>
        </w:tc>
        <w:tc>
          <w:tcPr>
            <w:tcW w:w="785" w:type="dxa"/>
            <w:vAlign w:val="center"/>
          </w:tcPr>
          <w:p w14:paraId="34632B44"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95</w:t>
            </w:r>
          </w:p>
        </w:tc>
        <w:tc>
          <w:tcPr>
            <w:tcW w:w="785" w:type="dxa"/>
            <w:vAlign w:val="center"/>
          </w:tcPr>
          <w:p w14:paraId="5B7FA1AC"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89</w:t>
            </w:r>
          </w:p>
        </w:tc>
        <w:tc>
          <w:tcPr>
            <w:tcW w:w="784" w:type="dxa"/>
            <w:vAlign w:val="center"/>
          </w:tcPr>
          <w:p w14:paraId="4A6A38BF"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81</w:t>
            </w:r>
          </w:p>
        </w:tc>
        <w:tc>
          <w:tcPr>
            <w:tcW w:w="785" w:type="dxa"/>
            <w:vAlign w:val="center"/>
          </w:tcPr>
          <w:p w14:paraId="680FDB7D"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66</w:t>
            </w:r>
          </w:p>
        </w:tc>
        <w:tc>
          <w:tcPr>
            <w:tcW w:w="785" w:type="dxa"/>
            <w:shd w:val="clear" w:color="auto" w:fill="auto"/>
            <w:noWrap/>
            <w:vAlign w:val="center"/>
          </w:tcPr>
          <w:p w14:paraId="43643E06" w14:textId="77777777" w:rsidR="002F489B" w:rsidRPr="0053095E" w:rsidRDefault="002F489B" w:rsidP="00F841F4">
            <w:pPr>
              <w:spacing w:after="0" w:line="240" w:lineRule="auto"/>
              <w:jc w:val="center"/>
              <w:rPr>
                <w:rFonts w:ascii="Arial" w:eastAsia="Times New Roman" w:hAnsi="Arial" w:cs="Arial"/>
                <w:bCs/>
                <w:sz w:val="20"/>
                <w:szCs w:val="20"/>
                <w:lang w:eastAsia="pl-PL"/>
              </w:rPr>
            </w:pPr>
            <w:r w:rsidRPr="0053095E">
              <w:rPr>
                <w:rFonts w:ascii="Arial" w:eastAsia="Times New Roman" w:hAnsi="Arial" w:cs="Arial"/>
                <w:bCs/>
                <w:sz w:val="20"/>
                <w:szCs w:val="20"/>
                <w:lang w:eastAsia="pl-PL"/>
              </w:rPr>
              <w:t>56</w:t>
            </w:r>
          </w:p>
        </w:tc>
      </w:tr>
    </w:tbl>
    <w:p w14:paraId="28968D84" w14:textId="77777777" w:rsidR="002F489B" w:rsidRPr="00F934D9" w:rsidRDefault="002F489B" w:rsidP="002F489B">
      <w:pPr>
        <w:jc w:val="both"/>
        <w:rPr>
          <w:rFonts w:cs="Times New Roman"/>
          <w:i/>
          <w:sz w:val="20"/>
          <w:szCs w:val="24"/>
        </w:rPr>
      </w:pPr>
      <w:r w:rsidRPr="00F934D9">
        <w:rPr>
          <w:rFonts w:cs="Times New Roman"/>
          <w:i/>
          <w:sz w:val="20"/>
          <w:szCs w:val="24"/>
        </w:rPr>
        <w:t xml:space="preserve">Źródło: </w:t>
      </w:r>
      <w:hyperlink w:history="1">
        <w:r w:rsidRPr="00F934D9">
          <w:rPr>
            <w:rStyle w:val="Hipercze"/>
            <w:i/>
            <w:sz w:val="20"/>
            <w:szCs w:val="24"/>
          </w:rPr>
          <w:t>https://ec.europa.eu/eurostat/databrowser/view/aei_hri/default/bar?lang=en</w:t>
        </w:r>
      </w:hyperlink>
    </w:p>
    <w:p w14:paraId="4705DAFA" w14:textId="77777777" w:rsidR="005B0ACA" w:rsidRDefault="005B0ACA" w:rsidP="002F489B">
      <w:pPr>
        <w:spacing w:before="120" w:after="0" w:line="240" w:lineRule="auto"/>
        <w:ind w:left="993" w:hanging="993"/>
        <w:rPr>
          <w:i/>
        </w:rPr>
      </w:pPr>
    </w:p>
    <w:p w14:paraId="04EAC81A" w14:textId="77777777" w:rsidR="005B0ACA" w:rsidRDefault="005B0ACA" w:rsidP="002F489B">
      <w:pPr>
        <w:spacing w:before="120" w:after="0" w:line="240" w:lineRule="auto"/>
        <w:ind w:left="993" w:hanging="993"/>
        <w:rPr>
          <w:i/>
        </w:rPr>
      </w:pPr>
    </w:p>
    <w:p w14:paraId="5C21D86E" w14:textId="77777777" w:rsidR="008A37A4" w:rsidRDefault="008A37A4" w:rsidP="002F489B">
      <w:pPr>
        <w:spacing w:before="120" w:after="0" w:line="240" w:lineRule="auto"/>
        <w:ind w:left="993" w:hanging="993"/>
        <w:rPr>
          <w:i/>
        </w:rPr>
      </w:pPr>
    </w:p>
    <w:p w14:paraId="5F8F4059" w14:textId="77777777" w:rsidR="00886F19" w:rsidRDefault="00886F19" w:rsidP="002F489B">
      <w:pPr>
        <w:spacing w:before="120" w:after="0" w:line="240" w:lineRule="auto"/>
        <w:ind w:left="993" w:hanging="993"/>
        <w:rPr>
          <w:i/>
        </w:rPr>
      </w:pPr>
    </w:p>
    <w:p w14:paraId="25FF6278" w14:textId="77777777" w:rsidR="00886F19" w:rsidRDefault="00886F19" w:rsidP="002F489B">
      <w:pPr>
        <w:spacing w:before="120" w:after="0" w:line="240" w:lineRule="auto"/>
        <w:ind w:left="993" w:hanging="993"/>
        <w:rPr>
          <w:i/>
        </w:rPr>
      </w:pPr>
    </w:p>
    <w:p w14:paraId="604B4D31" w14:textId="77777777" w:rsidR="00886F19" w:rsidRDefault="00886F19" w:rsidP="002F489B">
      <w:pPr>
        <w:spacing w:before="120" w:after="0" w:line="240" w:lineRule="auto"/>
        <w:ind w:left="993" w:hanging="993"/>
        <w:rPr>
          <w:i/>
        </w:rPr>
      </w:pPr>
    </w:p>
    <w:p w14:paraId="32BFB6AE" w14:textId="1F6B7B62" w:rsidR="002F489B" w:rsidRPr="008A37A4" w:rsidRDefault="002F489B" w:rsidP="008A37A4">
      <w:pPr>
        <w:spacing w:before="120" w:after="120" w:line="240" w:lineRule="auto"/>
        <w:ind w:left="993" w:hanging="993"/>
        <w:rPr>
          <w:rFonts w:ascii="Arial" w:hAnsi="Arial" w:cs="Arial"/>
          <w:i/>
          <w:sz w:val="20"/>
          <w:szCs w:val="20"/>
        </w:rPr>
      </w:pPr>
      <w:r w:rsidRPr="008A37A4">
        <w:rPr>
          <w:rFonts w:ascii="Arial" w:hAnsi="Arial" w:cs="Arial"/>
          <w:i/>
          <w:sz w:val="20"/>
          <w:szCs w:val="20"/>
        </w:rPr>
        <w:lastRenderedPageBreak/>
        <w:t xml:space="preserve">Rys. </w:t>
      </w:r>
      <w:r w:rsidR="005B0ACA">
        <w:rPr>
          <w:rFonts w:ascii="Arial" w:hAnsi="Arial" w:cs="Arial"/>
          <w:i/>
          <w:sz w:val="20"/>
          <w:szCs w:val="20"/>
        </w:rPr>
        <w:t>2</w:t>
      </w:r>
      <w:r w:rsidRPr="008A37A4">
        <w:rPr>
          <w:rFonts w:ascii="Arial" w:hAnsi="Arial" w:cs="Arial"/>
          <w:i/>
          <w:sz w:val="20"/>
          <w:szCs w:val="20"/>
        </w:rPr>
        <w:t>. Wartość wskaźnika HRI1 w 2021</w:t>
      </w:r>
      <w:r w:rsidR="00DD1D76">
        <w:rPr>
          <w:rFonts w:ascii="Arial" w:hAnsi="Arial" w:cs="Arial"/>
          <w:i/>
          <w:sz w:val="20"/>
          <w:szCs w:val="20"/>
        </w:rPr>
        <w:t xml:space="preserve">r. </w:t>
      </w:r>
      <w:r w:rsidRPr="008A37A4">
        <w:rPr>
          <w:rFonts w:ascii="Arial" w:hAnsi="Arial" w:cs="Arial"/>
          <w:i/>
          <w:sz w:val="20"/>
          <w:szCs w:val="20"/>
        </w:rPr>
        <w:t>w krajach Unii Europejskiej</w:t>
      </w:r>
    </w:p>
    <w:p w14:paraId="7FCFEDC0" w14:textId="77777777" w:rsidR="002F489B" w:rsidRPr="001454FB" w:rsidRDefault="002F489B" w:rsidP="002F489B">
      <w:pPr>
        <w:jc w:val="both"/>
        <w:rPr>
          <w:rFonts w:cs="Times New Roman"/>
          <w:szCs w:val="24"/>
        </w:rPr>
      </w:pPr>
      <w:r w:rsidRPr="001454FB">
        <w:rPr>
          <w:noProof/>
          <w:lang w:eastAsia="pl-PL"/>
        </w:rPr>
        <w:drawing>
          <wp:inline distT="0" distB="0" distL="0" distR="0" wp14:anchorId="7A6CF9E4" wp14:editId="666BE90A">
            <wp:extent cx="5486400" cy="5115464"/>
            <wp:effectExtent l="0" t="0" r="0" b="9525"/>
            <wp:docPr id="1935121470" name="Wykres 1935121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C0AFB72" w14:textId="0BBA349A" w:rsidR="002F489B" w:rsidRDefault="002F489B" w:rsidP="00D25022">
      <w:pPr>
        <w:pStyle w:val="NormalnyWeb"/>
        <w:tabs>
          <w:tab w:val="left" w:pos="284"/>
        </w:tabs>
        <w:spacing w:beforeAutospacing="0" w:after="120" w:afterAutospacing="0" w:line="360" w:lineRule="auto"/>
        <w:ind w:firstLine="284"/>
        <w:jc w:val="both"/>
        <w:rPr>
          <w:rFonts w:ascii="Arial" w:hAnsi="Arial" w:cs="Arial"/>
        </w:rPr>
      </w:pPr>
      <w:r w:rsidRPr="00D25022">
        <w:rPr>
          <w:rFonts w:ascii="Arial" w:hAnsi="Arial" w:cs="Arial"/>
        </w:rPr>
        <w:t xml:space="preserve">Zmiany wartości wskaźnika dla Polski w latach 2011-2021 są zbliżone do zmian wartości dla średniej ze wszystkich krajów UE – co zostało zaprezentowane na rysunku </w:t>
      </w:r>
      <w:r w:rsidR="001A6BB6">
        <w:rPr>
          <w:rFonts w:ascii="Arial" w:hAnsi="Arial" w:cs="Arial"/>
        </w:rPr>
        <w:t>3</w:t>
      </w:r>
      <w:r w:rsidRPr="00D25022">
        <w:rPr>
          <w:rFonts w:ascii="Arial" w:hAnsi="Arial" w:cs="Arial"/>
        </w:rPr>
        <w:t>.</w:t>
      </w:r>
    </w:p>
    <w:p w14:paraId="1C5D07ED" w14:textId="4F7F8ECA" w:rsidR="002F489B" w:rsidRPr="00D25022" w:rsidRDefault="002F489B" w:rsidP="002F489B">
      <w:pPr>
        <w:spacing w:before="120" w:after="0" w:line="240" w:lineRule="auto"/>
        <w:ind w:left="993" w:hanging="993"/>
        <w:rPr>
          <w:rFonts w:ascii="Arial" w:hAnsi="Arial" w:cs="Arial"/>
          <w:i/>
          <w:sz w:val="20"/>
          <w:szCs w:val="20"/>
        </w:rPr>
      </w:pPr>
      <w:r w:rsidRPr="00D25022">
        <w:rPr>
          <w:rFonts w:ascii="Arial" w:hAnsi="Arial" w:cs="Arial"/>
          <w:i/>
          <w:sz w:val="20"/>
          <w:szCs w:val="20"/>
        </w:rPr>
        <w:t xml:space="preserve">Rys. </w:t>
      </w:r>
      <w:r w:rsidR="001A6BB6">
        <w:rPr>
          <w:rFonts w:ascii="Arial" w:hAnsi="Arial" w:cs="Arial"/>
          <w:i/>
          <w:sz w:val="20"/>
          <w:szCs w:val="20"/>
        </w:rPr>
        <w:t>3</w:t>
      </w:r>
      <w:r w:rsidRPr="00D25022">
        <w:rPr>
          <w:rFonts w:ascii="Arial" w:hAnsi="Arial" w:cs="Arial"/>
          <w:i/>
          <w:sz w:val="20"/>
          <w:szCs w:val="20"/>
        </w:rPr>
        <w:t>. Wskaźnik HRI1 – porównanie wartości dla UE i Polski w latach 2011-2021</w:t>
      </w:r>
    </w:p>
    <w:p w14:paraId="3805DBD3" w14:textId="77777777" w:rsidR="002F489B" w:rsidRDefault="002F489B" w:rsidP="002F489B">
      <w:pPr>
        <w:jc w:val="both"/>
        <w:rPr>
          <w:rFonts w:cs="Times New Roman"/>
          <w:szCs w:val="24"/>
          <w:highlight w:val="yellow"/>
        </w:rPr>
      </w:pPr>
      <w:r>
        <w:rPr>
          <w:noProof/>
          <w:lang w:eastAsia="pl-PL"/>
        </w:rPr>
        <w:drawing>
          <wp:inline distT="0" distB="0" distL="0" distR="0" wp14:anchorId="5502CFB8" wp14:editId="71FCFF74">
            <wp:extent cx="5598544" cy="2708695"/>
            <wp:effectExtent l="0" t="0" r="2540" b="15875"/>
            <wp:docPr id="796258159" name="Wykres 796258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BECD110" w14:textId="2C92BA92" w:rsidR="002F489B" w:rsidRDefault="002F489B" w:rsidP="00196657">
      <w:pPr>
        <w:pStyle w:val="NormalnyWeb"/>
        <w:tabs>
          <w:tab w:val="left" w:pos="284"/>
        </w:tabs>
        <w:spacing w:beforeAutospacing="0" w:after="120" w:afterAutospacing="0" w:line="360" w:lineRule="auto"/>
        <w:ind w:firstLine="284"/>
        <w:jc w:val="both"/>
        <w:rPr>
          <w:rFonts w:ascii="Arial" w:hAnsi="Arial" w:cs="Arial"/>
        </w:rPr>
      </w:pPr>
      <w:r w:rsidRPr="00196657">
        <w:rPr>
          <w:rFonts w:ascii="Arial" w:hAnsi="Arial" w:cs="Arial"/>
        </w:rPr>
        <w:lastRenderedPageBreak/>
        <w:t xml:space="preserve">Zmniejszenie wartości wskaźnika w latach 2020-2021 spowodowane zostało przez wzrost sprzedaży ważonej w okresie bazowym (2011-2013). Ten wzrost wynika z wycofania z obrotu sporej grupy substancji czynnych w 2021 </w:t>
      </w:r>
      <w:r w:rsidR="0060377D">
        <w:rPr>
          <w:rFonts w:ascii="Arial" w:hAnsi="Arial" w:cs="Arial"/>
        </w:rPr>
        <w:t xml:space="preserve">r. </w:t>
      </w:r>
      <w:r w:rsidRPr="00196657">
        <w:rPr>
          <w:rFonts w:ascii="Arial" w:hAnsi="Arial" w:cs="Arial"/>
        </w:rPr>
        <w:t>i przeliczenia ich sprzedaży ważonej w okresie bazowym (wg klasyfikacji z 2021</w:t>
      </w:r>
      <w:r w:rsidR="00196657">
        <w:rPr>
          <w:rFonts w:ascii="Arial" w:hAnsi="Arial" w:cs="Arial"/>
        </w:rPr>
        <w:t xml:space="preserve"> r.</w:t>
      </w:r>
      <w:r w:rsidRPr="00196657">
        <w:rPr>
          <w:rFonts w:ascii="Arial" w:hAnsi="Arial" w:cs="Arial"/>
        </w:rPr>
        <w:t>) z wagą 64.</w:t>
      </w:r>
    </w:p>
    <w:p w14:paraId="571D1E90" w14:textId="05A12683" w:rsidR="002F489B" w:rsidRPr="00196657" w:rsidRDefault="002F489B" w:rsidP="00196657">
      <w:pPr>
        <w:spacing w:before="120" w:after="120" w:line="240" w:lineRule="auto"/>
        <w:ind w:left="993" w:hanging="993"/>
        <w:rPr>
          <w:rFonts w:ascii="Arial" w:hAnsi="Arial" w:cs="Arial"/>
          <w:i/>
          <w:sz w:val="20"/>
          <w:szCs w:val="20"/>
        </w:rPr>
      </w:pPr>
      <w:r w:rsidRPr="00196657">
        <w:rPr>
          <w:rFonts w:ascii="Arial" w:hAnsi="Arial" w:cs="Arial"/>
          <w:i/>
          <w:sz w:val="20"/>
          <w:szCs w:val="20"/>
        </w:rPr>
        <w:t xml:space="preserve">Tabela </w:t>
      </w:r>
      <w:r w:rsidR="002A6741">
        <w:rPr>
          <w:rFonts w:ascii="Arial" w:hAnsi="Arial" w:cs="Arial"/>
          <w:i/>
          <w:sz w:val="20"/>
          <w:szCs w:val="20"/>
        </w:rPr>
        <w:t>3</w:t>
      </w:r>
      <w:r w:rsidRPr="00196657">
        <w:rPr>
          <w:rFonts w:ascii="Arial" w:hAnsi="Arial" w:cs="Arial"/>
          <w:i/>
          <w:sz w:val="20"/>
          <w:szCs w:val="20"/>
        </w:rPr>
        <w:t>. Substancje czynne, których wycofanie z obrotu miało największy wpływ na obniżenie wartości wskaźnika HRI1 dla klasyfikacji z 2021</w:t>
      </w:r>
      <w:r w:rsidR="0060377D">
        <w:rPr>
          <w:rFonts w:ascii="Arial" w:hAnsi="Arial" w:cs="Arial"/>
          <w:i/>
          <w:sz w:val="20"/>
          <w:szCs w:val="20"/>
        </w:rPr>
        <w:t xml:space="preserve"> r.</w:t>
      </w:r>
    </w:p>
    <w:tbl>
      <w:tblPr>
        <w:tblW w:w="5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2174"/>
      </w:tblGrid>
      <w:tr w:rsidR="002F489B" w:rsidRPr="003F55D5" w14:paraId="0A3BACBF" w14:textId="77777777" w:rsidTr="00F841F4">
        <w:trPr>
          <w:trHeight w:val="300"/>
          <w:jc w:val="center"/>
        </w:trPr>
        <w:tc>
          <w:tcPr>
            <w:tcW w:w="2835" w:type="dxa"/>
            <w:shd w:val="clear" w:color="auto" w:fill="auto"/>
            <w:noWrap/>
            <w:vAlign w:val="center"/>
          </w:tcPr>
          <w:p w14:paraId="132A6CA8"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Nazwa substancji czynnej</w:t>
            </w:r>
          </w:p>
        </w:tc>
        <w:tc>
          <w:tcPr>
            <w:tcW w:w="2174" w:type="dxa"/>
            <w:shd w:val="clear" w:color="auto" w:fill="auto"/>
            <w:vAlign w:val="center"/>
          </w:tcPr>
          <w:p w14:paraId="5D97238C"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Grupa HRI1 przed wycofaniem</w:t>
            </w:r>
          </w:p>
        </w:tc>
      </w:tr>
      <w:tr w:rsidR="002F489B" w:rsidRPr="003F55D5" w14:paraId="4579F784" w14:textId="77777777" w:rsidTr="00F841F4">
        <w:trPr>
          <w:trHeight w:val="300"/>
          <w:jc w:val="center"/>
        </w:trPr>
        <w:tc>
          <w:tcPr>
            <w:tcW w:w="2835" w:type="dxa"/>
            <w:shd w:val="clear" w:color="auto" w:fill="auto"/>
            <w:noWrap/>
            <w:vAlign w:val="center"/>
          </w:tcPr>
          <w:p w14:paraId="2E5ECAAB"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CHLOROPIRYFOS</w:t>
            </w:r>
          </w:p>
        </w:tc>
        <w:tc>
          <w:tcPr>
            <w:tcW w:w="2174" w:type="dxa"/>
            <w:shd w:val="clear" w:color="auto" w:fill="auto"/>
            <w:vAlign w:val="center"/>
          </w:tcPr>
          <w:p w14:paraId="0591CD34"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2</w:t>
            </w:r>
          </w:p>
        </w:tc>
      </w:tr>
      <w:tr w:rsidR="002F489B" w:rsidRPr="003F55D5" w14:paraId="4BE320EB" w14:textId="77777777" w:rsidTr="00F841F4">
        <w:trPr>
          <w:trHeight w:val="300"/>
          <w:jc w:val="center"/>
        </w:trPr>
        <w:tc>
          <w:tcPr>
            <w:tcW w:w="2835" w:type="dxa"/>
            <w:shd w:val="clear" w:color="auto" w:fill="auto"/>
            <w:noWrap/>
            <w:vAlign w:val="center"/>
          </w:tcPr>
          <w:p w14:paraId="7319628F"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TIURAM</w:t>
            </w:r>
          </w:p>
        </w:tc>
        <w:tc>
          <w:tcPr>
            <w:tcW w:w="2174" w:type="dxa"/>
            <w:shd w:val="clear" w:color="auto" w:fill="auto"/>
            <w:vAlign w:val="center"/>
          </w:tcPr>
          <w:p w14:paraId="2FE6FF76"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2</w:t>
            </w:r>
          </w:p>
        </w:tc>
      </w:tr>
      <w:tr w:rsidR="002F489B" w:rsidRPr="003F55D5" w14:paraId="730460EF" w14:textId="77777777" w:rsidTr="00F841F4">
        <w:trPr>
          <w:trHeight w:val="300"/>
          <w:jc w:val="center"/>
        </w:trPr>
        <w:tc>
          <w:tcPr>
            <w:tcW w:w="2835" w:type="dxa"/>
            <w:shd w:val="clear" w:color="auto" w:fill="auto"/>
            <w:noWrap/>
            <w:vAlign w:val="center"/>
            <w:hideMark/>
          </w:tcPr>
          <w:p w14:paraId="6372A30C"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DIMETOAT</w:t>
            </w:r>
          </w:p>
        </w:tc>
        <w:tc>
          <w:tcPr>
            <w:tcW w:w="2174" w:type="dxa"/>
            <w:shd w:val="clear" w:color="auto" w:fill="auto"/>
            <w:vAlign w:val="center"/>
          </w:tcPr>
          <w:p w14:paraId="3FE5EEBB"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3</w:t>
            </w:r>
          </w:p>
        </w:tc>
      </w:tr>
      <w:tr w:rsidR="002F489B" w:rsidRPr="003F55D5" w14:paraId="5DE5268C" w14:textId="77777777" w:rsidTr="00F841F4">
        <w:trPr>
          <w:trHeight w:val="300"/>
          <w:jc w:val="center"/>
        </w:trPr>
        <w:tc>
          <w:tcPr>
            <w:tcW w:w="2835" w:type="dxa"/>
            <w:shd w:val="clear" w:color="auto" w:fill="auto"/>
            <w:noWrap/>
            <w:vAlign w:val="center"/>
            <w:hideMark/>
          </w:tcPr>
          <w:p w14:paraId="0A07AB56"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CHLOROTALONIL</w:t>
            </w:r>
          </w:p>
        </w:tc>
        <w:tc>
          <w:tcPr>
            <w:tcW w:w="2174" w:type="dxa"/>
            <w:shd w:val="clear" w:color="auto" w:fill="auto"/>
            <w:vAlign w:val="center"/>
          </w:tcPr>
          <w:p w14:paraId="6344B51E"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2</w:t>
            </w:r>
          </w:p>
        </w:tc>
      </w:tr>
      <w:tr w:rsidR="002F489B" w:rsidRPr="003F55D5" w14:paraId="6E82F6F6" w14:textId="77777777" w:rsidTr="00F841F4">
        <w:trPr>
          <w:trHeight w:val="300"/>
          <w:jc w:val="center"/>
        </w:trPr>
        <w:tc>
          <w:tcPr>
            <w:tcW w:w="2835" w:type="dxa"/>
            <w:shd w:val="clear" w:color="auto" w:fill="auto"/>
            <w:noWrap/>
            <w:vAlign w:val="center"/>
          </w:tcPr>
          <w:p w14:paraId="3B04C338"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FENPROPIMORF</w:t>
            </w:r>
          </w:p>
        </w:tc>
        <w:tc>
          <w:tcPr>
            <w:tcW w:w="2174" w:type="dxa"/>
            <w:shd w:val="clear" w:color="auto" w:fill="auto"/>
            <w:vAlign w:val="center"/>
          </w:tcPr>
          <w:p w14:paraId="40C20692"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2</w:t>
            </w:r>
          </w:p>
        </w:tc>
      </w:tr>
      <w:tr w:rsidR="002F489B" w:rsidRPr="003F55D5" w14:paraId="2E2F35DC" w14:textId="77777777" w:rsidTr="00F841F4">
        <w:trPr>
          <w:trHeight w:val="300"/>
          <w:jc w:val="center"/>
        </w:trPr>
        <w:tc>
          <w:tcPr>
            <w:tcW w:w="2835" w:type="dxa"/>
            <w:shd w:val="clear" w:color="auto" w:fill="auto"/>
            <w:noWrap/>
            <w:vAlign w:val="center"/>
          </w:tcPr>
          <w:p w14:paraId="31493919"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PROPIKONAZOL</w:t>
            </w:r>
          </w:p>
        </w:tc>
        <w:tc>
          <w:tcPr>
            <w:tcW w:w="2174" w:type="dxa"/>
            <w:shd w:val="clear" w:color="auto" w:fill="auto"/>
            <w:vAlign w:val="center"/>
          </w:tcPr>
          <w:p w14:paraId="61204620"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3</w:t>
            </w:r>
          </w:p>
        </w:tc>
      </w:tr>
      <w:tr w:rsidR="002F489B" w:rsidRPr="003F55D5" w14:paraId="0D3661FF" w14:textId="77777777" w:rsidTr="00F841F4">
        <w:trPr>
          <w:trHeight w:val="300"/>
          <w:jc w:val="center"/>
        </w:trPr>
        <w:tc>
          <w:tcPr>
            <w:tcW w:w="2835" w:type="dxa"/>
            <w:shd w:val="clear" w:color="auto" w:fill="auto"/>
            <w:noWrap/>
            <w:vAlign w:val="center"/>
          </w:tcPr>
          <w:p w14:paraId="6431F28A"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EPOKSYKONAZOL</w:t>
            </w:r>
          </w:p>
        </w:tc>
        <w:tc>
          <w:tcPr>
            <w:tcW w:w="2174" w:type="dxa"/>
            <w:shd w:val="clear" w:color="auto" w:fill="auto"/>
            <w:vAlign w:val="center"/>
          </w:tcPr>
          <w:p w14:paraId="6B328C1F"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3</w:t>
            </w:r>
          </w:p>
        </w:tc>
      </w:tr>
      <w:tr w:rsidR="002F489B" w:rsidRPr="003F55D5" w14:paraId="7B8A8FCD" w14:textId="77777777" w:rsidTr="00F841F4">
        <w:trPr>
          <w:trHeight w:val="300"/>
          <w:jc w:val="center"/>
        </w:trPr>
        <w:tc>
          <w:tcPr>
            <w:tcW w:w="2835" w:type="dxa"/>
            <w:shd w:val="clear" w:color="auto" w:fill="auto"/>
            <w:noWrap/>
            <w:vAlign w:val="center"/>
            <w:hideMark/>
          </w:tcPr>
          <w:p w14:paraId="7A5A3A4A"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DESMEDIFAM</w:t>
            </w:r>
          </w:p>
        </w:tc>
        <w:tc>
          <w:tcPr>
            <w:tcW w:w="2174" w:type="dxa"/>
            <w:shd w:val="clear" w:color="auto" w:fill="auto"/>
            <w:vAlign w:val="center"/>
          </w:tcPr>
          <w:p w14:paraId="727B3419"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2</w:t>
            </w:r>
          </w:p>
        </w:tc>
      </w:tr>
      <w:tr w:rsidR="002F489B" w:rsidRPr="003F55D5" w14:paraId="25664912" w14:textId="77777777" w:rsidTr="00F841F4">
        <w:trPr>
          <w:trHeight w:val="300"/>
          <w:jc w:val="center"/>
        </w:trPr>
        <w:tc>
          <w:tcPr>
            <w:tcW w:w="2835" w:type="dxa"/>
            <w:shd w:val="clear" w:color="auto" w:fill="auto"/>
            <w:noWrap/>
            <w:vAlign w:val="center"/>
          </w:tcPr>
          <w:p w14:paraId="0DBB9AE5"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TIAKLOPRYD</w:t>
            </w:r>
          </w:p>
        </w:tc>
        <w:tc>
          <w:tcPr>
            <w:tcW w:w="2174" w:type="dxa"/>
            <w:shd w:val="clear" w:color="auto" w:fill="auto"/>
            <w:vAlign w:val="center"/>
          </w:tcPr>
          <w:p w14:paraId="7131FA90"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3</w:t>
            </w:r>
          </w:p>
        </w:tc>
      </w:tr>
      <w:tr w:rsidR="002F489B" w:rsidRPr="00757FA0" w14:paraId="0C761047" w14:textId="77777777" w:rsidTr="00F841F4">
        <w:trPr>
          <w:trHeight w:val="300"/>
          <w:jc w:val="center"/>
        </w:trPr>
        <w:tc>
          <w:tcPr>
            <w:tcW w:w="2835" w:type="dxa"/>
            <w:shd w:val="clear" w:color="auto" w:fill="auto"/>
            <w:noWrap/>
            <w:vAlign w:val="center"/>
          </w:tcPr>
          <w:p w14:paraId="600DFA99"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DIKWAT</w:t>
            </w:r>
          </w:p>
        </w:tc>
        <w:tc>
          <w:tcPr>
            <w:tcW w:w="2174" w:type="dxa"/>
            <w:shd w:val="clear" w:color="auto" w:fill="auto"/>
            <w:vAlign w:val="center"/>
          </w:tcPr>
          <w:p w14:paraId="1353AF3A" w14:textId="77777777" w:rsidR="002F489B" w:rsidRPr="00196657" w:rsidRDefault="002F489B" w:rsidP="00F841F4">
            <w:pPr>
              <w:pStyle w:val="Standard"/>
              <w:spacing w:after="0" w:line="240" w:lineRule="auto"/>
              <w:jc w:val="center"/>
              <w:rPr>
                <w:rFonts w:ascii="Arial" w:hAnsi="Arial" w:cs="Arial"/>
                <w:sz w:val="20"/>
                <w:szCs w:val="20"/>
              </w:rPr>
            </w:pPr>
            <w:r w:rsidRPr="00196657">
              <w:rPr>
                <w:rFonts w:ascii="Arial" w:hAnsi="Arial" w:cs="Arial"/>
                <w:sz w:val="20"/>
                <w:szCs w:val="20"/>
              </w:rPr>
              <w:t>3</w:t>
            </w:r>
          </w:p>
        </w:tc>
      </w:tr>
    </w:tbl>
    <w:p w14:paraId="285B1CDB" w14:textId="77777777" w:rsidR="002F489B" w:rsidRDefault="002F489B" w:rsidP="002F489B">
      <w:pPr>
        <w:ind w:firstLine="567"/>
        <w:jc w:val="both"/>
        <w:rPr>
          <w:rFonts w:ascii="Cambria" w:hAnsi="Cambria" w:cstheme="minorHAnsi"/>
        </w:rPr>
      </w:pPr>
    </w:p>
    <w:p w14:paraId="4A6EC5B7" w14:textId="023173A6" w:rsidR="002F489B" w:rsidRPr="00085EC2" w:rsidRDefault="002F489B" w:rsidP="007165E2">
      <w:pPr>
        <w:pStyle w:val="NormalnyWeb"/>
        <w:tabs>
          <w:tab w:val="left" w:pos="284"/>
        </w:tabs>
        <w:spacing w:beforeAutospacing="0" w:after="120" w:afterAutospacing="0" w:line="360" w:lineRule="auto"/>
        <w:ind w:firstLine="284"/>
        <w:jc w:val="both"/>
        <w:rPr>
          <w:rFonts w:ascii="Arial" w:hAnsi="Arial" w:cs="Arial"/>
        </w:rPr>
      </w:pPr>
      <w:r w:rsidRPr="007165E2">
        <w:rPr>
          <w:rFonts w:ascii="Arial" w:hAnsi="Arial" w:cs="Arial"/>
        </w:rPr>
        <w:t xml:space="preserve">Jak zostało to przedstawione </w:t>
      </w:r>
      <w:r w:rsidRPr="00085EC2">
        <w:rPr>
          <w:rFonts w:ascii="Arial" w:hAnsi="Arial" w:cs="Arial"/>
        </w:rPr>
        <w:t xml:space="preserve">na rysunku </w:t>
      </w:r>
      <w:r w:rsidR="00085EC2" w:rsidRPr="00085EC2">
        <w:rPr>
          <w:rFonts w:ascii="Arial" w:hAnsi="Arial" w:cs="Arial"/>
        </w:rPr>
        <w:t>4</w:t>
      </w:r>
      <w:r w:rsidRPr="00085EC2">
        <w:rPr>
          <w:rFonts w:ascii="Arial" w:hAnsi="Arial" w:cs="Arial"/>
        </w:rPr>
        <w:t xml:space="preserve"> według wyliczeń z 2021</w:t>
      </w:r>
      <w:r w:rsidR="0060377D" w:rsidRPr="00085EC2">
        <w:rPr>
          <w:rFonts w:ascii="Arial" w:hAnsi="Arial" w:cs="Arial"/>
        </w:rPr>
        <w:t> </w:t>
      </w:r>
      <w:r w:rsidR="007165E2" w:rsidRPr="00085EC2">
        <w:rPr>
          <w:rFonts w:ascii="Arial" w:hAnsi="Arial" w:cs="Arial"/>
        </w:rPr>
        <w:t xml:space="preserve">r. </w:t>
      </w:r>
      <w:r w:rsidRPr="00085EC2">
        <w:rPr>
          <w:rFonts w:ascii="Arial" w:hAnsi="Arial" w:cs="Arial"/>
        </w:rPr>
        <w:t>wartość wskaźnika HRI1 w</w:t>
      </w:r>
      <w:r w:rsidR="007165E2" w:rsidRPr="00085EC2">
        <w:rPr>
          <w:rFonts w:ascii="Arial" w:hAnsi="Arial" w:cs="Arial"/>
        </w:rPr>
        <w:t> </w:t>
      </w:r>
      <w:r w:rsidRPr="00085EC2">
        <w:rPr>
          <w:rFonts w:ascii="Arial" w:hAnsi="Arial" w:cs="Arial"/>
        </w:rPr>
        <w:t>ostatnich dwóch latach spadła o ponad 30 pkt poniżej wartości obliczonej dla lat bazowych (2011-2013).</w:t>
      </w:r>
    </w:p>
    <w:p w14:paraId="16A3D440" w14:textId="3E2E4B7F" w:rsidR="002F489B" w:rsidRPr="007165E2" w:rsidRDefault="002F489B" w:rsidP="007165E2">
      <w:pPr>
        <w:spacing w:before="120" w:after="120" w:line="240" w:lineRule="auto"/>
        <w:ind w:left="993" w:hanging="993"/>
        <w:rPr>
          <w:rFonts w:ascii="Arial" w:hAnsi="Arial" w:cs="Arial"/>
          <w:i/>
          <w:sz w:val="20"/>
          <w:szCs w:val="20"/>
        </w:rPr>
      </w:pPr>
      <w:r w:rsidRPr="00085EC2">
        <w:rPr>
          <w:rFonts w:ascii="Arial" w:hAnsi="Arial" w:cs="Arial"/>
          <w:i/>
          <w:sz w:val="20"/>
          <w:szCs w:val="20"/>
        </w:rPr>
        <w:t xml:space="preserve">Rys. </w:t>
      </w:r>
      <w:r w:rsidR="00085EC2" w:rsidRPr="00085EC2">
        <w:rPr>
          <w:rFonts w:ascii="Arial" w:hAnsi="Arial" w:cs="Arial"/>
          <w:i/>
          <w:sz w:val="20"/>
          <w:szCs w:val="20"/>
        </w:rPr>
        <w:t>4</w:t>
      </w:r>
      <w:r w:rsidRPr="00085EC2">
        <w:rPr>
          <w:rFonts w:ascii="Arial" w:hAnsi="Arial" w:cs="Arial"/>
          <w:i/>
          <w:sz w:val="20"/>
          <w:szCs w:val="20"/>
        </w:rPr>
        <w:t>. Trend wartości wskaźnika HRI1</w:t>
      </w:r>
      <w:r w:rsidRPr="007165E2">
        <w:rPr>
          <w:rFonts w:ascii="Arial" w:hAnsi="Arial" w:cs="Arial"/>
          <w:i/>
          <w:sz w:val="20"/>
          <w:szCs w:val="20"/>
        </w:rPr>
        <w:t xml:space="preserve"> dla Polski (lata 2011-2021)</w:t>
      </w:r>
    </w:p>
    <w:p w14:paraId="26125BC4" w14:textId="77777777" w:rsidR="002F489B" w:rsidRPr="00757FA0" w:rsidRDefault="002F489B" w:rsidP="002F489B">
      <w:pPr>
        <w:shd w:val="clear" w:color="auto" w:fill="FFFFFF"/>
        <w:spacing w:after="0"/>
        <w:jc w:val="both"/>
        <w:textAlignment w:val="baseline"/>
        <w:rPr>
          <w:rFonts w:eastAsia="Times New Roman" w:cs="Times New Roman"/>
          <w:color w:val="1B1B1B"/>
          <w:sz w:val="28"/>
          <w:szCs w:val="24"/>
          <w:highlight w:val="yellow"/>
          <w:lang w:eastAsia="pl-PL"/>
        </w:rPr>
      </w:pPr>
      <w:r w:rsidRPr="00B73153">
        <w:rPr>
          <w:noProof/>
          <w:lang w:eastAsia="pl-PL"/>
        </w:rPr>
        <w:drawing>
          <wp:inline distT="0" distB="0" distL="0" distR="0" wp14:anchorId="5252741A" wp14:editId="66897718">
            <wp:extent cx="6329239" cy="3579731"/>
            <wp:effectExtent l="0" t="0" r="0" b="1905"/>
            <wp:docPr id="658581123" name="Obraz 658581123"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1123" name="Obraz 658581123" descr="Obraz zawierający tekst, zrzut ekranu, linia, Czcionka&#10;&#10;Opis wygenerowany automatycznie"/>
                    <pic:cNvPicPr/>
                  </pic:nvPicPr>
                  <pic:blipFill>
                    <a:blip r:embed="rId51"/>
                    <a:stretch>
                      <a:fillRect/>
                    </a:stretch>
                  </pic:blipFill>
                  <pic:spPr>
                    <a:xfrm>
                      <a:off x="0" y="0"/>
                      <a:ext cx="6355226" cy="3594429"/>
                    </a:xfrm>
                    <a:prstGeom prst="rect">
                      <a:avLst/>
                    </a:prstGeom>
                  </pic:spPr>
                </pic:pic>
              </a:graphicData>
            </a:graphic>
          </wp:inline>
        </w:drawing>
      </w:r>
    </w:p>
    <w:p w14:paraId="295730BE" w14:textId="77777777" w:rsidR="002F489B" w:rsidRDefault="002F489B" w:rsidP="002F489B">
      <w:pPr>
        <w:shd w:val="clear" w:color="auto" w:fill="FFFFFF"/>
        <w:spacing w:after="0"/>
        <w:ind w:firstLine="708"/>
        <w:jc w:val="both"/>
        <w:textAlignment w:val="baseline"/>
        <w:rPr>
          <w:szCs w:val="24"/>
          <w:highlight w:val="yellow"/>
        </w:rPr>
      </w:pPr>
    </w:p>
    <w:p w14:paraId="05703A59" w14:textId="77777777" w:rsidR="009A5AA4" w:rsidRDefault="009A5AA4" w:rsidP="00DF1616">
      <w:pPr>
        <w:pStyle w:val="NormalnyWeb"/>
        <w:tabs>
          <w:tab w:val="left" w:pos="284"/>
        </w:tabs>
        <w:spacing w:beforeAutospacing="0" w:after="120" w:afterAutospacing="0" w:line="360" w:lineRule="auto"/>
        <w:ind w:firstLine="284"/>
        <w:jc w:val="both"/>
        <w:rPr>
          <w:rFonts w:ascii="Arial" w:hAnsi="Arial" w:cs="Arial"/>
        </w:rPr>
      </w:pPr>
    </w:p>
    <w:p w14:paraId="3B369884" w14:textId="2EE43FCC" w:rsidR="002F489B" w:rsidRPr="00DF1616" w:rsidRDefault="002F489B" w:rsidP="00DF1616">
      <w:pPr>
        <w:pStyle w:val="NormalnyWeb"/>
        <w:tabs>
          <w:tab w:val="left" w:pos="284"/>
        </w:tabs>
        <w:spacing w:beforeAutospacing="0" w:after="120" w:afterAutospacing="0" w:line="360" w:lineRule="auto"/>
        <w:ind w:firstLine="284"/>
        <w:jc w:val="both"/>
        <w:rPr>
          <w:rFonts w:ascii="Arial" w:hAnsi="Arial" w:cs="Arial"/>
        </w:rPr>
      </w:pPr>
      <w:r w:rsidRPr="00DF1616">
        <w:rPr>
          <w:rFonts w:ascii="Arial" w:hAnsi="Arial" w:cs="Arial"/>
        </w:rPr>
        <w:lastRenderedPageBreak/>
        <w:t>Porównując ostatnie dwie wartości wskaźnika HRI1 można zauważyć, że jego wartość w 2021</w:t>
      </w:r>
      <w:r w:rsidR="001B1C53">
        <w:rPr>
          <w:rFonts w:ascii="Arial" w:hAnsi="Arial" w:cs="Arial"/>
        </w:rPr>
        <w:t> </w:t>
      </w:r>
      <w:r w:rsidR="00DF1616">
        <w:rPr>
          <w:rFonts w:ascii="Arial" w:hAnsi="Arial" w:cs="Arial"/>
        </w:rPr>
        <w:t xml:space="preserve">r. </w:t>
      </w:r>
      <w:r w:rsidRPr="00DF1616">
        <w:rPr>
          <w:rFonts w:ascii="Arial" w:hAnsi="Arial" w:cs="Arial"/>
        </w:rPr>
        <w:t>wynosi 67 i jest większa o 3 niż w 2020</w:t>
      </w:r>
      <w:r w:rsidR="0060377D">
        <w:rPr>
          <w:rFonts w:ascii="Arial" w:hAnsi="Arial" w:cs="Arial"/>
        </w:rPr>
        <w:t xml:space="preserve"> r.</w:t>
      </w:r>
      <w:r w:rsidRPr="00DF1616">
        <w:rPr>
          <w:rFonts w:ascii="Arial" w:hAnsi="Arial" w:cs="Arial"/>
        </w:rPr>
        <w:t xml:space="preserve"> (wzrost o 4,7%). W tym samym okresie sprzedaż substancji czynnych wzrosła o 9,5%. Sprzedaż herbicydów wzrosła o 12% w stosunku do 2020</w:t>
      </w:r>
      <w:r w:rsidR="0060377D">
        <w:rPr>
          <w:rFonts w:ascii="Arial" w:hAnsi="Arial" w:cs="Arial"/>
        </w:rPr>
        <w:t xml:space="preserve"> r.</w:t>
      </w:r>
      <w:r w:rsidRPr="00DF1616">
        <w:rPr>
          <w:rFonts w:ascii="Arial" w:hAnsi="Arial" w:cs="Arial"/>
        </w:rPr>
        <w:t>, a sprzedaż fungicydów o 8,3%. Wycofanie substancji takich jak fenpropimorf, epoksykonazol, tiaklopryd oraz zmniejszenie sprzedaży tiofanatu metylu czy mankozebu zmniejszyło sprzedaż ważoną co spowodowało, że wzrost wskaźnika HRI1 był mniejszy niż wzrost sprzedaży pomiędzy latami 2020-2021.</w:t>
      </w:r>
    </w:p>
    <w:p w14:paraId="3885CCC1" w14:textId="7E863AA7" w:rsidR="002F489B" w:rsidRPr="00DF1616" w:rsidRDefault="002F489B" w:rsidP="00DF1616">
      <w:pPr>
        <w:pStyle w:val="NormalnyWeb"/>
        <w:tabs>
          <w:tab w:val="left" w:pos="284"/>
        </w:tabs>
        <w:spacing w:beforeAutospacing="0" w:after="120" w:afterAutospacing="0" w:line="360" w:lineRule="auto"/>
        <w:ind w:firstLine="284"/>
        <w:jc w:val="both"/>
        <w:rPr>
          <w:rFonts w:ascii="Arial" w:hAnsi="Arial" w:cs="Arial"/>
        </w:rPr>
      </w:pPr>
      <w:r w:rsidRPr="00DF1616">
        <w:rPr>
          <w:rFonts w:ascii="Arial" w:hAnsi="Arial" w:cs="Arial"/>
        </w:rPr>
        <w:t xml:space="preserve">Średnie zużycie substancji czynnych w Polsce jest niższe niż średnia w UE, a zestawianie wskaźników HRI1 na poziomie krajów UE i porównywanie ich ze sobą może prowadzić do nieuzasadnionej wniosków i presji na kraje, </w:t>
      </w:r>
      <w:r w:rsidR="00A25731">
        <w:rPr>
          <w:rFonts w:ascii="Arial" w:hAnsi="Arial" w:cs="Arial"/>
        </w:rPr>
        <w:t xml:space="preserve">o niskim zużyciu </w:t>
      </w:r>
      <w:r w:rsidR="00A25731" w:rsidRPr="00F9534E">
        <w:rPr>
          <w:rFonts w:ascii="Arial" w:hAnsi="Arial" w:cs="Arial"/>
        </w:rPr>
        <w:t xml:space="preserve">środków ochrony roślin </w:t>
      </w:r>
      <w:r w:rsidRPr="00F9534E">
        <w:rPr>
          <w:rFonts w:ascii="Arial" w:hAnsi="Arial" w:cs="Arial"/>
        </w:rPr>
        <w:t xml:space="preserve">(Rys. </w:t>
      </w:r>
      <w:r w:rsidR="00F9534E" w:rsidRPr="00F9534E">
        <w:rPr>
          <w:rFonts w:ascii="Arial" w:hAnsi="Arial" w:cs="Arial"/>
        </w:rPr>
        <w:t>5</w:t>
      </w:r>
      <w:r w:rsidRPr="00F9534E">
        <w:rPr>
          <w:rFonts w:ascii="Arial" w:hAnsi="Arial" w:cs="Arial"/>
        </w:rPr>
        <w:t>).</w:t>
      </w:r>
    </w:p>
    <w:p w14:paraId="66190524" w14:textId="77777777" w:rsidR="008E3370" w:rsidRDefault="008E3370" w:rsidP="00DF1616">
      <w:pPr>
        <w:spacing w:before="120" w:after="120" w:line="240" w:lineRule="auto"/>
        <w:ind w:left="993" w:hanging="993"/>
        <w:rPr>
          <w:rFonts w:ascii="Arial" w:hAnsi="Arial" w:cs="Arial"/>
          <w:i/>
          <w:sz w:val="20"/>
          <w:szCs w:val="20"/>
        </w:rPr>
      </w:pPr>
    </w:p>
    <w:p w14:paraId="000CE8ED" w14:textId="5A053457" w:rsidR="002F489B" w:rsidRPr="00DF1616" w:rsidRDefault="002F489B" w:rsidP="00DF1616">
      <w:pPr>
        <w:spacing w:before="120" w:after="120" w:line="240" w:lineRule="auto"/>
        <w:ind w:left="993" w:hanging="993"/>
        <w:rPr>
          <w:rFonts w:ascii="Arial" w:hAnsi="Arial" w:cs="Arial"/>
          <w:i/>
          <w:sz w:val="20"/>
          <w:szCs w:val="20"/>
        </w:rPr>
      </w:pPr>
      <w:r w:rsidRPr="00DF1616">
        <w:rPr>
          <w:rFonts w:ascii="Arial" w:hAnsi="Arial" w:cs="Arial"/>
          <w:i/>
          <w:sz w:val="20"/>
          <w:szCs w:val="20"/>
        </w:rPr>
        <w:t xml:space="preserve">Rys. </w:t>
      </w:r>
      <w:r w:rsidR="00F9534E">
        <w:rPr>
          <w:rFonts w:ascii="Arial" w:hAnsi="Arial" w:cs="Arial"/>
          <w:i/>
          <w:sz w:val="20"/>
          <w:szCs w:val="20"/>
        </w:rPr>
        <w:t>5</w:t>
      </w:r>
      <w:r w:rsidRPr="00DF1616">
        <w:rPr>
          <w:rFonts w:ascii="Arial" w:hAnsi="Arial" w:cs="Arial"/>
          <w:i/>
          <w:sz w:val="20"/>
          <w:szCs w:val="20"/>
        </w:rPr>
        <w:t>. Wartość wskaźnika sprzedaży s.cz. na powierzchnię UAA–łąki [kg/ha] w porównaniu do wskaźnika HRI1 w 2021</w:t>
      </w:r>
      <w:r w:rsidR="0060377D">
        <w:rPr>
          <w:rFonts w:ascii="Arial" w:hAnsi="Arial" w:cs="Arial"/>
          <w:i/>
          <w:sz w:val="20"/>
          <w:szCs w:val="20"/>
        </w:rPr>
        <w:t xml:space="preserve"> r.</w:t>
      </w:r>
      <w:r w:rsidRPr="00DF1616">
        <w:rPr>
          <w:rFonts w:ascii="Arial" w:hAnsi="Arial" w:cs="Arial"/>
          <w:i/>
          <w:sz w:val="20"/>
          <w:szCs w:val="20"/>
        </w:rPr>
        <w:t xml:space="preserve"> w krajach Unii Europejskiej</w:t>
      </w:r>
    </w:p>
    <w:p w14:paraId="0A50734A" w14:textId="77777777" w:rsidR="002F489B" w:rsidRDefault="002F489B" w:rsidP="002F489B">
      <w:pPr>
        <w:jc w:val="both"/>
        <w:rPr>
          <w:rFonts w:cs="Times New Roman"/>
          <w:szCs w:val="24"/>
        </w:rPr>
      </w:pPr>
      <w:r>
        <w:rPr>
          <w:noProof/>
          <w:lang w:eastAsia="pl-PL"/>
        </w:rPr>
        <w:drawing>
          <wp:inline distT="0" distB="0" distL="0" distR="0" wp14:anchorId="7AABDBE7" wp14:editId="24DE5DEA">
            <wp:extent cx="5812404" cy="3061252"/>
            <wp:effectExtent l="0" t="0" r="17145" b="635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B639149" w14:textId="15B16E9D" w:rsidR="002F489B" w:rsidRDefault="002F489B" w:rsidP="00DF1616">
      <w:pPr>
        <w:pStyle w:val="NormalnyWeb"/>
        <w:tabs>
          <w:tab w:val="left" w:pos="284"/>
        </w:tabs>
        <w:spacing w:beforeAutospacing="0" w:after="120" w:afterAutospacing="0" w:line="360" w:lineRule="auto"/>
        <w:ind w:firstLine="284"/>
        <w:jc w:val="both"/>
        <w:rPr>
          <w:rFonts w:ascii="Arial" w:hAnsi="Arial" w:cs="Arial"/>
        </w:rPr>
      </w:pPr>
      <w:r w:rsidRPr="00DF1616">
        <w:rPr>
          <w:rFonts w:ascii="Arial" w:hAnsi="Arial" w:cs="Arial"/>
        </w:rPr>
        <w:t>Analizując wartości wskaźnika ryzyka HRI1 należy za każdym razem zaznaczyć, że bardzo ważnym elementem jest poziom wyjściowy ochrony roślin (intensywności) w okresie bazowym – ilość używanych środków, liczba zabiegów i plon. Poziom 100 dla każdego kraju oznacza inną intensywność wyjściową.</w:t>
      </w:r>
    </w:p>
    <w:p w14:paraId="4360234D" w14:textId="325FC881" w:rsidR="00A25731" w:rsidRPr="001B1C53" w:rsidRDefault="00A25731" w:rsidP="00A25731">
      <w:pPr>
        <w:spacing w:before="120" w:after="120" w:line="360" w:lineRule="auto"/>
        <w:jc w:val="both"/>
        <w:rPr>
          <w:rFonts w:ascii="Arial" w:hAnsi="Arial" w:cs="Arial"/>
          <w:b/>
          <w:sz w:val="20"/>
          <w:szCs w:val="20"/>
        </w:rPr>
      </w:pPr>
      <w:r w:rsidRPr="001B1C53">
        <w:rPr>
          <w:rFonts w:ascii="Arial" w:hAnsi="Arial" w:cs="Arial"/>
          <w:b/>
          <w:sz w:val="20"/>
          <w:szCs w:val="20"/>
        </w:rPr>
        <w:t>3. Zharmonizowany wskaźnika ryzyka HRI1 – rok 2022</w:t>
      </w:r>
      <w:r w:rsidR="007B3031">
        <w:rPr>
          <w:rFonts w:ascii="Arial" w:hAnsi="Arial" w:cs="Arial"/>
          <w:b/>
          <w:sz w:val="20"/>
          <w:szCs w:val="20"/>
        </w:rPr>
        <w:t xml:space="preserve"> (obliczenia na poziomie krajowym)</w:t>
      </w:r>
    </w:p>
    <w:p w14:paraId="5A3716C4" w14:textId="6C7F2981" w:rsidR="00A25731" w:rsidRDefault="00A25731" w:rsidP="00A25731">
      <w:pPr>
        <w:pStyle w:val="NormalnyWeb"/>
        <w:tabs>
          <w:tab w:val="left" w:pos="284"/>
        </w:tabs>
        <w:spacing w:before="120" w:beforeAutospacing="0" w:after="120" w:afterAutospacing="0" w:line="360" w:lineRule="auto"/>
        <w:ind w:firstLine="284"/>
        <w:jc w:val="both"/>
        <w:rPr>
          <w:rFonts w:ascii="Arial" w:hAnsi="Arial" w:cs="Arial"/>
        </w:rPr>
      </w:pPr>
      <w:r w:rsidRPr="00DD7E24">
        <w:rPr>
          <w:rFonts w:ascii="Arial" w:hAnsi="Arial" w:cs="Arial"/>
        </w:rPr>
        <w:t>W 2022</w:t>
      </w:r>
      <w:r>
        <w:rPr>
          <w:rFonts w:ascii="Arial" w:hAnsi="Arial" w:cs="Arial"/>
        </w:rPr>
        <w:t xml:space="preserve"> r. </w:t>
      </w:r>
      <w:r w:rsidRPr="00DD7E24">
        <w:rPr>
          <w:rFonts w:ascii="Arial" w:hAnsi="Arial" w:cs="Arial"/>
        </w:rPr>
        <w:t xml:space="preserve">przeprowadzono obliczenia wskaźnika HRI1 za lata 2011-2022 na poziomie krajowym (tabela </w:t>
      </w:r>
      <w:r w:rsidR="008809DC">
        <w:rPr>
          <w:rFonts w:ascii="Arial" w:hAnsi="Arial" w:cs="Arial"/>
        </w:rPr>
        <w:t>4</w:t>
      </w:r>
      <w:r w:rsidRPr="00DD7E24">
        <w:rPr>
          <w:rFonts w:ascii="Arial" w:hAnsi="Arial" w:cs="Arial"/>
        </w:rPr>
        <w:t xml:space="preserve">) wraz z analizą danych o sprzedaży substancji czynnych mających największy wpływ na zmiany wartości wskaźnika. </w:t>
      </w:r>
    </w:p>
    <w:p w14:paraId="5E03DCCD" w14:textId="77777777" w:rsidR="00F6778F" w:rsidRDefault="00F6778F" w:rsidP="00A25731">
      <w:pPr>
        <w:pStyle w:val="NormalnyWeb"/>
        <w:tabs>
          <w:tab w:val="left" w:pos="284"/>
        </w:tabs>
        <w:spacing w:before="120" w:beforeAutospacing="0" w:after="120" w:afterAutospacing="0" w:line="360" w:lineRule="auto"/>
        <w:ind w:firstLine="284"/>
        <w:jc w:val="both"/>
        <w:rPr>
          <w:rFonts w:ascii="Arial" w:hAnsi="Arial" w:cs="Arial"/>
        </w:rPr>
      </w:pPr>
    </w:p>
    <w:p w14:paraId="2AE34073" w14:textId="77777777" w:rsidR="00F6778F" w:rsidRDefault="00F6778F" w:rsidP="00A25731">
      <w:pPr>
        <w:pStyle w:val="NormalnyWeb"/>
        <w:tabs>
          <w:tab w:val="left" w:pos="284"/>
        </w:tabs>
        <w:spacing w:before="120" w:beforeAutospacing="0" w:after="120" w:afterAutospacing="0" w:line="360" w:lineRule="auto"/>
        <w:ind w:firstLine="284"/>
        <w:jc w:val="both"/>
        <w:rPr>
          <w:rFonts w:ascii="Arial" w:hAnsi="Arial" w:cs="Arial"/>
        </w:rPr>
      </w:pPr>
    </w:p>
    <w:p w14:paraId="6D39F4CA" w14:textId="77777777" w:rsidR="00F6778F" w:rsidRDefault="00F6778F" w:rsidP="00A25731">
      <w:pPr>
        <w:pStyle w:val="NormalnyWeb"/>
        <w:tabs>
          <w:tab w:val="left" w:pos="284"/>
        </w:tabs>
        <w:spacing w:before="120" w:beforeAutospacing="0" w:after="120" w:afterAutospacing="0" w:line="360" w:lineRule="auto"/>
        <w:ind w:firstLine="284"/>
        <w:jc w:val="both"/>
        <w:rPr>
          <w:rFonts w:ascii="Arial" w:hAnsi="Arial" w:cs="Arial"/>
        </w:rPr>
      </w:pPr>
    </w:p>
    <w:p w14:paraId="0E713639" w14:textId="65681E1E" w:rsidR="00A25731" w:rsidRPr="00111683" w:rsidRDefault="00A25731" w:rsidP="00A25731">
      <w:pPr>
        <w:spacing w:before="120" w:after="120" w:line="240" w:lineRule="auto"/>
        <w:ind w:left="993" w:hanging="993"/>
        <w:rPr>
          <w:rFonts w:ascii="Arial" w:hAnsi="Arial" w:cs="Arial"/>
          <w:i/>
          <w:sz w:val="20"/>
          <w:szCs w:val="20"/>
        </w:rPr>
      </w:pPr>
      <w:r w:rsidRPr="00111683">
        <w:rPr>
          <w:rFonts w:ascii="Arial" w:hAnsi="Arial" w:cs="Arial"/>
          <w:i/>
          <w:sz w:val="20"/>
          <w:szCs w:val="20"/>
        </w:rPr>
        <w:lastRenderedPageBreak/>
        <w:t xml:space="preserve">Tabela </w:t>
      </w:r>
      <w:r w:rsidR="008809DC">
        <w:rPr>
          <w:rFonts w:ascii="Arial" w:hAnsi="Arial" w:cs="Arial"/>
          <w:i/>
          <w:sz w:val="20"/>
          <w:szCs w:val="20"/>
        </w:rPr>
        <w:t>4</w:t>
      </w:r>
      <w:r w:rsidRPr="00111683">
        <w:rPr>
          <w:rFonts w:ascii="Arial" w:hAnsi="Arial" w:cs="Arial"/>
          <w:i/>
          <w:sz w:val="20"/>
          <w:szCs w:val="20"/>
        </w:rPr>
        <w:t>. Obliczenia wskaźnika HRI1 według prawdopodobnej klasyfikacji substancji za rok 2022</w:t>
      </w:r>
    </w:p>
    <w:tbl>
      <w:tblPr>
        <w:tblW w:w="9067" w:type="dxa"/>
        <w:tblInd w:w="75" w:type="dxa"/>
        <w:tblLayout w:type="fixed"/>
        <w:tblCellMar>
          <w:left w:w="70" w:type="dxa"/>
          <w:right w:w="70" w:type="dxa"/>
        </w:tblCellMar>
        <w:tblLook w:val="04A0" w:firstRow="1" w:lastRow="0" w:firstColumn="1" w:lastColumn="0" w:noHBand="0" w:noVBand="1"/>
      </w:tblPr>
      <w:tblGrid>
        <w:gridCol w:w="1180"/>
        <w:gridCol w:w="1095"/>
        <w:gridCol w:w="1096"/>
        <w:gridCol w:w="1095"/>
        <w:gridCol w:w="1096"/>
        <w:gridCol w:w="1096"/>
        <w:gridCol w:w="1134"/>
        <w:gridCol w:w="1275"/>
      </w:tblGrid>
      <w:tr w:rsidR="00A25731" w:rsidRPr="00293A04" w14:paraId="78AD1E37" w14:textId="77777777" w:rsidTr="00E03CB1">
        <w:trPr>
          <w:trHeight w:val="402"/>
        </w:trPr>
        <w:tc>
          <w:tcPr>
            <w:tcW w:w="118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839D418"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Rok</w:t>
            </w:r>
          </w:p>
        </w:tc>
        <w:tc>
          <w:tcPr>
            <w:tcW w:w="5478" w:type="dxa"/>
            <w:gridSpan w:val="5"/>
            <w:tcBorders>
              <w:top w:val="single" w:sz="4" w:space="0" w:color="auto"/>
              <w:left w:val="nil"/>
              <w:bottom w:val="single" w:sz="4" w:space="0" w:color="auto"/>
              <w:right w:val="single" w:sz="4" w:space="0" w:color="000000"/>
            </w:tcBorders>
            <w:shd w:val="clear" w:color="000000" w:fill="F2F2F2"/>
            <w:noWrap/>
            <w:vAlign w:val="center"/>
            <w:hideMark/>
          </w:tcPr>
          <w:p w14:paraId="4D8A56B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Sprzedaż substancji czynnych [w tonach]</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F2D7495"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Sprzedaż ważona</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DDE6A9F"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Wartość wskaźnika HRI1</w:t>
            </w:r>
          </w:p>
        </w:tc>
      </w:tr>
      <w:tr w:rsidR="00A25731" w:rsidRPr="00293A04" w14:paraId="159EE5CB" w14:textId="77777777" w:rsidTr="00E03CB1">
        <w:trPr>
          <w:trHeight w:val="270"/>
        </w:trPr>
        <w:tc>
          <w:tcPr>
            <w:tcW w:w="1180" w:type="dxa"/>
            <w:vMerge/>
            <w:tcBorders>
              <w:top w:val="single" w:sz="4" w:space="0" w:color="auto"/>
              <w:left w:val="single" w:sz="4" w:space="0" w:color="auto"/>
              <w:bottom w:val="single" w:sz="4" w:space="0" w:color="000000"/>
              <w:right w:val="single" w:sz="4" w:space="0" w:color="auto"/>
            </w:tcBorders>
            <w:vAlign w:val="center"/>
            <w:hideMark/>
          </w:tcPr>
          <w:p w14:paraId="246D169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095" w:type="dxa"/>
            <w:tcBorders>
              <w:top w:val="nil"/>
              <w:left w:val="nil"/>
              <w:bottom w:val="single" w:sz="4" w:space="0" w:color="auto"/>
              <w:right w:val="single" w:sz="4" w:space="0" w:color="auto"/>
            </w:tcBorders>
            <w:shd w:val="clear" w:color="000000" w:fill="F2F2F2"/>
            <w:noWrap/>
            <w:vAlign w:val="center"/>
            <w:hideMark/>
          </w:tcPr>
          <w:p w14:paraId="0809A84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Gr.1</w:t>
            </w:r>
          </w:p>
        </w:tc>
        <w:tc>
          <w:tcPr>
            <w:tcW w:w="1096" w:type="dxa"/>
            <w:tcBorders>
              <w:top w:val="nil"/>
              <w:left w:val="nil"/>
              <w:bottom w:val="single" w:sz="4" w:space="0" w:color="auto"/>
              <w:right w:val="single" w:sz="4" w:space="0" w:color="auto"/>
            </w:tcBorders>
            <w:shd w:val="clear" w:color="000000" w:fill="F2F2F2"/>
            <w:noWrap/>
            <w:vAlign w:val="center"/>
            <w:hideMark/>
          </w:tcPr>
          <w:p w14:paraId="758A8A4E"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Gr.2</w:t>
            </w:r>
          </w:p>
        </w:tc>
        <w:tc>
          <w:tcPr>
            <w:tcW w:w="1095" w:type="dxa"/>
            <w:tcBorders>
              <w:top w:val="nil"/>
              <w:left w:val="nil"/>
              <w:bottom w:val="single" w:sz="4" w:space="0" w:color="auto"/>
              <w:right w:val="single" w:sz="4" w:space="0" w:color="auto"/>
            </w:tcBorders>
            <w:shd w:val="clear" w:color="000000" w:fill="F2F2F2"/>
            <w:noWrap/>
            <w:vAlign w:val="center"/>
            <w:hideMark/>
          </w:tcPr>
          <w:p w14:paraId="5EE8C79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Gr.3</w:t>
            </w:r>
          </w:p>
        </w:tc>
        <w:tc>
          <w:tcPr>
            <w:tcW w:w="1096" w:type="dxa"/>
            <w:tcBorders>
              <w:top w:val="nil"/>
              <w:left w:val="nil"/>
              <w:bottom w:val="single" w:sz="4" w:space="0" w:color="auto"/>
              <w:right w:val="single" w:sz="4" w:space="0" w:color="auto"/>
            </w:tcBorders>
            <w:shd w:val="clear" w:color="000000" w:fill="F2F2F2"/>
            <w:noWrap/>
            <w:vAlign w:val="center"/>
            <w:hideMark/>
          </w:tcPr>
          <w:p w14:paraId="233E1CC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Gr.4</w:t>
            </w:r>
          </w:p>
        </w:tc>
        <w:tc>
          <w:tcPr>
            <w:tcW w:w="1096" w:type="dxa"/>
            <w:tcBorders>
              <w:top w:val="nil"/>
              <w:left w:val="single" w:sz="4" w:space="0" w:color="auto"/>
              <w:bottom w:val="single" w:sz="4" w:space="0" w:color="000000"/>
              <w:right w:val="single" w:sz="4" w:space="0" w:color="auto"/>
            </w:tcBorders>
            <w:shd w:val="clear" w:color="000000" w:fill="F2F2F2"/>
            <w:noWrap/>
            <w:vAlign w:val="center"/>
            <w:hideMark/>
          </w:tcPr>
          <w:p w14:paraId="20E2391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Suma</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1B3D49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0AEF33B2"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p>
        </w:tc>
      </w:tr>
      <w:tr w:rsidR="00A25731" w:rsidRPr="00293A04" w14:paraId="5E0A47B3"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BE26415"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2011-2013</w:t>
            </w:r>
          </w:p>
        </w:tc>
        <w:tc>
          <w:tcPr>
            <w:tcW w:w="1095" w:type="dxa"/>
            <w:tcBorders>
              <w:top w:val="nil"/>
              <w:left w:val="nil"/>
              <w:bottom w:val="single" w:sz="4" w:space="0" w:color="auto"/>
              <w:right w:val="single" w:sz="4" w:space="0" w:color="auto"/>
            </w:tcBorders>
            <w:shd w:val="clear" w:color="auto" w:fill="auto"/>
            <w:noWrap/>
            <w:vAlign w:val="center"/>
          </w:tcPr>
          <w:p w14:paraId="07262A1C"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096" w:type="dxa"/>
            <w:tcBorders>
              <w:top w:val="nil"/>
              <w:left w:val="nil"/>
              <w:bottom w:val="single" w:sz="4" w:space="0" w:color="auto"/>
              <w:right w:val="single" w:sz="4" w:space="0" w:color="auto"/>
            </w:tcBorders>
            <w:shd w:val="clear" w:color="auto" w:fill="auto"/>
            <w:noWrap/>
            <w:vAlign w:val="center"/>
          </w:tcPr>
          <w:p w14:paraId="5E2A3BA7"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095" w:type="dxa"/>
            <w:tcBorders>
              <w:top w:val="nil"/>
              <w:left w:val="nil"/>
              <w:bottom w:val="single" w:sz="4" w:space="0" w:color="auto"/>
              <w:right w:val="single" w:sz="4" w:space="0" w:color="auto"/>
            </w:tcBorders>
            <w:shd w:val="clear" w:color="auto" w:fill="auto"/>
            <w:noWrap/>
            <w:vAlign w:val="center"/>
          </w:tcPr>
          <w:p w14:paraId="153F5A7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096" w:type="dxa"/>
            <w:tcBorders>
              <w:top w:val="nil"/>
              <w:left w:val="nil"/>
              <w:bottom w:val="single" w:sz="4" w:space="0" w:color="auto"/>
              <w:right w:val="single" w:sz="4" w:space="0" w:color="auto"/>
            </w:tcBorders>
            <w:shd w:val="clear" w:color="auto" w:fill="auto"/>
            <w:noWrap/>
            <w:vAlign w:val="center"/>
          </w:tcPr>
          <w:p w14:paraId="3A7DAD04"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096" w:type="dxa"/>
            <w:tcBorders>
              <w:top w:val="nil"/>
              <w:left w:val="nil"/>
              <w:bottom w:val="single" w:sz="4" w:space="0" w:color="auto"/>
              <w:right w:val="single" w:sz="4" w:space="0" w:color="auto"/>
            </w:tcBorders>
            <w:shd w:val="clear" w:color="auto" w:fill="auto"/>
            <w:noWrap/>
            <w:vAlign w:val="center"/>
          </w:tcPr>
          <w:p w14:paraId="026357FC"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center"/>
          </w:tcPr>
          <w:p w14:paraId="383316BE"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429 879</w:t>
            </w:r>
          </w:p>
        </w:tc>
        <w:tc>
          <w:tcPr>
            <w:tcW w:w="1275" w:type="dxa"/>
            <w:tcBorders>
              <w:top w:val="nil"/>
              <w:left w:val="nil"/>
              <w:bottom w:val="single" w:sz="4" w:space="0" w:color="auto"/>
              <w:right w:val="single" w:sz="4" w:space="0" w:color="auto"/>
            </w:tcBorders>
            <w:shd w:val="clear" w:color="auto" w:fill="auto"/>
            <w:noWrap/>
            <w:vAlign w:val="center"/>
          </w:tcPr>
          <w:p w14:paraId="1AFC59B5"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100</w:t>
            </w:r>
          </w:p>
        </w:tc>
      </w:tr>
      <w:tr w:rsidR="00A25731" w:rsidRPr="00293A04" w14:paraId="628C042D"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B6D7AC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2011</w:t>
            </w:r>
          </w:p>
        </w:tc>
        <w:tc>
          <w:tcPr>
            <w:tcW w:w="1095" w:type="dxa"/>
            <w:tcBorders>
              <w:top w:val="nil"/>
              <w:left w:val="nil"/>
              <w:bottom w:val="single" w:sz="4" w:space="0" w:color="auto"/>
              <w:right w:val="single" w:sz="4" w:space="0" w:color="auto"/>
            </w:tcBorders>
            <w:shd w:val="clear" w:color="auto" w:fill="auto"/>
            <w:noWrap/>
            <w:vAlign w:val="center"/>
          </w:tcPr>
          <w:p w14:paraId="420C6C47"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1,9</w:t>
            </w:r>
          </w:p>
        </w:tc>
        <w:tc>
          <w:tcPr>
            <w:tcW w:w="1096" w:type="dxa"/>
            <w:tcBorders>
              <w:top w:val="nil"/>
              <w:left w:val="nil"/>
              <w:bottom w:val="single" w:sz="4" w:space="0" w:color="auto"/>
              <w:right w:val="single" w:sz="4" w:space="0" w:color="auto"/>
            </w:tcBorders>
            <w:shd w:val="clear" w:color="auto" w:fill="auto"/>
            <w:noWrap/>
            <w:vAlign w:val="center"/>
          </w:tcPr>
          <w:p w14:paraId="71A2B1E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14 785,7</w:t>
            </w:r>
          </w:p>
        </w:tc>
        <w:tc>
          <w:tcPr>
            <w:tcW w:w="1095" w:type="dxa"/>
            <w:tcBorders>
              <w:top w:val="nil"/>
              <w:left w:val="nil"/>
              <w:bottom w:val="single" w:sz="4" w:space="0" w:color="auto"/>
              <w:right w:val="single" w:sz="4" w:space="0" w:color="auto"/>
            </w:tcBorders>
            <w:shd w:val="clear" w:color="auto" w:fill="auto"/>
            <w:noWrap/>
            <w:vAlign w:val="center"/>
          </w:tcPr>
          <w:p w14:paraId="09903AD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2 125,8</w:t>
            </w:r>
          </w:p>
        </w:tc>
        <w:tc>
          <w:tcPr>
            <w:tcW w:w="1096" w:type="dxa"/>
            <w:tcBorders>
              <w:top w:val="nil"/>
              <w:left w:val="nil"/>
              <w:bottom w:val="single" w:sz="4" w:space="0" w:color="auto"/>
              <w:right w:val="single" w:sz="4" w:space="0" w:color="auto"/>
            </w:tcBorders>
            <w:shd w:val="clear" w:color="auto" w:fill="auto"/>
            <w:noWrap/>
            <w:vAlign w:val="center"/>
          </w:tcPr>
          <w:p w14:paraId="7D2E4C67"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4 822,4</w:t>
            </w:r>
          </w:p>
        </w:tc>
        <w:tc>
          <w:tcPr>
            <w:tcW w:w="1096" w:type="dxa"/>
            <w:tcBorders>
              <w:top w:val="nil"/>
              <w:left w:val="nil"/>
              <w:bottom w:val="single" w:sz="4" w:space="0" w:color="auto"/>
              <w:right w:val="single" w:sz="4" w:space="0" w:color="auto"/>
            </w:tcBorders>
            <w:shd w:val="clear" w:color="auto" w:fill="auto"/>
            <w:noWrap/>
            <w:vAlign w:val="center"/>
          </w:tcPr>
          <w:p w14:paraId="743606BF"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21 735,7</w:t>
            </w:r>
          </w:p>
        </w:tc>
        <w:tc>
          <w:tcPr>
            <w:tcW w:w="1134" w:type="dxa"/>
            <w:tcBorders>
              <w:top w:val="nil"/>
              <w:left w:val="nil"/>
              <w:bottom w:val="single" w:sz="4" w:space="0" w:color="auto"/>
              <w:right w:val="single" w:sz="4" w:space="0" w:color="auto"/>
            </w:tcBorders>
            <w:shd w:val="clear" w:color="auto" w:fill="auto"/>
            <w:noWrap/>
            <w:vAlign w:val="center"/>
          </w:tcPr>
          <w:p w14:paraId="57ADCCF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460 931</w:t>
            </w:r>
          </w:p>
        </w:tc>
        <w:tc>
          <w:tcPr>
            <w:tcW w:w="1275" w:type="dxa"/>
            <w:tcBorders>
              <w:top w:val="nil"/>
              <w:left w:val="nil"/>
              <w:bottom w:val="single" w:sz="4" w:space="0" w:color="auto"/>
              <w:right w:val="single" w:sz="4" w:space="0" w:color="auto"/>
            </w:tcBorders>
            <w:shd w:val="clear" w:color="auto" w:fill="auto"/>
            <w:noWrap/>
            <w:vAlign w:val="center"/>
          </w:tcPr>
          <w:p w14:paraId="419DECA3"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107</w:t>
            </w:r>
          </w:p>
        </w:tc>
      </w:tr>
      <w:tr w:rsidR="00A25731" w:rsidRPr="00293A04" w14:paraId="0D07712A"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0891FD2"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2012</w:t>
            </w:r>
          </w:p>
        </w:tc>
        <w:tc>
          <w:tcPr>
            <w:tcW w:w="1095" w:type="dxa"/>
            <w:tcBorders>
              <w:top w:val="nil"/>
              <w:left w:val="nil"/>
              <w:bottom w:val="single" w:sz="4" w:space="0" w:color="auto"/>
              <w:right w:val="single" w:sz="4" w:space="0" w:color="auto"/>
            </w:tcBorders>
            <w:shd w:val="clear" w:color="auto" w:fill="auto"/>
            <w:noWrap/>
            <w:vAlign w:val="center"/>
          </w:tcPr>
          <w:p w14:paraId="17967D3B"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w:t>
            </w:r>
          </w:p>
        </w:tc>
        <w:tc>
          <w:tcPr>
            <w:tcW w:w="1096" w:type="dxa"/>
            <w:tcBorders>
              <w:top w:val="nil"/>
              <w:left w:val="nil"/>
              <w:bottom w:val="single" w:sz="4" w:space="0" w:color="auto"/>
              <w:right w:val="single" w:sz="4" w:space="0" w:color="auto"/>
            </w:tcBorders>
            <w:shd w:val="clear" w:color="auto" w:fill="auto"/>
            <w:noWrap/>
            <w:vAlign w:val="center"/>
          </w:tcPr>
          <w:p w14:paraId="034EEDEB"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15 627,0</w:t>
            </w:r>
          </w:p>
        </w:tc>
        <w:tc>
          <w:tcPr>
            <w:tcW w:w="1095" w:type="dxa"/>
            <w:tcBorders>
              <w:top w:val="nil"/>
              <w:left w:val="nil"/>
              <w:bottom w:val="single" w:sz="4" w:space="0" w:color="auto"/>
              <w:right w:val="single" w:sz="4" w:space="0" w:color="auto"/>
            </w:tcBorders>
            <w:shd w:val="clear" w:color="auto" w:fill="auto"/>
            <w:noWrap/>
            <w:vAlign w:val="center"/>
          </w:tcPr>
          <w:p w14:paraId="060A0DAB"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2 275,6</w:t>
            </w:r>
          </w:p>
        </w:tc>
        <w:tc>
          <w:tcPr>
            <w:tcW w:w="1096" w:type="dxa"/>
            <w:tcBorders>
              <w:top w:val="nil"/>
              <w:left w:val="nil"/>
              <w:bottom w:val="single" w:sz="4" w:space="0" w:color="auto"/>
              <w:right w:val="single" w:sz="4" w:space="0" w:color="auto"/>
            </w:tcBorders>
            <w:shd w:val="clear" w:color="auto" w:fill="auto"/>
            <w:noWrap/>
            <w:vAlign w:val="center"/>
          </w:tcPr>
          <w:p w14:paraId="4ABAFC9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3 981,4</w:t>
            </w:r>
          </w:p>
        </w:tc>
        <w:tc>
          <w:tcPr>
            <w:tcW w:w="1096" w:type="dxa"/>
            <w:tcBorders>
              <w:top w:val="nil"/>
              <w:left w:val="nil"/>
              <w:bottom w:val="single" w:sz="4" w:space="0" w:color="auto"/>
              <w:right w:val="single" w:sz="4" w:space="0" w:color="auto"/>
            </w:tcBorders>
            <w:shd w:val="clear" w:color="auto" w:fill="auto"/>
            <w:noWrap/>
            <w:vAlign w:val="center"/>
          </w:tcPr>
          <w:p w14:paraId="02780DED"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21 884,0</w:t>
            </w:r>
          </w:p>
        </w:tc>
        <w:tc>
          <w:tcPr>
            <w:tcW w:w="1134" w:type="dxa"/>
            <w:tcBorders>
              <w:top w:val="nil"/>
              <w:left w:val="nil"/>
              <w:bottom w:val="single" w:sz="4" w:space="0" w:color="auto"/>
              <w:right w:val="single" w:sz="4" w:space="0" w:color="auto"/>
            </w:tcBorders>
            <w:shd w:val="clear" w:color="auto" w:fill="auto"/>
            <w:noWrap/>
            <w:vAlign w:val="center"/>
          </w:tcPr>
          <w:p w14:paraId="52BAFDA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416 234</w:t>
            </w:r>
          </w:p>
        </w:tc>
        <w:tc>
          <w:tcPr>
            <w:tcW w:w="1275" w:type="dxa"/>
            <w:tcBorders>
              <w:top w:val="nil"/>
              <w:left w:val="nil"/>
              <w:bottom w:val="single" w:sz="4" w:space="0" w:color="auto"/>
              <w:right w:val="single" w:sz="4" w:space="0" w:color="auto"/>
            </w:tcBorders>
            <w:shd w:val="clear" w:color="auto" w:fill="auto"/>
            <w:noWrap/>
            <w:vAlign w:val="center"/>
          </w:tcPr>
          <w:p w14:paraId="6AA31271"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97</w:t>
            </w:r>
          </w:p>
        </w:tc>
      </w:tr>
      <w:tr w:rsidR="00A25731" w:rsidRPr="00293A04" w14:paraId="74A89E39"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18D124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2013</w:t>
            </w:r>
          </w:p>
        </w:tc>
        <w:tc>
          <w:tcPr>
            <w:tcW w:w="1095" w:type="dxa"/>
            <w:tcBorders>
              <w:top w:val="nil"/>
              <w:left w:val="nil"/>
              <w:bottom w:val="single" w:sz="4" w:space="0" w:color="auto"/>
              <w:right w:val="single" w:sz="4" w:space="0" w:color="auto"/>
            </w:tcBorders>
            <w:shd w:val="clear" w:color="auto" w:fill="auto"/>
            <w:noWrap/>
            <w:vAlign w:val="center"/>
          </w:tcPr>
          <w:p w14:paraId="4C0211B8"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0,6</w:t>
            </w:r>
          </w:p>
        </w:tc>
        <w:tc>
          <w:tcPr>
            <w:tcW w:w="1096" w:type="dxa"/>
            <w:tcBorders>
              <w:top w:val="nil"/>
              <w:left w:val="nil"/>
              <w:bottom w:val="single" w:sz="4" w:space="0" w:color="auto"/>
              <w:right w:val="single" w:sz="4" w:space="0" w:color="auto"/>
            </w:tcBorders>
            <w:shd w:val="clear" w:color="auto" w:fill="auto"/>
            <w:noWrap/>
            <w:vAlign w:val="center"/>
          </w:tcPr>
          <w:p w14:paraId="066E8C0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15 857,6</w:t>
            </w:r>
          </w:p>
        </w:tc>
        <w:tc>
          <w:tcPr>
            <w:tcW w:w="1095" w:type="dxa"/>
            <w:tcBorders>
              <w:top w:val="nil"/>
              <w:left w:val="nil"/>
              <w:bottom w:val="single" w:sz="4" w:space="0" w:color="auto"/>
              <w:right w:val="single" w:sz="4" w:space="0" w:color="auto"/>
            </w:tcBorders>
            <w:shd w:val="clear" w:color="auto" w:fill="auto"/>
            <w:noWrap/>
            <w:vAlign w:val="center"/>
          </w:tcPr>
          <w:p w14:paraId="59FF77C8"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2 511,5</w:t>
            </w:r>
          </w:p>
        </w:tc>
        <w:tc>
          <w:tcPr>
            <w:tcW w:w="1096" w:type="dxa"/>
            <w:tcBorders>
              <w:top w:val="nil"/>
              <w:left w:val="nil"/>
              <w:bottom w:val="single" w:sz="4" w:space="0" w:color="auto"/>
              <w:right w:val="single" w:sz="4" w:space="0" w:color="auto"/>
            </w:tcBorders>
            <w:shd w:val="clear" w:color="auto" w:fill="auto"/>
            <w:noWrap/>
            <w:vAlign w:val="center"/>
          </w:tcPr>
          <w:p w14:paraId="38A3222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3 834,8</w:t>
            </w:r>
          </w:p>
        </w:tc>
        <w:tc>
          <w:tcPr>
            <w:tcW w:w="1096" w:type="dxa"/>
            <w:tcBorders>
              <w:top w:val="nil"/>
              <w:left w:val="nil"/>
              <w:bottom w:val="single" w:sz="4" w:space="0" w:color="auto"/>
              <w:right w:val="single" w:sz="4" w:space="0" w:color="auto"/>
            </w:tcBorders>
            <w:shd w:val="clear" w:color="auto" w:fill="auto"/>
            <w:noWrap/>
            <w:vAlign w:val="center"/>
          </w:tcPr>
          <w:p w14:paraId="6562EF1D"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22 204,4</w:t>
            </w:r>
          </w:p>
        </w:tc>
        <w:tc>
          <w:tcPr>
            <w:tcW w:w="1134" w:type="dxa"/>
            <w:tcBorders>
              <w:top w:val="nil"/>
              <w:left w:val="nil"/>
              <w:bottom w:val="single" w:sz="4" w:space="0" w:color="auto"/>
              <w:right w:val="single" w:sz="4" w:space="0" w:color="auto"/>
            </w:tcBorders>
            <w:shd w:val="clear" w:color="auto" w:fill="auto"/>
            <w:noWrap/>
            <w:vAlign w:val="center"/>
          </w:tcPr>
          <w:p w14:paraId="1F7C126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412 471</w:t>
            </w:r>
          </w:p>
        </w:tc>
        <w:tc>
          <w:tcPr>
            <w:tcW w:w="1275" w:type="dxa"/>
            <w:tcBorders>
              <w:top w:val="nil"/>
              <w:left w:val="nil"/>
              <w:bottom w:val="single" w:sz="4" w:space="0" w:color="auto"/>
              <w:right w:val="single" w:sz="4" w:space="0" w:color="auto"/>
            </w:tcBorders>
            <w:shd w:val="clear" w:color="auto" w:fill="auto"/>
            <w:noWrap/>
            <w:vAlign w:val="center"/>
          </w:tcPr>
          <w:p w14:paraId="75DB2F0B"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96</w:t>
            </w:r>
          </w:p>
        </w:tc>
      </w:tr>
      <w:tr w:rsidR="00A25731" w:rsidRPr="00293A04" w14:paraId="7F3D1239"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3CAD9D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2014</w:t>
            </w:r>
          </w:p>
        </w:tc>
        <w:tc>
          <w:tcPr>
            <w:tcW w:w="1095" w:type="dxa"/>
            <w:tcBorders>
              <w:top w:val="nil"/>
              <w:left w:val="nil"/>
              <w:bottom w:val="single" w:sz="4" w:space="0" w:color="auto"/>
              <w:right w:val="single" w:sz="4" w:space="0" w:color="auto"/>
            </w:tcBorders>
            <w:shd w:val="clear" w:color="auto" w:fill="auto"/>
            <w:noWrap/>
            <w:vAlign w:val="center"/>
          </w:tcPr>
          <w:p w14:paraId="1813943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0,5</w:t>
            </w:r>
          </w:p>
        </w:tc>
        <w:tc>
          <w:tcPr>
            <w:tcW w:w="1096" w:type="dxa"/>
            <w:tcBorders>
              <w:top w:val="nil"/>
              <w:left w:val="nil"/>
              <w:bottom w:val="single" w:sz="4" w:space="0" w:color="auto"/>
              <w:right w:val="single" w:sz="4" w:space="0" w:color="auto"/>
            </w:tcBorders>
            <w:shd w:val="clear" w:color="auto" w:fill="auto"/>
            <w:noWrap/>
            <w:vAlign w:val="center"/>
          </w:tcPr>
          <w:p w14:paraId="422A325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16 201,1</w:t>
            </w:r>
          </w:p>
        </w:tc>
        <w:tc>
          <w:tcPr>
            <w:tcW w:w="1095" w:type="dxa"/>
            <w:tcBorders>
              <w:top w:val="nil"/>
              <w:left w:val="nil"/>
              <w:bottom w:val="single" w:sz="4" w:space="0" w:color="auto"/>
              <w:right w:val="single" w:sz="4" w:space="0" w:color="auto"/>
            </w:tcBorders>
            <w:shd w:val="clear" w:color="auto" w:fill="auto"/>
            <w:noWrap/>
            <w:vAlign w:val="center"/>
          </w:tcPr>
          <w:p w14:paraId="67DAE39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3 289,7</w:t>
            </w:r>
          </w:p>
        </w:tc>
        <w:tc>
          <w:tcPr>
            <w:tcW w:w="1096" w:type="dxa"/>
            <w:tcBorders>
              <w:top w:val="nil"/>
              <w:left w:val="nil"/>
              <w:bottom w:val="single" w:sz="4" w:space="0" w:color="auto"/>
              <w:right w:val="single" w:sz="4" w:space="0" w:color="auto"/>
            </w:tcBorders>
            <w:shd w:val="clear" w:color="auto" w:fill="auto"/>
            <w:noWrap/>
            <w:vAlign w:val="center"/>
          </w:tcPr>
          <w:p w14:paraId="5359EE7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4 065,4</w:t>
            </w:r>
          </w:p>
        </w:tc>
        <w:tc>
          <w:tcPr>
            <w:tcW w:w="1096" w:type="dxa"/>
            <w:tcBorders>
              <w:top w:val="nil"/>
              <w:left w:val="nil"/>
              <w:bottom w:val="single" w:sz="4" w:space="0" w:color="auto"/>
              <w:right w:val="single" w:sz="4" w:space="0" w:color="auto"/>
            </w:tcBorders>
            <w:shd w:val="clear" w:color="auto" w:fill="auto"/>
            <w:noWrap/>
            <w:vAlign w:val="center"/>
          </w:tcPr>
          <w:p w14:paraId="3C1E70E6"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23 556,7</w:t>
            </w:r>
          </w:p>
        </w:tc>
        <w:tc>
          <w:tcPr>
            <w:tcW w:w="1134" w:type="dxa"/>
            <w:tcBorders>
              <w:top w:val="nil"/>
              <w:left w:val="nil"/>
              <w:bottom w:val="single" w:sz="4" w:space="0" w:color="auto"/>
              <w:right w:val="single" w:sz="4" w:space="0" w:color="auto"/>
            </w:tcBorders>
            <w:shd w:val="clear" w:color="auto" w:fill="auto"/>
            <w:noWrap/>
            <w:vAlign w:val="center"/>
          </w:tcPr>
          <w:p w14:paraId="76DDF255"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442 427</w:t>
            </w:r>
          </w:p>
        </w:tc>
        <w:tc>
          <w:tcPr>
            <w:tcW w:w="1275" w:type="dxa"/>
            <w:tcBorders>
              <w:top w:val="nil"/>
              <w:left w:val="nil"/>
              <w:bottom w:val="single" w:sz="4" w:space="0" w:color="auto"/>
              <w:right w:val="single" w:sz="4" w:space="0" w:color="auto"/>
            </w:tcBorders>
            <w:shd w:val="clear" w:color="auto" w:fill="auto"/>
            <w:noWrap/>
            <w:vAlign w:val="center"/>
          </w:tcPr>
          <w:p w14:paraId="3BA68B5C"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103</w:t>
            </w:r>
          </w:p>
        </w:tc>
      </w:tr>
      <w:tr w:rsidR="00A25731" w:rsidRPr="00293A04" w14:paraId="37B3E9A7"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4F111A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2015</w:t>
            </w:r>
          </w:p>
        </w:tc>
        <w:tc>
          <w:tcPr>
            <w:tcW w:w="1095" w:type="dxa"/>
            <w:tcBorders>
              <w:top w:val="nil"/>
              <w:left w:val="nil"/>
              <w:bottom w:val="single" w:sz="4" w:space="0" w:color="auto"/>
              <w:right w:val="single" w:sz="4" w:space="0" w:color="auto"/>
            </w:tcBorders>
            <w:shd w:val="clear" w:color="auto" w:fill="auto"/>
            <w:noWrap/>
            <w:vAlign w:val="center"/>
          </w:tcPr>
          <w:p w14:paraId="0F4065E1"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0,0</w:t>
            </w:r>
          </w:p>
        </w:tc>
        <w:tc>
          <w:tcPr>
            <w:tcW w:w="1096" w:type="dxa"/>
            <w:tcBorders>
              <w:top w:val="nil"/>
              <w:left w:val="nil"/>
              <w:bottom w:val="single" w:sz="4" w:space="0" w:color="auto"/>
              <w:right w:val="single" w:sz="4" w:space="0" w:color="auto"/>
            </w:tcBorders>
            <w:shd w:val="clear" w:color="auto" w:fill="auto"/>
            <w:noWrap/>
            <w:vAlign w:val="center"/>
          </w:tcPr>
          <w:p w14:paraId="34913385"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16 502,8</w:t>
            </w:r>
          </w:p>
        </w:tc>
        <w:tc>
          <w:tcPr>
            <w:tcW w:w="1095" w:type="dxa"/>
            <w:tcBorders>
              <w:top w:val="nil"/>
              <w:left w:val="nil"/>
              <w:bottom w:val="single" w:sz="4" w:space="0" w:color="auto"/>
              <w:right w:val="single" w:sz="4" w:space="0" w:color="auto"/>
            </w:tcBorders>
            <w:shd w:val="clear" w:color="auto" w:fill="auto"/>
            <w:noWrap/>
            <w:vAlign w:val="center"/>
          </w:tcPr>
          <w:p w14:paraId="4172336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3 067,4</w:t>
            </w:r>
          </w:p>
        </w:tc>
        <w:tc>
          <w:tcPr>
            <w:tcW w:w="1096" w:type="dxa"/>
            <w:tcBorders>
              <w:top w:val="nil"/>
              <w:left w:val="nil"/>
              <w:bottom w:val="single" w:sz="4" w:space="0" w:color="auto"/>
              <w:right w:val="single" w:sz="4" w:space="0" w:color="auto"/>
            </w:tcBorders>
            <w:shd w:val="clear" w:color="auto" w:fill="auto"/>
            <w:noWrap/>
            <w:vAlign w:val="center"/>
          </w:tcPr>
          <w:p w14:paraId="552BF30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4 435,1</w:t>
            </w:r>
          </w:p>
        </w:tc>
        <w:tc>
          <w:tcPr>
            <w:tcW w:w="1096" w:type="dxa"/>
            <w:tcBorders>
              <w:top w:val="nil"/>
              <w:left w:val="nil"/>
              <w:bottom w:val="single" w:sz="4" w:space="0" w:color="auto"/>
              <w:right w:val="single" w:sz="4" w:space="0" w:color="auto"/>
            </w:tcBorders>
            <w:shd w:val="clear" w:color="auto" w:fill="auto"/>
            <w:noWrap/>
            <w:vAlign w:val="center"/>
          </w:tcPr>
          <w:p w14:paraId="12182FBD"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24 005,3</w:t>
            </w:r>
          </w:p>
        </w:tc>
        <w:tc>
          <w:tcPr>
            <w:tcW w:w="1134" w:type="dxa"/>
            <w:tcBorders>
              <w:top w:val="nil"/>
              <w:left w:val="nil"/>
              <w:bottom w:val="single" w:sz="4" w:space="0" w:color="auto"/>
              <w:right w:val="single" w:sz="4" w:space="0" w:color="auto"/>
            </w:tcBorders>
            <w:shd w:val="clear" w:color="auto" w:fill="auto"/>
            <w:noWrap/>
            <w:vAlign w:val="center"/>
          </w:tcPr>
          <w:p w14:paraId="44EC1C5C"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464 945</w:t>
            </w:r>
          </w:p>
        </w:tc>
        <w:tc>
          <w:tcPr>
            <w:tcW w:w="1275" w:type="dxa"/>
            <w:tcBorders>
              <w:top w:val="nil"/>
              <w:left w:val="nil"/>
              <w:bottom w:val="single" w:sz="4" w:space="0" w:color="auto"/>
              <w:right w:val="single" w:sz="4" w:space="0" w:color="auto"/>
            </w:tcBorders>
            <w:shd w:val="clear" w:color="auto" w:fill="auto"/>
            <w:noWrap/>
            <w:vAlign w:val="center"/>
          </w:tcPr>
          <w:p w14:paraId="3108BFD4"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108</w:t>
            </w:r>
          </w:p>
        </w:tc>
      </w:tr>
      <w:tr w:rsidR="00A25731" w:rsidRPr="00293A04" w14:paraId="07DF49B4"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C178A02"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2016</w:t>
            </w:r>
          </w:p>
        </w:tc>
        <w:tc>
          <w:tcPr>
            <w:tcW w:w="1095" w:type="dxa"/>
            <w:tcBorders>
              <w:top w:val="nil"/>
              <w:left w:val="nil"/>
              <w:bottom w:val="single" w:sz="4" w:space="0" w:color="auto"/>
              <w:right w:val="single" w:sz="4" w:space="0" w:color="auto"/>
            </w:tcBorders>
            <w:shd w:val="clear" w:color="auto" w:fill="auto"/>
            <w:noWrap/>
            <w:vAlign w:val="center"/>
          </w:tcPr>
          <w:p w14:paraId="7E16162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0,2</w:t>
            </w:r>
          </w:p>
        </w:tc>
        <w:tc>
          <w:tcPr>
            <w:tcW w:w="1096" w:type="dxa"/>
            <w:tcBorders>
              <w:top w:val="nil"/>
              <w:left w:val="nil"/>
              <w:bottom w:val="single" w:sz="4" w:space="0" w:color="auto"/>
              <w:right w:val="single" w:sz="4" w:space="0" w:color="auto"/>
            </w:tcBorders>
            <w:shd w:val="clear" w:color="auto" w:fill="auto"/>
            <w:noWrap/>
            <w:vAlign w:val="center"/>
          </w:tcPr>
          <w:p w14:paraId="305C2B6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17 262,1</w:t>
            </w:r>
          </w:p>
        </w:tc>
        <w:tc>
          <w:tcPr>
            <w:tcW w:w="1095" w:type="dxa"/>
            <w:tcBorders>
              <w:top w:val="nil"/>
              <w:left w:val="nil"/>
              <w:bottom w:val="single" w:sz="4" w:space="0" w:color="auto"/>
              <w:right w:val="single" w:sz="4" w:space="0" w:color="auto"/>
            </w:tcBorders>
            <w:shd w:val="clear" w:color="auto" w:fill="auto"/>
            <w:noWrap/>
            <w:vAlign w:val="center"/>
          </w:tcPr>
          <w:p w14:paraId="5AF93361"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3 063,5</w:t>
            </w:r>
          </w:p>
        </w:tc>
        <w:tc>
          <w:tcPr>
            <w:tcW w:w="1096" w:type="dxa"/>
            <w:tcBorders>
              <w:top w:val="nil"/>
              <w:left w:val="nil"/>
              <w:bottom w:val="single" w:sz="4" w:space="0" w:color="auto"/>
              <w:right w:val="single" w:sz="4" w:space="0" w:color="auto"/>
            </w:tcBorders>
            <w:shd w:val="clear" w:color="auto" w:fill="auto"/>
            <w:noWrap/>
            <w:vAlign w:val="center"/>
          </w:tcPr>
          <w:p w14:paraId="2534F5D8"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4 136,7</w:t>
            </w:r>
          </w:p>
        </w:tc>
        <w:tc>
          <w:tcPr>
            <w:tcW w:w="1096" w:type="dxa"/>
            <w:tcBorders>
              <w:top w:val="nil"/>
              <w:left w:val="nil"/>
              <w:bottom w:val="single" w:sz="4" w:space="0" w:color="auto"/>
              <w:right w:val="single" w:sz="4" w:space="0" w:color="auto"/>
            </w:tcBorders>
            <w:shd w:val="clear" w:color="auto" w:fill="auto"/>
            <w:noWrap/>
            <w:vAlign w:val="center"/>
          </w:tcPr>
          <w:p w14:paraId="7BC81EA1"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24 462,5</w:t>
            </w:r>
          </w:p>
        </w:tc>
        <w:tc>
          <w:tcPr>
            <w:tcW w:w="1134" w:type="dxa"/>
            <w:tcBorders>
              <w:top w:val="nil"/>
              <w:left w:val="nil"/>
              <w:bottom w:val="single" w:sz="4" w:space="0" w:color="auto"/>
              <w:right w:val="single" w:sz="4" w:space="0" w:color="auto"/>
            </w:tcBorders>
            <w:shd w:val="clear" w:color="auto" w:fill="auto"/>
            <w:noWrap/>
            <w:vAlign w:val="center"/>
          </w:tcPr>
          <w:p w14:paraId="474C0B6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451 863</w:t>
            </w:r>
          </w:p>
        </w:tc>
        <w:tc>
          <w:tcPr>
            <w:tcW w:w="1275" w:type="dxa"/>
            <w:tcBorders>
              <w:top w:val="nil"/>
              <w:left w:val="nil"/>
              <w:bottom w:val="single" w:sz="4" w:space="0" w:color="auto"/>
              <w:right w:val="single" w:sz="4" w:space="0" w:color="auto"/>
            </w:tcBorders>
            <w:shd w:val="clear" w:color="auto" w:fill="auto"/>
            <w:noWrap/>
            <w:vAlign w:val="center"/>
          </w:tcPr>
          <w:p w14:paraId="4B5E9DF9"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105</w:t>
            </w:r>
          </w:p>
        </w:tc>
      </w:tr>
      <w:tr w:rsidR="00A25731" w:rsidRPr="00293A04" w14:paraId="078B52F0"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C1B359E"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2017</w:t>
            </w:r>
          </w:p>
        </w:tc>
        <w:tc>
          <w:tcPr>
            <w:tcW w:w="1095" w:type="dxa"/>
            <w:tcBorders>
              <w:top w:val="nil"/>
              <w:left w:val="nil"/>
              <w:bottom w:val="single" w:sz="4" w:space="0" w:color="auto"/>
              <w:right w:val="single" w:sz="4" w:space="0" w:color="auto"/>
            </w:tcBorders>
            <w:shd w:val="clear" w:color="auto" w:fill="auto"/>
            <w:noWrap/>
            <w:vAlign w:val="center"/>
          </w:tcPr>
          <w:p w14:paraId="5AE49CD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0,4</w:t>
            </w:r>
          </w:p>
        </w:tc>
        <w:tc>
          <w:tcPr>
            <w:tcW w:w="1096" w:type="dxa"/>
            <w:tcBorders>
              <w:top w:val="nil"/>
              <w:left w:val="nil"/>
              <w:bottom w:val="single" w:sz="4" w:space="0" w:color="auto"/>
              <w:right w:val="single" w:sz="4" w:space="0" w:color="auto"/>
            </w:tcBorders>
            <w:shd w:val="clear" w:color="auto" w:fill="auto"/>
            <w:noWrap/>
            <w:vAlign w:val="center"/>
          </w:tcPr>
          <w:p w14:paraId="0F6248B7"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18 323,2</w:t>
            </w:r>
          </w:p>
        </w:tc>
        <w:tc>
          <w:tcPr>
            <w:tcW w:w="1095" w:type="dxa"/>
            <w:tcBorders>
              <w:top w:val="nil"/>
              <w:left w:val="nil"/>
              <w:bottom w:val="single" w:sz="4" w:space="0" w:color="auto"/>
              <w:right w:val="single" w:sz="4" w:space="0" w:color="auto"/>
            </w:tcBorders>
            <w:shd w:val="clear" w:color="auto" w:fill="auto"/>
            <w:noWrap/>
            <w:vAlign w:val="center"/>
          </w:tcPr>
          <w:p w14:paraId="488C4F1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3 006,4</w:t>
            </w:r>
          </w:p>
        </w:tc>
        <w:tc>
          <w:tcPr>
            <w:tcW w:w="1096" w:type="dxa"/>
            <w:tcBorders>
              <w:top w:val="nil"/>
              <w:left w:val="nil"/>
              <w:bottom w:val="single" w:sz="4" w:space="0" w:color="auto"/>
              <w:right w:val="single" w:sz="4" w:space="0" w:color="auto"/>
            </w:tcBorders>
            <w:shd w:val="clear" w:color="auto" w:fill="auto"/>
            <w:noWrap/>
            <w:vAlign w:val="center"/>
          </w:tcPr>
          <w:p w14:paraId="49C26764"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3 745,1</w:t>
            </w:r>
          </w:p>
        </w:tc>
        <w:tc>
          <w:tcPr>
            <w:tcW w:w="1096" w:type="dxa"/>
            <w:tcBorders>
              <w:top w:val="nil"/>
              <w:left w:val="nil"/>
              <w:bottom w:val="single" w:sz="4" w:space="0" w:color="auto"/>
              <w:right w:val="single" w:sz="4" w:space="0" w:color="auto"/>
            </w:tcBorders>
            <w:shd w:val="clear" w:color="auto" w:fill="auto"/>
            <w:noWrap/>
            <w:vAlign w:val="center"/>
          </w:tcPr>
          <w:p w14:paraId="420538DA"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25 075,1</w:t>
            </w:r>
          </w:p>
        </w:tc>
        <w:tc>
          <w:tcPr>
            <w:tcW w:w="1134" w:type="dxa"/>
            <w:tcBorders>
              <w:top w:val="nil"/>
              <w:left w:val="nil"/>
              <w:bottom w:val="single" w:sz="4" w:space="0" w:color="auto"/>
              <w:right w:val="single" w:sz="4" w:space="0" w:color="auto"/>
            </w:tcBorders>
            <w:shd w:val="clear" w:color="auto" w:fill="auto"/>
            <w:noWrap/>
            <w:vAlign w:val="center"/>
          </w:tcPr>
          <w:p w14:paraId="5D62CEA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434 373</w:t>
            </w:r>
          </w:p>
        </w:tc>
        <w:tc>
          <w:tcPr>
            <w:tcW w:w="1275" w:type="dxa"/>
            <w:tcBorders>
              <w:top w:val="nil"/>
              <w:left w:val="nil"/>
              <w:bottom w:val="single" w:sz="4" w:space="0" w:color="auto"/>
              <w:right w:val="single" w:sz="4" w:space="0" w:color="auto"/>
            </w:tcBorders>
            <w:shd w:val="clear" w:color="auto" w:fill="auto"/>
            <w:noWrap/>
            <w:vAlign w:val="center"/>
          </w:tcPr>
          <w:p w14:paraId="329E8CC6"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101</w:t>
            </w:r>
          </w:p>
        </w:tc>
      </w:tr>
      <w:tr w:rsidR="00A25731" w:rsidRPr="00293A04" w14:paraId="4770E3BC"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F96DD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2018</w:t>
            </w:r>
          </w:p>
        </w:tc>
        <w:tc>
          <w:tcPr>
            <w:tcW w:w="1095" w:type="dxa"/>
            <w:tcBorders>
              <w:top w:val="nil"/>
              <w:left w:val="nil"/>
              <w:bottom w:val="single" w:sz="4" w:space="0" w:color="auto"/>
              <w:right w:val="single" w:sz="4" w:space="0" w:color="auto"/>
            </w:tcBorders>
            <w:shd w:val="clear" w:color="auto" w:fill="auto"/>
            <w:noWrap/>
            <w:vAlign w:val="center"/>
          </w:tcPr>
          <w:p w14:paraId="29F7DB33"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1,7</w:t>
            </w:r>
          </w:p>
        </w:tc>
        <w:tc>
          <w:tcPr>
            <w:tcW w:w="1096" w:type="dxa"/>
            <w:tcBorders>
              <w:top w:val="nil"/>
              <w:left w:val="nil"/>
              <w:bottom w:val="single" w:sz="4" w:space="0" w:color="auto"/>
              <w:right w:val="single" w:sz="4" w:space="0" w:color="auto"/>
            </w:tcBorders>
            <w:shd w:val="clear" w:color="auto" w:fill="auto"/>
            <w:noWrap/>
            <w:vAlign w:val="center"/>
          </w:tcPr>
          <w:p w14:paraId="24A1044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16 058,7</w:t>
            </w:r>
          </w:p>
        </w:tc>
        <w:tc>
          <w:tcPr>
            <w:tcW w:w="1095" w:type="dxa"/>
            <w:tcBorders>
              <w:top w:val="nil"/>
              <w:left w:val="nil"/>
              <w:bottom w:val="single" w:sz="4" w:space="0" w:color="auto"/>
              <w:right w:val="single" w:sz="4" w:space="0" w:color="auto"/>
            </w:tcBorders>
            <w:shd w:val="clear" w:color="auto" w:fill="auto"/>
            <w:noWrap/>
            <w:vAlign w:val="center"/>
          </w:tcPr>
          <w:p w14:paraId="502ED078"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3 793,9</w:t>
            </w:r>
          </w:p>
        </w:tc>
        <w:tc>
          <w:tcPr>
            <w:tcW w:w="1096" w:type="dxa"/>
            <w:tcBorders>
              <w:top w:val="nil"/>
              <w:left w:val="nil"/>
              <w:bottom w:val="single" w:sz="4" w:space="0" w:color="auto"/>
              <w:right w:val="single" w:sz="4" w:space="0" w:color="auto"/>
            </w:tcBorders>
            <w:shd w:val="clear" w:color="auto" w:fill="auto"/>
            <w:noWrap/>
            <w:vAlign w:val="center"/>
          </w:tcPr>
          <w:p w14:paraId="2F0064E9"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3 324,1</w:t>
            </w:r>
          </w:p>
        </w:tc>
        <w:tc>
          <w:tcPr>
            <w:tcW w:w="1096" w:type="dxa"/>
            <w:tcBorders>
              <w:top w:val="nil"/>
              <w:left w:val="nil"/>
              <w:bottom w:val="single" w:sz="4" w:space="0" w:color="auto"/>
              <w:right w:val="single" w:sz="4" w:space="0" w:color="auto"/>
            </w:tcBorders>
            <w:shd w:val="clear" w:color="auto" w:fill="auto"/>
            <w:noWrap/>
            <w:vAlign w:val="center"/>
          </w:tcPr>
          <w:p w14:paraId="3D2C05E7"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23 178,4</w:t>
            </w:r>
          </w:p>
        </w:tc>
        <w:tc>
          <w:tcPr>
            <w:tcW w:w="1134" w:type="dxa"/>
            <w:tcBorders>
              <w:top w:val="nil"/>
              <w:left w:val="nil"/>
              <w:bottom w:val="single" w:sz="4" w:space="0" w:color="auto"/>
              <w:right w:val="single" w:sz="4" w:space="0" w:color="auto"/>
            </w:tcBorders>
            <w:shd w:val="clear" w:color="auto" w:fill="auto"/>
            <w:noWrap/>
            <w:vAlign w:val="center"/>
          </w:tcPr>
          <w:p w14:paraId="5CEB3EC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401 917</w:t>
            </w:r>
          </w:p>
        </w:tc>
        <w:tc>
          <w:tcPr>
            <w:tcW w:w="1275" w:type="dxa"/>
            <w:tcBorders>
              <w:top w:val="nil"/>
              <w:left w:val="nil"/>
              <w:bottom w:val="single" w:sz="4" w:space="0" w:color="auto"/>
              <w:right w:val="single" w:sz="4" w:space="0" w:color="auto"/>
            </w:tcBorders>
            <w:shd w:val="clear" w:color="auto" w:fill="auto"/>
            <w:noWrap/>
            <w:vAlign w:val="center"/>
          </w:tcPr>
          <w:p w14:paraId="47D4BD59"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93</w:t>
            </w:r>
          </w:p>
        </w:tc>
      </w:tr>
      <w:tr w:rsidR="00A25731" w:rsidRPr="00293A04" w14:paraId="531E1E32" w14:textId="77777777" w:rsidTr="00E03CB1">
        <w:trPr>
          <w:trHeight w:val="39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0DD8C6C"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2019</w:t>
            </w:r>
          </w:p>
        </w:tc>
        <w:tc>
          <w:tcPr>
            <w:tcW w:w="1095" w:type="dxa"/>
            <w:tcBorders>
              <w:top w:val="nil"/>
              <w:left w:val="nil"/>
              <w:bottom w:val="single" w:sz="4" w:space="0" w:color="auto"/>
              <w:right w:val="single" w:sz="4" w:space="0" w:color="auto"/>
            </w:tcBorders>
            <w:shd w:val="clear" w:color="auto" w:fill="auto"/>
            <w:noWrap/>
            <w:vAlign w:val="center"/>
          </w:tcPr>
          <w:p w14:paraId="5E60DF01"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2,8</w:t>
            </w:r>
          </w:p>
        </w:tc>
        <w:tc>
          <w:tcPr>
            <w:tcW w:w="1096" w:type="dxa"/>
            <w:tcBorders>
              <w:top w:val="nil"/>
              <w:left w:val="nil"/>
              <w:bottom w:val="single" w:sz="4" w:space="0" w:color="auto"/>
              <w:right w:val="single" w:sz="4" w:space="0" w:color="auto"/>
            </w:tcBorders>
            <w:shd w:val="clear" w:color="auto" w:fill="auto"/>
            <w:noWrap/>
            <w:vAlign w:val="center"/>
          </w:tcPr>
          <w:p w14:paraId="4558060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16 081,2</w:t>
            </w:r>
          </w:p>
        </w:tc>
        <w:tc>
          <w:tcPr>
            <w:tcW w:w="1095" w:type="dxa"/>
            <w:tcBorders>
              <w:top w:val="nil"/>
              <w:left w:val="nil"/>
              <w:bottom w:val="single" w:sz="4" w:space="0" w:color="auto"/>
              <w:right w:val="single" w:sz="4" w:space="0" w:color="auto"/>
            </w:tcBorders>
            <w:shd w:val="clear" w:color="auto" w:fill="auto"/>
            <w:noWrap/>
            <w:vAlign w:val="center"/>
          </w:tcPr>
          <w:p w14:paraId="5CECEEA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4 089,9</w:t>
            </w:r>
          </w:p>
        </w:tc>
        <w:tc>
          <w:tcPr>
            <w:tcW w:w="1096" w:type="dxa"/>
            <w:tcBorders>
              <w:top w:val="nil"/>
              <w:left w:val="nil"/>
              <w:bottom w:val="single" w:sz="4" w:space="0" w:color="auto"/>
              <w:right w:val="single" w:sz="4" w:space="0" w:color="auto"/>
            </w:tcBorders>
            <w:shd w:val="clear" w:color="auto" w:fill="auto"/>
            <w:noWrap/>
            <w:vAlign w:val="center"/>
          </w:tcPr>
          <w:p w14:paraId="088C2C8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4 106,7</w:t>
            </w:r>
          </w:p>
        </w:tc>
        <w:tc>
          <w:tcPr>
            <w:tcW w:w="1096" w:type="dxa"/>
            <w:tcBorders>
              <w:top w:val="nil"/>
              <w:left w:val="nil"/>
              <w:bottom w:val="single" w:sz="4" w:space="0" w:color="auto"/>
              <w:right w:val="single" w:sz="4" w:space="0" w:color="auto"/>
            </w:tcBorders>
            <w:shd w:val="clear" w:color="auto" w:fill="auto"/>
            <w:noWrap/>
            <w:vAlign w:val="center"/>
          </w:tcPr>
          <w:p w14:paraId="0495D353"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24 280,7</w:t>
            </w:r>
          </w:p>
        </w:tc>
        <w:tc>
          <w:tcPr>
            <w:tcW w:w="1134" w:type="dxa"/>
            <w:tcBorders>
              <w:top w:val="nil"/>
              <w:left w:val="nil"/>
              <w:bottom w:val="single" w:sz="4" w:space="0" w:color="auto"/>
              <w:right w:val="single" w:sz="4" w:space="0" w:color="auto"/>
            </w:tcBorders>
            <w:shd w:val="clear" w:color="auto" w:fill="auto"/>
            <w:noWrap/>
            <w:vAlign w:val="center"/>
          </w:tcPr>
          <w:p w14:paraId="02D8D02D"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456 922</w:t>
            </w:r>
          </w:p>
        </w:tc>
        <w:tc>
          <w:tcPr>
            <w:tcW w:w="1275" w:type="dxa"/>
            <w:tcBorders>
              <w:top w:val="nil"/>
              <w:left w:val="nil"/>
              <w:bottom w:val="single" w:sz="4" w:space="0" w:color="auto"/>
              <w:right w:val="single" w:sz="4" w:space="0" w:color="auto"/>
            </w:tcBorders>
            <w:shd w:val="clear" w:color="auto" w:fill="auto"/>
            <w:noWrap/>
            <w:vAlign w:val="center"/>
          </w:tcPr>
          <w:p w14:paraId="52B70A97"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106</w:t>
            </w:r>
          </w:p>
        </w:tc>
      </w:tr>
      <w:tr w:rsidR="00A25731" w:rsidRPr="00293A04" w14:paraId="19DA23A5" w14:textId="77777777" w:rsidTr="00E03CB1">
        <w:trPr>
          <w:trHeight w:val="397"/>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93EC1"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2020</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57693CBE"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2,7</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B4C1B9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18 345,3</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31CA5BA6"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5 136,5</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3B2ABE5B"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1 143,5</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71D574BC"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24 628,0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EC3BAC"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302 134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5B9F434"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70</w:t>
            </w:r>
          </w:p>
        </w:tc>
      </w:tr>
      <w:tr w:rsidR="00A25731" w:rsidRPr="00293A04" w14:paraId="2A91C390" w14:textId="77777777" w:rsidTr="00E03CB1">
        <w:trPr>
          <w:trHeight w:val="397"/>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61F9F"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2021</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7A47F6D1"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12,9</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35D4AAE2"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20 601,9</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3AAC7CC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6 255,4</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63C1F5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102,5</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4B89EFF1"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26 972,7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C6CD04"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271 477</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6B3CB79"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6</w:t>
            </w:r>
            <w:r>
              <w:rPr>
                <w:rFonts w:ascii="Arial" w:eastAsia="Times New Roman" w:hAnsi="Arial" w:cs="Arial"/>
                <w:b/>
                <w:color w:val="000000"/>
                <w:sz w:val="20"/>
                <w:szCs w:val="20"/>
                <w:lang w:eastAsia="pl-PL"/>
              </w:rPr>
              <w:t>7</w:t>
            </w:r>
          </w:p>
        </w:tc>
      </w:tr>
      <w:tr w:rsidR="00A25731" w:rsidRPr="00757FA0" w14:paraId="6D681DE8" w14:textId="77777777" w:rsidTr="00E03CB1">
        <w:trPr>
          <w:trHeight w:val="397"/>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46A7"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2022</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198B3842"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13,0</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CF9E950"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16 777,2</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6A78516A"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5 529,1</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24D847EB"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1,1</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184BD83E"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22 320,3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B37C25" w14:textId="77777777" w:rsidR="00A25731" w:rsidRPr="00973BD9" w:rsidRDefault="00A25731" w:rsidP="00E03CB1">
            <w:pPr>
              <w:spacing w:after="0" w:line="240" w:lineRule="auto"/>
              <w:jc w:val="center"/>
              <w:rPr>
                <w:rFonts w:ascii="Arial" w:eastAsia="Times New Roman" w:hAnsi="Arial" w:cs="Arial"/>
                <w:color w:val="000000"/>
                <w:sz w:val="20"/>
                <w:szCs w:val="20"/>
                <w:lang w:eastAsia="pl-PL"/>
              </w:rPr>
            </w:pPr>
            <w:r w:rsidRPr="00973BD9">
              <w:rPr>
                <w:rFonts w:ascii="Arial" w:eastAsia="Times New Roman" w:hAnsi="Arial" w:cs="Arial"/>
                <w:color w:val="000000"/>
                <w:sz w:val="20"/>
                <w:szCs w:val="20"/>
                <w:lang w:eastAsia="pl-PL"/>
              </w:rPr>
              <w:t>222 765</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AE6511" w14:textId="77777777" w:rsidR="00A25731" w:rsidRPr="00973BD9" w:rsidRDefault="00A25731" w:rsidP="00E03CB1">
            <w:pPr>
              <w:spacing w:after="0" w:line="240" w:lineRule="auto"/>
              <w:jc w:val="center"/>
              <w:rPr>
                <w:rFonts w:ascii="Arial" w:eastAsia="Times New Roman" w:hAnsi="Arial" w:cs="Arial"/>
                <w:b/>
                <w:color w:val="000000"/>
                <w:sz w:val="20"/>
                <w:szCs w:val="20"/>
                <w:lang w:eastAsia="pl-PL"/>
              </w:rPr>
            </w:pPr>
            <w:r w:rsidRPr="00973BD9">
              <w:rPr>
                <w:rFonts w:ascii="Arial" w:eastAsia="Times New Roman" w:hAnsi="Arial" w:cs="Arial"/>
                <w:b/>
                <w:color w:val="000000"/>
                <w:sz w:val="20"/>
                <w:szCs w:val="20"/>
                <w:lang w:eastAsia="pl-PL"/>
              </w:rPr>
              <w:t>52</w:t>
            </w:r>
          </w:p>
        </w:tc>
      </w:tr>
    </w:tbl>
    <w:p w14:paraId="4E503A4D" w14:textId="77777777" w:rsidR="00A25731" w:rsidRDefault="00A25731" w:rsidP="00A25731">
      <w:pPr>
        <w:spacing w:before="120" w:after="120" w:line="240" w:lineRule="auto"/>
        <w:ind w:left="993" w:hanging="993"/>
        <w:jc w:val="both"/>
        <w:rPr>
          <w:rFonts w:ascii="Arial" w:hAnsi="Arial" w:cs="Arial"/>
          <w:i/>
          <w:sz w:val="20"/>
          <w:szCs w:val="20"/>
        </w:rPr>
      </w:pPr>
      <w:r w:rsidRPr="00BA1B89">
        <w:rPr>
          <w:rFonts w:ascii="Arial" w:hAnsi="Arial" w:cs="Arial"/>
          <w:i/>
          <w:sz w:val="20"/>
          <w:szCs w:val="20"/>
        </w:rPr>
        <w:t>UWAGA: Z uwagi na brak oficjalnie opublikowanej kategoryzacji substancji czynnych za rok 2022 wartości mogą ulec późniejszej korekcie</w:t>
      </w:r>
    </w:p>
    <w:p w14:paraId="0A27F00A" w14:textId="77777777" w:rsidR="008B7EC9" w:rsidRPr="00BA1B89" w:rsidRDefault="008B7EC9" w:rsidP="00A25731">
      <w:pPr>
        <w:spacing w:before="120" w:after="120" w:line="240" w:lineRule="auto"/>
        <w:ind w:left="993" w:hanging="993"/>
        <w:jc w:val="both"/>
        <w:rPr>
          <w:rFonts w:ascii="Arial" w:hAnsi="Arial" w:cs="Arial"/>
          <w:i/>
          <w:sz w:val="20"/>
          <w:szCs w:val="20"/>
        </w:rPr>
      </w:pPr>
    </w:p>
    <w:p w14:paraId="25284C05" w14:textId="53310FD4" w:rsidR="00A25731" w:rsidRDefault="00A25731" w:rsidP="00A25731">
      <w:pPr>
        <w:pStyle w:val="NormalnyWeb"/>
        <w:tabs>
          <w:tab w:val="left" w:pos="284"/>
        </w:tabs>
        <w:spacing w:before="120" w:beforeAutospacing="0" w:after="120" w:afterAutospacing="0" w:line="360" w:lineRule="auto"/>
        <w:ind w:firstLine="284"/>
        <w:jc w:val="both"/>
        <w:rPr>
          <w:rFonts w:ascii="Arial" w:hAnsi="Arial" w:cs="Arial"/>
        </w:rPr>
      </w:pPr>
      <w:r w:rsidRPr="00BA1B89">
        <w:rPr>
          <w:rFonts w:ascii="Arial" w:hAnsi="Arial" w:cs="Arial"/>
        </w:rPr>
        <w:t xml:space="preserve">Wskaźnik HRI1 dla 2022 </w:t>
      </w:r>
      <w:r>
        <w:rPr>
          <w:rFonts w:ascii="Arial" w:hAnsi="Arial" w:cs="Arial"/>
        </w:rPr>
        <w:t xml:space="preserve">r. ma wartość </w:t>
      </w:r>
      <w:r w:rsidRPr="00BA1B89">
        <w:rPr>
          <w:rFonts w:ascii="Arial" w:hAnsi="Arial" w:cs="Arial"/>
        </w:rPr>
        <w:t>wynosi 52. To o 15 punktów mniej niż wartość dla 2021</w:t>
      </w:r>
      <w:r>
        <w:rPr>
          <w:rFonts w:ascii="Arial" w:hAnsi="Arial" w:cs="Arial"/>
        </w:rPr>
        <w:t> r.</w:t>
      </w:r>
      <w:r w:rsidR="0060469A">
        <w:rPr>
          <w:rFonts w:ascii="Arial" w:hAnsi="Arial" w:cs="Arial"/>
        </w:rPr>
        <w:t xml:space="preserve"> </w:t>
      </w:r>
      <w:r w:rsidRPr="00BA1B89">
        <w:rPr>
          <w:rFonts w:ascii="Arial" w:hAnsi="Arial" w:cs="Arial"/>
        </w:rPr>
        <w:t>(według klasyfikacji z 2021</w:t>
      </w:r>
      <w:r>
        <w:rPr>
          <w:rFonts w:ascii="Arial" w:hAnsi="Arial" w:cs="Arial"/>
        </w:rPr>
        <w:t xml:space="preserve"> r.</w:t>
      </w:r>
      <w:r w:rsidRPr="00BA1B89">
        <w:rPr>
          <w:rFonts w:ascii="Arial" w:hAnsi="Arial" w:cs="Arial"/>
        </w:rPr>
        <w:t>), która wynosiła 67. Znaczne obniżenie wartości wskaźnika wynika głównie z mniejszej s</w:t>
      </w:r>
      <w:r>
        <w:rPr>
          <w:rFonts w:ascii="Arial" w:hAnsi="Arial" w:cs="Arial"/>
        </w:rPr>
        <w:t xml:space="preserve">przedaży substancji czynnych w </w:t>
      </w:r>
      <w:r w:rsidRPr="00BA1B89">
        <w:rPr>
          <w:rFonts w:ascii="Arial" w:hAnsi="Arial" w:cs="Arial"/>
        </w:rPr>
        <w:t>2022</w:t>
      </w:r>
      <w:r>
        <w:rPr>
          <w:rFonts w:ascii="Arial" w:hAnsi="Arial" w:cs="Arial"/>
        </w:rPr>
        <w:t xml:space="preserve"> r.</w:t>
      </w:r>
      <w:r w:rsidRPr="00BA1B89">
        <w:rPr>
          <w:rFonts w:ascii="Arial" w:hAnsi="Arial" w:cs="Arial"/>
        </w:rPr>
        <w:t xml:space="preserve"> oraz wycofaniu tiofanatu metylu (przeliczenie historycznej sprzedaży z wagą 64). </w:t>
      </w:r>
    </w:p>
    <w:p w14:paraId="17A959FA" w14:textId="2867A5F6" w:rsidR="00A25731" w:rsidRDefault="00A25731" w:rsidP="00A25731">
      <w:pPr>
        <w:pStyle w:val="NormalnyWeb"/>
        <w:tabs>
          <w:tab w:val="left" w:pos="284"/>
        </w:tabs>
        <w:spacing w:before="120" w:beforeAutospacing="0" w:after="120" w:afterAutospacing="0" w:line="360" w:lineRule="auto"/>
        <w:ind w:firstLine="284"/>
        <w:jc w:val="both"/>
        <w:rPr>
          <w:rFonts w:ascii="Arial" w:hAnsi="Arial" w:cs="Arial"/>
        </w:rPr>
      </w:pPr>
      <w:r>
        <w:rPr>
          <w:noProof/>
        </w:rPr>
        <w:drawing>
          <wp:inline distT="0" distB="0" distL="0" distR="0" wp14:anchorId="2B569148" wp14:editId="728FDDB0">
            <wp:extent cx="5522026" cy="2909454"/>
            <wp:effectExtent l="0" t="0" r="2540" b="5715"/>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1B68FF9" w14:textId="77777777" w:rsidR="00A25731" w:rsidRPr="00BA1B89" w:rsidRDefault="00A25731" w:rsidP="00A25731">
      <w:pPr>
        <w:pStyle w:val="NormalnyWeb"/>
        <w:tabs>
          <w:tab w:val="left" w:pos="284"/>
        </w:tabs>
        <w:spacing w:before="120" w:beforeAutospacing="0" w:after="120" w:afterAutospacing="0" w:line="360" w:lineRule="auto"/>
        <w:ind w:firstLine="284"/>
        <w:jc w:val="both"/>
        <w:rPr>
          <w:rFonts w:ascii="Arial" w:hAnsi="Arial" w:cs="Arial"/>
        </w:rPr>
      </w:pPr>
    </w:p>
    <w:p w14:paraId="1132EB19" w14:textId="5E27F0F9" w:rsidR="00A25731" w:rsidRPr="00BA1B89" w:rsidRDefault="00A25731" w:rsidP="00A25731">
      <w:pPr>
        <w:pStyle w:val="NormalnyWeb"/>
        <w:tabs>
          <w:tab w:val="left" w:pos="284"/>
        </w:tabs>
        <w:spacing w:before="120" w:beforeAutospacing="0" w:after="120" w:afterAutospacing="0" w:line="360" w:lineRule="auto"/>
        <w:ind w:firstLine="284"/>
        <w:jc w:val="both"/>
        <w:rPr>
          <w:rFonts w:ascii="Arial" w:hAnsi="Arial" w:cs="Arial"/>
        </w:rPr>
      </w:pPr>
      <w:r w:rsidRPr="00BA1B89">
        <w:rPr>
          <w:rFonts w:ascii="Arial" w:hAnsi="Arial" w:cs="Arial"/>
        </w:rPr>
        <w:lastRenderedPageBreak/>
        <w:t xml:space="preserve">Analiza szczegółowych danych pokazuje, że 50% wartości wskaźnika wynika ze sprzedaży tylko 8 substancji. Kolejne 14 substancji ma udział równy 25%. Następnych 50 substancji ma udział równy 20%, a pozostałe 180 substancje ma udział tylko 5%. Jeśli weźmiemy pod uwagę grupy potencjalnego </w:t>
      </w:r>
      <w:r>
        <w:rPr>
          <w:rFonts w:ascii="Arial" w:hAnsi="Arial" w:cs="Arial"/>
        </w:rPr>
        <w:t>ryzyka</w:t>
      </w:r>
      <w:r w:rsidRPr="00BA1B89">
        <w:rPr>
          <w:rFonts w:ascii="Arial" w:hAnsi="Arial" w:cs="Arial"/>
        </w:rPr>
        <w:t xml:space="preserve"> to ogółem w sprzedaży było 9 substancji z grupy 1, 203 z grupy 2, 38 z grupy 3 i 1 substancja z grupy 4. W pierwszej dwudziestce pod względem największego udziału w wartości wskaźnika znajduje się 9 substancji z grupy 3 i 11 z grupy 2 (identycznie jak w latach 2020 i 2021). Udział poszczególnych grup substancji czynnych w sprzedaży i wartości wskaźnika w 2022</w:t>
      </w:r>
      <w:r>
        <w:rPr>
          <w:rFonts w:ascii="Arial" w:hAnsi="Arial" w:cs="Arial"/>
        </w:rPr>
        <w:t xml:space="preserve"> r.</w:t>
      </w:r>
      <w:r w:rsidRPr="00BA1B89">
        <w:rPr>
          <w:rFonts w:ascii="Arial" w:hAnsi="Arial" w:cs="Arial"/>
        </w:rPr>
        <w:t xml:space="preserve"> zawiera tabela </w:t>
      </w:r>
      <w:r w:rsidR="002F3169">
        <w:rPr>
          <w:rFonts w:ascii="Arial" w:hAnsi="Arial" w:cs="Arial"/>
        </w:rPr>
        <w:t>5</w:t>
      </w:r>
      <w:r w:rsidRPr="00BA1B89">
        <w:rPr>
          <w:rFonts w:ascii="Arial" w:hAnsi="Arial" w:cs="Arial"/>
        </w:rPr>
        <w:t>.</w:t>
      </w:r>
    </w:p>
    <w:p w14:paraId="6971D527" w14:textId="51FC6267" w:rsidR="00A25731" w:rsidRPr="009B4092" w:rsidRDefault="00A25731" w:rsidP="00A25731">
      <w:pPr>
        <w:spacing w:before="120" w:after="120" w:line="240" w:lineRule="auto"/>
        <w:ind w:left="993" w:hanging="993"/>
        <w:rPr>
          <w:rFonts w:ascii="Arial" w:hAnsi="Arial" w:cs="Arial"/>
          <w:i/>
          <w:sz w:val="20"/>
          <w:szCs w:val="20"/>
        </w:rPr>
      </w:pPr>
      <w:r w:rsidRPr="009B4092">
        <w:rPr>
          <w:rFonts w:ascii="Arial" w:hAnsi="Arial" w:cs="Arial"/>
          <w:i/>
          <w:sz w:val="20"/>
          <w:szCs w:val="20"/>
        </w:rPr>
        <w:t xml:space="preserve">Tabela </w:t>
      </w:r>
      <w:r w:rsidR="002F3169">
        <w:rPr>
          <w:rFonts w:ascii="Arial" w:hAnsi="Arial" w:cs="Arial"/>
          <w:i/>
          <w:sz w:val="20"/>
          <w:szCs w:val="20"/>
        </w:rPr>
        <w:t>5</w:t>
      </w:r>
      <w:r w:rsidRPr="009B4092">
        <w:rPr>
          <w:rFonts w:ascii="Arial" w:hAnsi="Arial" w:cs="Arial"/>
          <w:i/>
          <w:sz w:val="20"/>
          <w:szCs w:val="20"/>
        </w:rPr>
        <w:t>. Udział grup ryzyka substancji czynnych w wartości wskaźnika HRI1 w 2022</w:t>
      </w:r>
      <w:r>
        <w:rPr>
          <w:rFonts w:ascii="Arial" w:hAnsi="Arial" w:cs="Arial"/>
          <w:i/>
          <w:sz w:val="20"/>
          <w:szCs w:val="20"/>
        </w:rPr>
        <w:t xml:space="preserve"> r.</w:t>
      </w:r>
    </w:p>
    <w:tbl>
      <w:tblPr>
        <w:tblW w:w="4922" w:type="pct"/>
        <w:jc w:val="center"/>
        <w:tblCellMar>
          <w:left w:w="0" w:type="dxa"/>
          <w:right w:w="0" w:type="dxa"/>
        </w:tblCellMar>
        <w:tblLook w:val="0600" w:firstRow="0" w:lastRow="0" w:firstColumn="0" w:lastColumn="0" w:noHBand="1" w:noVBand="1"/>
      </w:tblPr>
      <w:tblGrid>
        <w:gridCol w:w="4180"/>
        <w:gridCol w:w="1581"/>
        <w:gridCol w:w="1581"/>
        <w:gridCol w:w="1579"/>
      </w:tblGrid>
      <w:tr w:rsidR="00A25731" w:rsidRPr="00650C8D" w14:paraId="6161EB72" w14:textId="77777777" w:rsidTr="00E03CB1">
        <w:trPr>
          <w:trHeight w:val="2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4F0B266A"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bCs/>
                <w:sz w:val="20"/>
                <w:szCs w:val="20"/>
              </w:rPr>
              <w:t>Grupa substancji czynnych</w:t>
            </w:r>
          </w:p>
        </w:tc>
        <w:tc>
          <w:tcPr>
            <w:tcW w:w="886" w:type="pct"/>
            <w:tcBorders>
              <w:top w:val="single" w:sz="4" w:space="0" w:color="000000"/>
              <w:left w:val="single" w:sz="4" w:space="0" w:color="000000"/>
              <w:bottom w:val="single" w:sz="4" w:space="0" w:color="000000"/>
              <w:right w:val="single" w:sz="4" w:space="0" w:color="000000"/>
            </w:tcBorders>
            <w:vAlign w:val="center"/>
          </w:tcPr>
          <w:p w14:paraId="79CD83E6" w14:textId="77777777" w:rsidR="00A25731" w:rsidRPr="00163D0C" w:rsidRDefault="00A25731" w:rsidP="00E03CB1">
            <w:pPr>
              <w:spacing w:after="0" w:line="240" w:lineRule="auto"/>
              <w:jc w:val="center"/>
              <w:rPr>
                <w:rFonts w:ascii="Arial" w:hAnsi="Arial" w:cs="Arial"/>
                <w:bCs/>
                <w:sz w:val="20"/>
                <w:szCs w:val="20"/>
              </w:rPr>
            </w:pPr>
            <w:r w:rsidRPr="00163D0C">
              <w:rPr>
                <w:rFonts w:ascii="Arial" w:hAnsi="Arial" w:cs="Arial"/>
                <w:bCs/>
                <w:sz w:val="20"/>
                <w:szCs w:val="20"/>
              </w:rPr>
              <w:t>Sprzedaż</w:t>
            </w:r>
          </w:p>
          <w:p w14:paraId="5C4A1520" w14:textId="77777777" w:rsidR="00A25731" w:rsidRPr="00163D0C" w:rsidRDefault="00A25731" w:rsidP="00E03CB1">
            <w:pPr>
              <w:spacing w:after="0" w:line="240" w:lineRule="auto"/>
              <w:jc w:val="center"/>
              <w:rPr>
                <w:rFonts w:ascii="Arial" w:hAnsi="Arial" w:cs="Arial"/>
                <w:bCs/>
                <w:sz w:val="20"/>
                <w:szCs w:val="20"/>
              </w:rPr>
            </w:pPr>
            <w:r w:rsidRPr="00163D0C">
              <w:rPr>
                <w:rFonts w:ascii="Arial" w:hAnsi="Arial" w:cs="Arial"/>
                <w:bCs/>
                <w:sz w:val="20"/>
                <w:szCs w:val="20"/>
              </w:rPr>
              <w:t>w 2022</w:t>
            </w:r>
          </w:p>
          <w:p w14:paraId="21194F28" w14:textId="77777777" w:rsidR="00A25731" w:rsidRPr="00163D0C" w:rsidRDefault="00A25731" w:rsidP="00E03CB1">
            <w:pPr>
              <w:spacing w:after="0" w:line="240" w:lineRule="auto"/>
              <w:jc w:val="center"/>
              <w:rPr>
                <w:rFonts w:ascii="Arial" w:hAnsi="Arial" w:cs="Arial"/>
                <w:bCs/>
                <w:sz w:val="20"/>
                <w:szCs w:val="20"/>
              </w:rPr>
            </w:pPr>
            <w:r w:rsidRPr="00163D0C">
              <w:rPr>
                <w:rFonts w:ascii="Arial" w:hAnsi="Arial" w:cs="Arial"/>
                <w:bCs/>
                <w:sz w:val="20"/>
                <w:szCs w:val="20"/>
              </w:rPr>
              <w:t>[w tonach]</w:t>
            </w:r>
          </w:p>
        </w:tc>
        <w:tc>
          <w:tcPr>
            <w:tcW w:w="886" w:type="pct"/>
            <w:tcBorders>
              <w:top w:val="single" w:sz="4" w:space="0" w:color="000000"/>
              <w:left w:val="single" w:sz="4" w:space="0" w:color="000000"/>
              <w:bottom w:val="single" w:sz="4" w:space="0" w:color="000000"/>
              <w:right w:val="single" w:sz="4" w:space="0" w:color="000000"/>
            </w:tcBorders>
            <w:vAlign w:val="center"/>
          </w:tcPr>
          <w:p w14:paraId="62FE85E6"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bCs/>
                <w:sz w:val="20"/>
                <w:szCs w:val="20"/>
              </w:rPr>
              <w:t>Udział w sprzedaży</w:t>
            </w:r>
          </w:p>
        </w:tc>
        <w:tc>
          <w:tcPr>
            <w:tcW w:w="885" w:type="pct"/>
            <w:tcBorders>
              <w:top w:val="single" w:sz="4" w:space="0" w:color="000000"/>
              <w:left w:val="single" w:sz="4" w:space="0" w:color="000000"/>
              <w:bottom w:val="single" w:sz="4" w:space="0" w:color="000000"/>
              <w:right w:val="single" w:sz="4" w:space="0" w:color="000000"/>
            </w:tcBorders>
            <w:vAlign w:val="center"/>
          </w:tcPr>
          <w:p w14:paraId="5963B6A0" w14:textId="77777777" w:rsidR="00A25731" w:rsidRPr="00163D0C" w:rsidRDefault="00A25731" w:rsidP="00E03CB1">
            <w:pPr>
              <w:spacing w:after="0" w:line="240" w:lineRule="auto"/>
              <w:jc w:val="center"/>
              <w:rPr>
                <w:rFonts w:ascii="Arial" w:hAnsi="Arial" w:cs="Arial"/>
                <w:bCs/>
                <w:sz w:val="20"/>
                <w:szCs w:val="20"/>
              </w:rPr>
            </w:pPr>
            <w:r w:rsidRPr="00163D0C">
              <w:rPr>
                <w:rFonts w:ascii="Arial" w:hAnsi="Arial" w:cs="Arial"/>
                <w:bCs/>
                <w:sz w:val="20"/>
                <w:szCs w:val="20"/>
              </w:rPr>
              <w:t>Udział w wartości wskaźnika</w:t>
            </w:r>
          </w:p>
        </w:tc>
      </w:tr>
      <w:tr w:rsidR="00A25731" w:rsidRPr="00650C8D" w14:paraId="04DE7DB0" w14:textId="77777777" w:rsidTr="00E03CB1">
        <w:trPr>
          <w:trHeight w:val="34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04924DA8"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sz w:val="20"/>
                <w:szCs w:val="20"/>
              </w:rPr>
              <w:t>Grupa 1 – substancje o niskim ryzyku</w:t>
            </w:r>
          </w:p>
        </w:tc>
        <w:tc>
          <w:tcPr>
            <w:tcW w:w="886" w:type="pct"/>
            <w:tcBorders>
              <w:top w:val="single" w:sz="4" w:space="0" w:color="000000"/>
              <w:left w:val="single" w:sz="4" w:space="0" w:color="000000"/>
              <w:bottom w:val="single" w:sz="4" w:space="0" w:color="000000"/>
              <w:right w:val="single" w:sz="4" w:space="0" w:color="000000"/>
            </w:tcBorders>
            <w:vAlign w:val="center"/>
          </w:tcPr>
          <w:p w14:paraId="7BB9E651"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13,0</w:t>
            </w:r>
          </w:p>
        </w:tc>
        <w:tc>
          <w:tcPr>
            <w:tcW w:w="886" w:type="pct"/>
            <w:tcBorders>
              <w:top w:val="single" w:sz="4" w:space="0" w:color="000000"/>
              <w:left w:val="single" w:sz="4" w:space="0" w:color="000000"/>
              <w:bottom w:val="single" w:sz="4" w:space="0" w:color="000000"/>
              <w:right w:val="single" w:sz="4" w:space="0" w:color="000000"/>
            </w:tcBorders>
            <w:vAlign w:val="center"/>
          </w:tcPr>
          <w:p w14:paraId="25C5ABC9"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0,06%</w:t>
            </w:r>
          </w:p>
        </w:tc>
        <w:tc>
          <w:tcPr>
            <w:tcW w:w="885" w:type="pct"/>
            <w:tcBorders>
              <w:top w:val="single" w:sz="4" w:space="0" w:color="000000"/>
              <w:left w:val="single" w:sz="4" w:space="0" w:color="000000"/>
              <w:bottom w:val="single" w:sz="4" w:space="0" w:color="000000"/>
              <w:right w:val="single" w:sz="4" w:space="0" w:color="000000"/>
            </w:tcBorders>
            <w:vAlign w:val="center"/>
          </w:tcPr>
          <w:p w14:paraId="2B5C0953"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0,006%</w:t>
            </w:r>
          </w:p>
        </w:tc>
      </w:tr>
      <w:tr w:rsidR="00A25731" w:rsidRPr="00650C8D" w14:paraId="1BF9FB60" w14:textId="77777777" w:rsidTr="00E03CB1">
        <w:trPr>
          <w:trHeight w:val="34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668875D1"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sz w:val="20"/>
                <w:szCs w:val="20"/>
              </w:rPr>
              <w:t>Grupa 2 – substancje dopuszczone</w:t>
            </w:r>
          </w:p>
          <w:p w14:paraId="1C1CCB90"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sz w:val="20"/>
                <w:szCs w:val="20"/>
              </w:rPr>
              <w:t>– inne niż w grupie 1 i 3</w:t>
            </w:r>
          </w:p>
        </w:tc>
        <w:tc>
          <w:tcPr>
            <w:tcW w:w="886" w:type="pct"/>
            <w:tcBorders>
              <w:top w:val="single" w:sz="4" w:space="0" w:color="000000"/>
              <w:left w:val="single" w:sz="4" w:space="0" w:color="000000"/>
              <w:bottom w:val="single" w:sz="4" w:space="0" w:color="000000"/>
              <w:right w:val="single" w:sz="4" w:space="0" w:color="000000"/>
            </w:tcBorders>
            <w:vAlign w:val="center"/>
          </w:tcPr>
          <w:p w14:paraId="17BA17BA"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16777,2</w:t>
            </w:r>
          </w:p>
        </w:tc>
        <w:tc>
          <w:tcPr>
            <w:tcW w:w="886" w:type="pct"/>
            <w:tcBorders>
              <w:top w:val="single" w:sz="4" w:space="0" w:color="000000"/>
              <w:left w:val="single" w:sz="4" w:space="0" w:color="000000"/>
              <w:bottom w:val="single" w:sz="4" w:space="0" w:color="000000"/>
              <w:right w:val="single" w:sz="4" w:space="0" w:color="000000"/>
            </w:tcBorders>
            <w:vAlign w:val="center"/>
          </w:tcPr>
          <w:p w14:paraId="592CE7D3"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75,17%</w:t>
            </w:r>
          </w:p>
        </w:tc>
        <w:tc>
          <w:tcPr>
            <w:tcW w:w="885" w:type="pct"/>
            <w:tcBorders>
              <w:top w:val="single" w:sz="4" w:space="0" w:color="000000"/>
              <w:left w:val="single" w:sz="4" w:space="0" w:color="000000"/>
              <w:bottom w:val="single" w:sz="4" w:space="0" w:color="000000"/>
              <w:right w:val="single" w:sz="4" w:space="0" w:color="000000"/>
            </w:tcBorders>
            <w:vAlign w:val="center"/>
          </w:tcPr>
          <w:p w14:paraId="2AC67EC4"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60,25%</w:t>
            </w:r>
          </w:p>
        </w:tc>
      </w:tr>
      <w:tr w:rsidR="00A25731" w:rsidRPr="00650C8D" w14:paraId="240057C6" w14:textId="77777777" w:rsidTr="00E03CB1">
        <w:trPr>
          <w:trHeight w:val="34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602D4101"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sz w:val="20"/>
                <w:szCs w:val="20"/>
              </w:rPr>
              <w:t>Grupa 3 – substancje kwalifikujące się do zastąpienia</w:t>
            </w:r>
          </w:p>
        </w:tc>
        <w:tc>
          <w:tcPr>
            <w:tcW w:w="886" w:type="pct"/>
            <w:tcBorders>
              <w:top w:val="single" w:sz="4" w:space="0" w:color="000000"/>
              <w:left w:val="single" w:sz="4" w:space="0" w:color="000000"/>
              <w:bottom w:val="single" w:sz="4" w:space="0" w:color="000000"/>
              <w:right w:val="single" w:sz="4" w:space="0" w:color="000000"/>
            </w:tcBorders>
            <w:vAlign w:val="center"/>
          </w:tcPr>
          <w:p w14:paraId="4323A6DE"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5529,1</w:t>
            </w:r>
          </w:p>
        </w:tc>
        <w:tc>
          <w:tcPr>
            <w:tcW w:w="886" w:type="pct"/>
            <w:tcBorders>
              <w:top w:val="single" w:sz="4" w:space="0" w:color="000000"/>
              <w:left w:val="single" w:sz="4" w:space="0" w:color="000000"/>
              <w:bottom w:val="single" w:sz="4" w:space="0" w:color="000000"/>
              <w:right w:val="single" w:sz="4" w:space="0" w:color="000000"/>
            </w:tcBorders>
            <w:vAlign w:val="center"/>
          </w:tcPr>
          <w:p w14:paraId="49C574E1"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24,77%</w:t>
            </w:r>
          </w:p>
        </w:tc>
        <w:tc>
          <w:tcPr>
            <w:tcW w:w="885" w:type="pct"/>
            <w:tcBorders>
              <w:top w:val="single" w:sz="4" w:space="0" w:color="000000"/>
              <w:left w:val="single" w:sz="4" w:space="0" w:color="000000"/>
              <w:bottom w:val="single" w:sz="4" w:space="0" w:color="000000"/>
              <w:right w:val="single" w:sz="4" w:space="0" w:color="000000"/>
            </w:tcBorders>
            <w:vAlign w:val="center"/>
          </w:tcPr>
          <w:p w14:paraId="3721BA99"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39,71%</w:t>
            </w:r>
          </w:p>
        </w:tc>
      </w:tr>
      <w:tr w:rsidR="00A25731" w:rsidRPr="00650C8D" w14:paraId="6DF84E0B" w14:textId="77777777" w:rsidTr="00E03CB1">
        <w:trPr>
          <w:trHeight w:val="34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3C3418C0"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sz w:val="20"/>
                <w:szCs w:val="20"/>
                <w:lang w:val="en-GB"/>
              </w:rPr>
              <w:t>Gr</w:t>
            </w:r>
            <w:r w:rsidRPr="00163D0C">
              <w:rPr>
                <w:rFonts w:ascii="Arial" w:hAnsi="Arial" w:cs="Arial"/>
                <w:sz w:val="20"/>
                <w:szCs w:val="20"/>
              </w:rPr>
              <w:t>u</w:t>
            </w:r>
            <w:r w:rsidRPr="00163D0C">
              <w:rPr>
                <w:rFonts w:ascii="Arial" w:hAnsi="Arial" w:cs="Arial"/>
                <w:sz w:val="20"/>
                <w:szCs w:val="20"/>
                <w:lang w:val="en-GB"/>
              </w:rPr>
              <w:t>p</w:t>
            </w:r>
            <w:r w:rsidRPr="00163D0C">
              <w:rPr>
                <w:rFonts w:ascii="Arial" w:hAnsi="Arial" w:cs="Arial"/>
                <w:sz w:val="20"/>
                <w:szCs w:val="20"/>
              </w:rPr>
              <w:t>a</w:t>
            </w:r>
            <w:r w:rsidRPr="00163D0C">
              <w:rPr>
                <w:rFonts w:ascii="Arial" w:hAnsi="Arial" w:cs="Arial"/>
                <w:sz w:val="20"/>
                <w:szCs w:val="20"/>
                <w:lang w:val="en-GB"/>
              </w:rPr>
              <w:t xml:space="preserve"> 4 – </w:t>
            </w:r>
            <w:r w:rsidRPr="00163D0C">
              <w:rPr>
                <w:rFonts w:ascii="Arial" w:hAnsi="Arial" w:cs="Arial"/>
                <w:sz w:val="20"/>
                <w:szCs w:val="20"/>
              </w:rPr>
              <w:t>substancje niedopuszczone</w:t>
            </w:r>
          </w:p>
        </w:tc>
        <w:tc>
          <w:tcPr>
            <w:tcW w:w="886" w:type="pct"/>
            <w:tcBorders>
              <w:top w:val="single" w:sz="4" w:space="0" w:color="000000"/>
              <w:left w:val="single" w:sz="4" w:space="0" w:color="000000"/>
              <w:bottom w:val="single" w:sz="4" w:space="0" w:color="000000"/>
              <w:right w:val="single" w:sz="4" w:space="0" w:color="000000"/>
            </w:tcBorders>
            <w:vAlign w:val="center"/>
          </w:tcPr>
          <w:p w14:paraId="35A66514"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1,1</w:t>
            </w:r>
          </w:p>
        </w:tc>
        <w:tc>
          <w:tcPr>
            <w:tcW w:w="886" w:type="pct"/>
            <w:tcBorders>
              <w:top w:val="single" w:sz="4" w:space="0" w:color="000000"/>
              <w:left w:val="single" w:sz="4" w:space="0" w:color="000000"/>
              <w:bottom w:val="single" w:sz="4" w:space="0" w:color="000000"/>
              <w:right w:val="single" w:sz="4" w:space="0" w:color="000000"/>
            </w:tcBorders>
            <w:vAlign w:val="center"/>
          </w:tcPr>
          <w:p w14:paraId="4B807640"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0,00%</w:t>
            </w:r>
          </w:p>
        </w:tc>
        <w:tc>
          <w:tcPr>
            <w:tcW w:w="885" w:type="pct"/>
            <w:tcBorders>
              <w:top w:val="single" w:sz="4" w:space="0" w:color="000000"/>
              <w:left w:val="single" w:sz="4" w:space="0" w:color="000000"/>
              <w:bottom w:val="single" w:sz="4" w:space="0" w:color="000000"/>
              <w:right w:val="single" w:sz="4" w:space="0" w:color="000000"/>
            </w:tcBorders>
            <w:vAlign w:val="center"/>
          </w:tcPr>
          <w:p w14:paraId="1A4541C1"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0,03%</w:t>
            </w:r>
          </w:p>
        </w:tc>
      </w:tr>
      <w:tr w:rsidR="00A25731" w:rsidRPr="00757FA0" w14:paraId="66B1E604" w14:textId="77777777" w:rsidTr="00E03CB1">
        <w:trPr>
          <w:trHeight w:val="34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69D70064" w14:textId="77777777" w:rsidR="00A25731" w:rsidRPr="00163D0C" w:rsidRDefault="00A25731" w:rsidP="00E03CB1">
            <w:pPr>
              <w:spacing w:after="0" w:line="240" w:lineRule="auto"/>
              <w:rPr>
                <w:rFonts w:ascii="Arial" w:hAnsi="Arial" w:cs="Arial"/>
                <w:sz w:val="20"/>
                <w:szCs w:val="20"/>
              </w:rPr>
            </w:pPr>
            <w:r w:rsidRPr="00163D0C">
              <w:rPr>
                <w:rFonts w:ascii="Arial" w:hAnsi="Arial" w:cs="Arial"/>
                <w:bCs/>
                <w:sz w:val="20"/>
                <w:szCs w:val="20"/>
              </w:rPr>
              <w:t>Suma</w:t>
            </w:r>
          </w:p>
        </w:tc>
        <w:tc>
          <w:tcPr>
            <w:tcW w:w="886" w:type="pct"/>
            <w:tcBorders>
              <w:top w:val="single" w:sz="4" w:space="0" w:color="000000"/>
              <w:left w:val="single" w:sz="4" w:space="0" w:color="000000"/>
              <w:bottom w:val="single" w:sz="4" w:space="0" w:color="000000"/>
              <w:right w:val="single" w:sz="4" w:space="0" w:color="000000"/>
            </w:tcBorders>
            <w:vAlign w:val="center"/>
          </w:tcPr>
          <w:p w14:paraId="7836FB07"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22320,3</w:t>
            </w:r>
          </w:p>
        </w:tc>
        <w:tc>
          <w:tcPr>
            <w:tcW w:w="886" w:type="pct"/>
            <w:tcBorders>
              <w:top w:val="single" w:sz="4" w:space="0" w:color="000000"/>
              <w:left w:val="single" w:sz="4" w:space="0" w:color="000000"/>
              <w:bottom w:val="single" w:sz="4" w:space="0" w:color="000000"/>
              <w:right w:val="single" w:sz="4" w:space="0" w:color="000000"/>
            </w:tcBorders>
            <w:vAlign w:val="center"/>
          </w:tcPr>
          <w:p w14:paraId="704941A9"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100%</w:t>
            </w:r>
          </w:p>
        </w:tc>
        <w:tc>
          <w:tcPr>
            <w:tcW w:w="885" w:type="pct"/>
            <w:tcBorders>
              <w:top w:val="single" w:sz="4" w:space="0" w:color="000000"/>
              <w:left w:val="single" w:sz="4" w:space="0" w:color="000000"/>
              <w:bottom w:val="single" w:sz="4" w:space="0" w:color="000000"/>
              <w:right w:val="single" w:sz="4" w:space="0" w:color="000000"/>
            </w:tcBorders>
            <w:vAlign w:val="center"/>
          </w:tcPr>
          <w:p w14:paraId="4568F5FE" w14:textId="77777777" w:rsidR="00A25731" w:rsidRPr="00163D0C" w:rsidRDefault="00A25731" w:rsidP="00E03CB1">
            <w:pPr>
              <w:spacing w:after="0" w:line="240" w:lineRule="auto"/>
              <w:jc w:val="center"/>
              <w:rPr>
                <w:rFonts w:ascii="Arial" w:hAnsi="Arial" w:cs="Arial"/>
                <w:sz w:val="20"/>
                <w:szCs w:val="20"/>
              </w:rPr>
            </w:pPr>
            <w:r w:rsidRPr="00163D0C">
              <w:rPr>
                <w:rFonts w:ascii="Arial" w:hAnsi="Arial" w:cs="Arial"/>
                <w:sz w:val="20"/>
                <w:szCs w:val="20"/>
              </w:rPr>
              <w:t>100%</w:t>
            </w:r>
          </w:p>
        </w:tc>
      </w:tr>
    </w:tbl>
    <w:p w14:paraId="29AF0D60" w14:textId="463ED139" w:rsidR="00A25731" w:rsidRDefault="00A25731" w:rsidP="00DF1616">
      <w:pPr>
        <w:pStyle w:val="NormalnyWeb"/>
        <w:tabs>
          <w:tab w:val="left" w:pos="284"/>
        </w:tabs>
        <w:spacing w:beforeAutospacing="0" w:after="120" w:afterAutospacing="0" w:line="360" w:lineRule="auto"/>
        <w:ind w:firstLine="284"/>
        <w:jc w:val="both"/>
        <w:rPr>
          <w:rFonts w:ascii="Arial" w:hAnsi="Arial" w:cs="Arial"/>
        </w:rPr>
      </w:pPr>
    </w:p>
    <w:p w14:paraId="7A559D22" w14:textId="1CC731B7" w:rsidR="0038498D" w:rsidRPr="001B1C53" w:rsidRDefault="0038498D" w:rsidP="0038498D">
      <w:pPr>
        <w:spacing w:before="120" w:after="120" w:line="360" w:lineRule="auto"/>
        <w:jc w:val="both"/>
        <w:rPr>
          <w:rFonts w:ascii="Arial" w:hAnsi="Arial" w:cs="Arial"/>
          <w:b/>
          <w:sz w:val="20"/>
          <w:szCs w:val="20"/>
        </w:rPr>
      </w:pPr>
      <w:r>
        <w:rPr>
          <w:rFonts w:ascii="Arial" w:hAnsi="Arial" w:cs="Arial"/>
          <w:b/>
          <w:sz w:val="20"/>
          <w:szCs w:val="20"/>
        </w:rPr>
        <w:t>4.</w:t>
      </w:r>
      <w:r w:rsidRPr="001B1C53">
        <w:rPr>
          <w:rFonts w:ascii="Arial" w:hAnsi="Arial" w:cs="Arial"/>
          <w:b/>
          <w:sz w:val="20"/>
          <w:szCs w:val="20"/>
        </w:rPr>
        <w:t xml:space="preserve"> Wartość wskaźnika HRI1 w kolejnym latach</w:t>
      </w:r>
    </w:p>
    <w:p w14:paraId="417A14D1" w14:textId="056B535B" w:rsidR="0038498D" w:rsidRPr="00774F3A" w:rsidRDefault="0038498D" w:rsidP="0038498D">
      <w:pPr>
        <w:pStyle w:val="NormalnyWeb"/>
        <w:tabs>
          <w:tab w:val="left" w:pos="284"/>
        </w:tabs>
        <w:spacing w:before="120" w:beforeAutospacing="0" w:after="120" w:afterAutospacing="0" w:line="360" w:lineRule="auto"/>
        <w:ind w:firstLine="284"/>
        <w:jc w:val="both"/>
        <w:rPr>
          <w:rFonts w:ascii="Arial" w:hAnsi="Arial" w:cs="Arial"/>
        </w:rPr>
      </w:pPr>
      <w:r w:rsidRPr="00774F3A">
        <w:rPr>
          <w:rFonts w:ascii="Arial" w:hAnsi="Arial" w:cs="Arial"/>
        </w:rPr>
        <w:t>Na rysunku 6 pokazano porównanie wartości wskaźnika HRI1 według klasyfikacji substancji z 2021</w:t>
      </w:r>
      <w:r>
        <w:rPr>
          <w:rFonts w:ascii="Arial" w:hAnsi="Arial" w:cs="Arial"/>
        </w:rPr>
        <w:t> r.</w:t>
      </w:r>
      <w:r w:rsidRPr="00774F3A">
        <w:rPr>
          <w:rFonts w:ascii="Arial" w:hAnsi="Arial" w:cs="Arial"/>
        </w:rPr>
        <w:t xml:space="preserve"> i 2022</w:t>
      </w:r>
      <w:r>
        <w:rPr>
          <w:rFonts w:ascii="Arial" w:hAnsi="Arial" w:cs="Arial"/>
        </w:rPr>
        <w:t xml:space="preserve"> r</w:t>
      </w:r>
      <w:r w:rsidRPr="00774F3A">
        <w:rPr>
          <w:rFonts w:ascii="Arial" w:hAnsi="Arial" w:cs="Arial"/>
        </w:rPr>
        <w:t xml:space="preserve">. Znaczny spadek sprzedaży substancji czynnych w 2022 </w:t>
      </w:r>
      <w:r>
        <w:rPr>
          <w:rFonts w:ascii="Arial" w:hAnsi="Arial" w:cs="Arial"/>
        </w:rPr>
        <w:t xml:space="preserve">r. </w:t>
      </w:r>
      <w:r w:rsidRPr="00774F3A">
        <w:rPr>
          <w:rFonts w:ascii="Arial" w:hAnsi="Arial" w:cs="Arial"/>
        </w:rPr>
        <w:t>i wycofanie z obrotu tiofanatu metylu powoduje spadek wartości wskaźnika HRI1 w ostatnich dwóch latach.</w:t>
      </w:r>
    </w:p>
    <w:p w14:paraId="037D6C52" w14:textId="016988ED" w:rsidR="0038498D" w:rsidRPr="00774F3A" w:rsidRDefault="0038498D" w:rsidP="0038498D">
      <w:pPr>
        <w:spacing w:before="120" w:after="120" w:line="240" w:lineRule="auto"/>
        <w:ind w:left="993" w:hanging="993"/>
        <w:rPr>
          <w:rFonts w:ascii="Arial" w:hAnsi="Arial" w:cs="Arial"/>
          <w:i/>
          <w:sz w:val="20"/>
          <w:szCs w:val="20"/>
        </w:rPr>
      </w:pPr>
      <w:r w:rsidRPr="00774F3A">
        <w:rPr>
          <w:rFonts w:ascii="Arial" w:hAnsi="Arial" w:cs="Arial"/>
          <w:i/>
          <w:sz w:val="20"/>
          <w:szCs w:val="20"/>
        </w:rPr>
        <w:t>Rys. 6. Porównanie wartości wskaźnika HRI1 według klasyfikacji substancji z 2021</w:t>
      </w:r>
      <w:r>
        <w:rPr>
          <w:rFonts w:ascii="Arial" w:hAnsi="Arial" w:cs="Arial"/>
          <w:i/>
          <w:sz w:val="20"/>
          <w:szCs w:val="20"/>
        </w:rPr>
        <w:t>r.</w:t>
      </w:r>
      <w:r w:rsidRPr="00774F3A">
        <w:rPr>
          <w:rFonts w:ascii="Arial" w:hAnsi="Arial" w:cs="Arial"/>
          <w:i/>
          <w:sz w:val="20"/>
          <w:szCs w:val="20"/>
        </w:rPr>
        <w:t xml:space="preserve"> i 2022</w:t>
      </w:r>
      <w:r>
        <w:rPr>
          <w:rFonts w:ascii="Arial" w:hAnsi="Arial" w:cs="Arial"/>
          <w:i/>
          <w:sz w:val="20"/>
          <w:szCs w:val="20"/>
        </w:rPr>
        <w:t xml:space="preserve"> r.</w:t>
      </w:r>
    </w:p>
    <w:p w14:paraId="7DB149D2" w14:textId="77777777" w:rsidR="0038498D" w:rsidRDefault="0038498D" w:rsidP="0038498D">
      <w:pPr>
        <w:spacing w:before="120" w:after="120" w:line="240" w:lineRule="auto"/>
        <w:ind w:left="992" w:hanging="992"/>
        <w:rPr>
          <w:i/>
          <w:highlight w:val="yellow"/>
        </w:rPr>
      </w:pPr>
      <w:r>
        <w:rPr>
          <w:noProof/>
          <w:lang w:eastAsia="pl-PL"/>
        </w:rPr>
        <w:drawing>
          <wp:inline distT="0" distB="0" distL="0" distR="0" wp14:anchorId="5DAEC1A7" wp14:editId="1447FB90">
            <wp:extent cx="5760720" cy="3141345"/>
            <wp:effectExtent l="0" t="0" r="0" b="0"/>
            <wp:docPr id="1888601152" name="Wykres 1888601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569FACC" w14:textId="77777777" w:rsidR="0038498D" w:rsidRPr="00757FA0" w:rsidRDefault="0038498D" w:rsidP="0038498D">
      <w:pPr>
        <w:spacing w:before="120" w:after="0" w:line="240" w:lineRule="auto"/>
        <w:ind w:left="993" w:hanging="993"/>
        <w:rPr>
          <w:i/>
          <w:highlight w:val="yellow"/>
        </w:rPr>
      </w:pPr>
    </w:p>
    <w:p w14:paraId="1DC7212E" w14:textId="2032C006" w:rsidR="0038498D" w:rsidRPr="00774F3A" w:rsidRDefault="0038498D" w:rsidP="0038498D">
      <w:pPr>
        <w:pStyle w:val="NormalnyWeb"/>
        <w:tabs>
          <w:tab w:val="left" w:pos="284"/>
        </w:tabs>
        <w:spacing w:before="120" w:beforeAutospacing="0" w:after="120" w:afterAutospacing="0" w:line="360" w:lineRule="auto"/>
        <w:ind w:firstLine="284"/>
        <w:jc w:val="both"/>
        <w:rPr>
          <w:rFonts w:ascii="Arial" w:hAnsi="Arial" w:cs="Arial"/>
        </w:rPr>
      </w:pPr>
      <w:r w:rsidRPr="00774F3A">
        <w:rPr>
          <w:rFonts w:ascii="Arial" w:hAnsi="Arial" w:cs="Arial"/>
        </w:rPr>
        <w:lastRenderedPageBreak/>
        <w:t xml:space="preserve">W 2023 </w:t>
      </w:r>
      <w:r>
        <w:rPr>
          <w:rFonts w:ascii="Arial" w:hAnsi="Arial" w:cs="Arial"/>
        </w:rPr>
        <w:t xml:space="preserve">r. </w:t>
      </w:r>
      <w:r w:rsidRPr="00774F3A">
        <w:rPr>
          <w:rFonts w:ascii="Arial" w:hAnsi="Arial" w:cs="Arial"/>
        </w:rPr>
        <w:t>na zmianę wartości wskaźnika HRI1 wpływ będzie miało wycofanie ze sprzedaży prochlorazu. Może to spowodować obniżenie HRI1 nawet o kilka punktów w</w:t>
      </w:r>
      <w:r>
        <w:rPr>
          <w:rFonts w:ascii="Arial" w:hAnsi="Arial" w:cs="Arial"/>
        </w:rPr>
        <w:t> </w:t>
      </w:r>
      <w:r w:rsidRPr="00774F3A">
        <w:rPr>
          <w:rFonts w:ascii="Arial" w:hAnsi="Arial" w:cs="Arial"/>
        </w:rPr>
        <w:t xml:space="preserve"> 2023</w:t>
      </w:r>
      <w:r>
        <w:rPr>
          <w:rFonts w:ascii="Arial" w:hAnsi="Arial" w:cs="Arial"/>
        </w:rPr>
        <w:t xml:space="preserve"> r.</w:t>
      </w:r>
      <w:r w:rsidRPr="00774F3A">
        <w:rPr>
          <w:rFonts w:ascii="Arial" w:hAnsi="Arial" w:cs="Arial"/>
        </w:rPr>
        <w:t xml:space="preserve"> Drugim czynnikiem mogącym mieć znaczny na zmianę wartości HRI1 będzie wielkość sprzedaży. </w:t>
      </w:r>
    </w:p>
    <w:p w14:paraId="7B50969B" w14:textId="77777777" w:rsidR="0038498D" w:rsidRPr="00774F3A" w:rsidRDefault="0038498D" w:rsidP="0038498D">
      <w:pPr>
        <w:pStyle w:val="NormalnyWeb"/>
        <w:tabs>
          <w:tab w:val="left" w:pos="284"/>
        </w:tabs>
        <w:spacing w:before="120" w:beforeAutospacing="0" w:after="120" w:afterAutospacing="0" w:line="360" w:lineRule="auto"/>
        <w:ind w:firstLine="284"/>
        <w:jc w:val="both"/>
        <w:rPr>
          <w:rFonts w:ascii="Arial" w:hAnsi="Arial" w:cs="Arial"/>
        </w:rPr>
      </w:pPr>
      <w:r w:rsidRPr="00774F3A">
        <w:rPr>
          <w:rFonts w:ascii="Arial" w:hAnsi="Arial" w:cs="Arial"/>
        </w:rPr>
        <w:t>Warto wspomnieć, że do obliczeń wskaźnika HRI1 przyjmuje się dane pochodzące ze sprzedaży środków ochrony roślin (wprowadzone do obrotu). Nie oznacza to tylko środków używanych w ochronie płodów rolnych. Pozarolnicze stosowanie środków oraz ochrona nie związana bezpośrednio z uprawą stanowi z pewnością znaczącą część sprzedawanych środków w Polsce.</w:t>
      </w:r>
    </w:p>
    <w:p w14:paraId="45C975E1" w14:textId="20354526" w:rsidR="002F489B" w:rsidRPr="001B1C53" w:rsidRDefault="0038498D" w:rsidP="001B1C53">
      <w:pPr>
        <w:spacing w:before="120" w:after="120" w:line="360" w:lineRule="auto"/>
        <w:jc w:val="both"/>
        <w:rPr>
          <w:rFonts w:ascii="Arial" w:hAnsi="Arial" w:cs="Arial"/>
          <w:b/>
          <w:sz w:val="20"/>
          <w:szCs w:val="20"/>
        </w:rPr>
      </w:pPr>
      <w:r>
        <w:rPr>
          <w:rFonts w:ascii="Arial" w:hAnsi="Arial" w:cs="Arial"/>
          <w:b/>
          <w:sz w:val="20"/>
          <w:szCs w:val="20"/>
        </w:rPr>
        <w:t>4</w:t>
      </w:r>
      <w:r w:rsidR="002F489B" w:rsidRPr="001B1C53">
        <w:rPr>
          <w:rFonts w:ascii="Arial" w:hAnsi="Arial" w:cs="Arial"/>
          <w:b/>
          <w:sz w:val="20"/>
          <w:szCs w:val="20"/>
        </w:rPr>
        <w:t>. Sprzedaż substancji czynnych w 2022</w:t>
      </w:r>
      <w:r w:rsidR="00481DB9">
        <w:rPr>
          <w:rFonts w:ascii="Arial" w:hAnsi="Arial" w:cs="Arial"/>
          <w:b/>
          <w:sz w:val="20"/>
          <w:szCs w:val="20"/>
        </w:rPr>
        <w:t xml:space="preserve"> r.</w:t>
      </w:r>
    </w:p>
    <w:p w14:paraId="5CBC10A1" w14:textId="29B290F3" w:rsidR="002F489B" w:rsidRPr="008E3370" w:rsidRDefault="002F489B" w:rsidP="008E3370">
      <w:pPr>
        <w:pStyle w:val="NormalnyWeb"/>
        <w:tabs>
          <w:tab w:val="left" w:pos="284"/>
        </w:tabs>
        <w:spacing w:beforeAutospacing="0" w:after="120" w:afterAutospacing="0" w:line="360" w:lineRule="auto"/>
        <w:ind w:firstLine="284"/>
        <w:jc w:val="both"/>
        <w:rPr>
          <w:rFonts w:ascii="Arial" w:hAnsi="Arial" w:cs="Arial"/>
        </w:rPr>
      </w:pPr>
      <w:r w:rsidRPr="008E3370">
        <w:rPr>
          <w:rFonts w:ascii="Arial" w:hAnsi="Arial" w:cs="Arial"/>
        </w:rPr>
        <w:t>Sprzedaż substancji czynnych w</w:t>
      </w:r>
      <w:r w:rsidR="00481DB9">
        <w:rPr>
          <w:rFonts w:ascii="Arial" w:hAnsi="Arial" w:cs="Arial"/>
        </w:rPr>
        <w:t xml:space="preserve"> </w:t>
      </w:r>
      <w:r w:rsidRPr="008E3370">
        <w:rPr>
          <w:rFonts w:ascii="Arial" w:hAnsi="Arial" w:cs="Arial"/>
        </w:rPr>
        <w:t xml:space="preserve">2022 </w:t>
      </w:r>
      <w:r w:rsidR="00481DB9">
        <w:rPr>
          <w:rFonts w:ascii="Arial" w:hAnsi="Arial" w:cs="Arial"/>
        </w:rPr>
        <w:t xml:space="preserve">r. </w:t>
      </w:r>
      <w:r w:rsidRPr="008E3370">
        <w:rPr>
          <w:rFonts w:ascii="Arial" w:hAnsi="Arial" w:cs="Arial"/>
        </w:rPr>
        <w:t>wyniosła 22320,35 tys. kg i zmalała o 17,25% w stosunku do 2021</w:t>
      </w:r>
      <w:r w:rsidR="00BA2FBE">
        <w:rPr>
          <w:rFonts w:ascii="Arial" w:hAnsi="Arial" w:cs="Arial"/>
        </w:rPr>
        <w:t xml:space="preserve"> r</w:t>
      </w:r>
      <w:r w:rsidRPr="008E3370">
        <w:rPr>
          <w:rFonts w:ascii="Arial" w:hAnsi="Arial" w:cs="Arial"/>
        </w:rPr>
        <w:t>. W sprzedaży w</w:t>
      </w:r>
      <w:r w:rsidR="00BA2FBE">
        <w:rPr>
          <w:rFonts w:ascii="Arial" w:hAnsi="Arial" w:cs="Arial"/>
        </w:rPr>
        <w:t xml:space="preserve"> </w:t>
      </w:r>
      <w:r w:rsidRPr="008E3370">
        <w:rPr>
          <w:rFonts w:ascii="Arial" w:hAnsi="Arial" w:cs="Arial"/>
        </w:rPr>
        <w:t xml:space="preserve">2022 </w:t>
      </w:r>
      <w:r w:rsidR="00BA2FBE">
        <w:rPr>
          <w:rFonts w:ascii="Arial" w:hAnsi="Arial" w:cs="Arial"/>
        </w:rPr>
        <w:t xml:space="preserve">r. </w:t>
      </w:r>
      <w:r w:rsidRPr="008E3370">
        <w:rPr>
          <w:rFonts w:ascii="Arial" w:hAnsi="Arial" w:cs="Arial"/>
        </w:rPr>
        <w:t xml:space="preserve">znalazły się 253 substancje czynne. Dla 147 substancji nastąpił spadek lub brak w sprzedaży. Analiza sprzedaży w podziale na grupy środków ochrony roślin (rys. </w:t>
      </w:r>
      <w:r w:rsidR="00E10C83">
        <w:rPr>
          <w:rFonts w:ascii="Arial" w:hAnsi="Arial" w:cs="Arial"/>
        </w:rPr>
        <w:t>7</w:t>
      </w:r>
      <w:r w:rsidRPr="008E3370">
        <w:rPr>
          <w:rFonts w:ascii="Arial" w:hAnsi="Arial" w:cs="Arial"/>
        </w:rPr>
        <w:t>) pokazuje na znaczny spadek sprzedaży w ostatnim roku substancji czynnych z grupy fungicydów (PES_F) i herbicydów (PES_H). Sprzedaż fungicydów spadła o 30% w stosunku do  2021</w:t>
      </w:r>
      <w:r w:rsidR="00481DB9">
        <w:rPr>
          <w:rFonts w:ascii="Arial" w:hAnsi="Arial" w:cs="Arial"/>
        </w:rPr>
        <w:t xml:space="preserve"> r.</w:t>
      </w:r>
      <w:r w:rsidRPr="008E3370">
        <w:rPr>
          <w:rFonts w:ascii="Arial" w:hAnsi="Arial" w:cs="Arial"/>
        </w:rPr>
        <w:t>, a sprzedaż  herbicydów o 15%.</w:t>
      </w:r>
    </w:p>
    <w:p w14:paraId="35D6CCCD" w14:textId="426F7C5D" w:rsidR="002F489B" w:rsidRPr="00481DB9" w:rsidRDefault="002F489B" w:rsidP="00481DB9">
      <w:pPr>
        <w:spacing w:before="120" w:after="120" w:line="240" w:lineRule="auto"/>
        <w:ind w:left="993" w:hanging="993"/>
        <w:rPr>
          <w:rFonts w:ascii="Arial" w:hAnsi="Arial" w:cs="Arial"/>
          <w:i/>
          <w:sz w:val="20"/>
          <w:szCs w:val="20"/>
        </w:rPr>
      </w:pPr>
      <w:r w:rsidRPr="00481DB9">
        <w:rPr>
          <w:rFonts w:ascii="Arial" w:hAnsi="Arial" w:cs="Arial"/>
          <w:i/>
          <w:sz w:val="20"/>
          <w:szCs w:val="20"/>
        </w:rPr>
        <w:t xml:space="preserve">Rys. </w:t>
      </w:r>
      <w:r w:rsidR="00E10C83">
        <w:rPr>
          <w:rFonts w:ascii="Arial" w:hAnsi="Arial" w:cs="Arial"/>
          <w:i/>
          <w:sz w:val="20"/>
          <w:szCs w:val="20"/>
        </w:rPr>
        <w:t>7</w:t>
      </w:r>
      <w:r w:rsidRPr="00481DB9">
        <w:rPr>
          <w:rFonts w:ascii="Arial" w:hAnsi="Arial" w:cs="Arial"/>
          <w:i/>
          <w:sz w:val="20"/>
          <w:szCs w:val="20"/>
        </w:rPr>
        <w:t>. Sprzedaż substancji czynnych w podziale na grupy śor w latach 2011-2022 (w tys.kg)</w:t>
      </w:r>
    </w:p>
    <w:p w14:paraId="0C7BA5EC" w14:textId="77777777" w:rsidR="002F489B" w:rsidRPr="00757FA0" w:rsidRDefault="002F489B" w:rsidP="002F489B">
      <w:pPr>
        <w:spacing w:after="160" w:line="259" w:lineRule="auto"/>
        <w:jc w:val="both"/>
        <w:rPr>
          <w:rFonts w:ascii="Calibri" w:eastAsia="Calibri" w:hAnsi="Calibri" w:cs="Times New Roman"/>
          <w:highlight w:val="yellow"/>
        </w:rPr>
      </w:pPr>
      <w:r>
        <w:rPr>
          <w:noProof/>
          <w:lang w:eastAsia="pl-PL"/>
        </w:rPr>
        <w:drawing>
          <wp:inline distT="0" distB="0" distL="0" distR="0" wp14:anchorId="24D71FC5" wp14:editId="0C6515DA">
            <wp:extent cx="5331125" cy="2648310"/>
            <wp:effectExtent l="0" t="0" r="3175" b="0"/>
            <wp:docPr id="1156807408" name="Wykres 1156807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1B45551" w14:textId="77777777" w:rsidR="002F489B" w:rsidRDefault="002F489B" w:rsidP="002F489B">
      <w:pPr>
        <w:spacing w:after="160" w:line="259" w:lineRule="auto"/>
        <w:jc w:val="both"/>
        <w:rPr>
          <w:rFonts w:ascii="Calibri" w:eastAsia="Calibri" w:hAnsi="Calibri" w:cs="Times New Roman"/>
          <w:highlight w:val="yellow"/>
        </w:rPr>
      </w:pPr>
    </w:p>
    <w:p w14:paraId="65FDE971" w14:textId="094D35B7" w:rsidR="00502E1C" w:rsidRPr="00FF12C5" w:rsidRDefault="007B3031" w:rsidP="00714DC8">
      <w:pPr>
        <w:pStyle w:val="Standard"/>
        <w:autoSpaceDN w:val="0"/>
        <w:spacing w:after="0"/>
        <w:ind w:firstLine="284"/>
        <w:jc w:val="both"/>
        <w:textAlignment w:val="baseline"/>
        <w:rPr>
          <w:rFonts w:ascii="Arial" w:eastAsia="Times New Roman" w:hAnsi="Arial" w:cs="Arial"/>
          <w:kern w:val="0"/>
          <w:sz w:val="20"/>
          <w:szCs w:val="20"/>
          <w:lang w:eastAsia="pl-PL"/>
        </w:rPr>
      </w:pPr>
      <w:r w:rsidRPr="00FF12C5">
        <w:rPr>
          <w:rFonts w:ascii="Arial" w:eastAsia="Times New Roman" w:hAnsi="Arial" w:cs="Arial"/>
          <w:kern w:val="0"/>
          <w:sz w:val="20"/>
          <w:szCs w:val="20"/>
          <w:lang w:eastAsia="pl-PL"/>
        </w:rPr>
        <w:t>Powyższa analiza wskaz</w:t>
      </w:r>
      <w:r w:rsidR="00F24A22" w:rsidRPr="00FF12C5">
        <w:rPr>
          <w:rFonts w:ascii="Arial" w:eastAsia="Times New Roman" w:hAnsi="Arial" w:cs="Arial"/>
          <w:kern w:val="0"/>
          <w:sz w:val="20"/>
          <w:szCs w:val="20"/>
          <w:lang w:eastAsia="pl-PL"/>
        </w:rPr>
        <w:t>uje na konsekwentną reedukację potencjalnych ryzyk związanych ze stosowaniem środków ochrony roślin w Polsce.</w:t>
      </w:r>
    </w:p>
    <w:p w14:paraId="46B2C10A" w14:textId="77777777" w:rsidR="00056846" w:rsidRPr="00925BCD" w:rsidRDefault="00E54725">
      <w:pPr>
        <w:rPr>
          <w:rFonts w:ascii="Arial" w:hAnsi="Arial" w:cs="Arial"/>
          <w:bCs/>
          <w:kern w:val="2"/>
        </w:rPr>
      </w:pPr>
      <w:bookmarkStart w:id="156" w:name="_Hlk94708637"/>
      <w:r w:rsidRPr="00925BCD">
        <w:br w:type="page"/>
      </w:r>
    </w:p>
    <w:bookmarkEnd w:id="156"/>
    <w:p w14:paraId="52A47400" w14:textId="77777777" w:rsidR="00056846" w:rsidRPr="00925BCD" w:rsidRDefault="00E54725">
      <w:pPr>
        <w:rPr>
          <w:rFonts w:ascii="Arial" w:hAnsi="Arial" w:cs="Arial"/>
          <w:bCs/>
          <w:kern w:val="2"/>
        </w:rPr>
      </w:pPr>
      <w:r w:rsidRPr="00925BCD">
        <w:rPr>
          <w:rFonts w:ascii="Arial" w:hAnsi="Arial" w:cs="Arial"/>
          <w:bCs/>
          <w:kern w:val="2"/>
        </w:rPr>
        <w:lastRenderedPageBreak/>
        <w:t xml:space="preserve">Załącznik nr 1 </w:t>
      </w:r>
    </w:p>
    <w:p w14:paraId="54D6BD45" w14:textId="5AE84DAE"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w:t>
      </w:r>
      <w:r w:rsidRPr="00925BCD">
        <w:rPr>
          <w:rFonts w:ascii="Arial" w:hAnsi="Arial" w:cs="Arial"/>
          <w:b/>
        </w:rPr>
        <w:t>w Instytucie Ochrony Roślin – PIB</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w:t>
      </w:r>
      <w:r w:rsidR="00C46640">
        <w:rPr>
          <w:rFonts w:ascii="Arial" w:hAnsi="Arial" w:cs="Arial"/>
        </w:rPr>
        <w:t> </w:t>
      </w:r>
      <w:r w:rsidRPr="00925BCD">
        <w:rPr>
          <w:rFonts w:ascii="Arial" w:hAnsi="Arial" w:cs="Arial"/>
        </w:rPr>
        <w:t xml:space="preserve">szklarniowe. </w:t>
      </w:r>
    </w:p>
    <w:p w14:paraId="4D27F34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behawioralną, etologiczną zwierząt łownych na repelenty stosowane do ich odstraszania. Wyniki tych doświadczeń wskazują na utrzymującą się odporność zwierząt na wszystkie, stosowane obecnie na rynku repelenty zapachowe. Porównywano również odporność zwierząt na stosowane do ich odstraszania repelenty zapachowe na terenach zajmowanych i nie zajmowanych przez wilka. Nie zaobserwowano jednak istotnych różnic w skuteczności repelentów, a odporność zwierząt wciąż była wysoka. Pewne różnice otrzymywano natomiast porównując zachowanie zwierząt w odpowiedzi na repelenty zapachowe, gdy w pobliżu chronionego pola znajdują się lub brak jest poletek żerowych zwierząt. Zaobserwowano, że zwierzęta szybciej pojawiają się na poletkach żerowych (oszczędzając tym samym pola), gdy na polach stosowane są repelenty zapachowe. Istnieje więc ograniczona możliwość wykorzystania repelentów do sterowania zachowaniem zwierząt w kombinacji z innymi, niechemicznymi metodami ochrony. </w:t>
      </w:r>
    </w:p>
    <w:p w14:paraId="10ADDF1D"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Doświadczenia nad odpornością </w:t>
      </w:r>
      <w:r w:rsidRPr="00925BCD">
        <w:rPr>
          <w:rFonts w:ascii="Arial" w:hAnsi="Arial" w:cs="Arial"/>
          <w:b/>
        </w:rPr>
        <w:t xml:space="preserve">chowaczy łodygowych (chowacz brukwiaczek i chowacz czterozębny) </w:t>
      </w:r>
      <w:r w:rsidRPr="00925BCD">
        <w:rPr>
          <w:rFonts w:ascii="Arial" w:hAnsi="Arial" w:cs="Arial"/>
        </w:rPr>
        <w:t xml:space="preserve">wykazały znaczny poziom odporności szkodników na indoksakarb z grupy oksadiazyn, natomiast wysoką skuteczność substancji czynnych z grupy pyretroidów i dość wysoką neonikotynoidów. Odporność chowaczy łodygowych na indoksakarb i neonikotynoidy była niższa niż odporność chowacza podobnika na te same substancje czynne. Wyniki doświadczeń dotyczących odporności </w:t>
      </w:r>
      <w:r w:rsidRPr="00925BCD">
        <w:rPr>
          <w:rFonts w:ascii="Arial" w:hAnsi="Arial" w:cs="Arial"/>
          <w:b/>
        </w:rPr>
        <w:t>słodyszka rzepakowego</w:t>
      </w:r>
      <w:r w:rsidRPr="00925BCD">
        <w:rPr>
          <w:rFonts w:ascii="Arial" w:hAnsi="Arial" w:cs="Arial"/>
        </w:rPr>
        <w:t xml:space="preserve"> wskazują na bardzo wysoką odporność szkodnika na wszystkie substancje z grupy pyretroidów, niewielki poziom odporności na neonikotynoidy i zróżnicowany poziom odporności na różne substancje z grupy związków fosforoorganicznych. Wykazano wyższy niż w 2017 r. poziom odporności szkodnika na tau-fluwalinat z grupy pyretroidów. Wykazano również wpływ różnych formulacji lambda-cyhalotryny (pyretroidy) na poziom odporności szkodnika. Niższy poziom odporności notowano stosując formulację WG, wyższy natomiast w przypadku formulacji CS. W grupie neonikotynoidów odporność szkodnika na acetamipryd była w większości populacji niższa niż odporność na tiachlopryd. W grupie związków fosforoorganicznych wykazano przesunięcie poziomu wrażliwości szkodnika w kierunku narastania odporności na substancję czynną malation i fosmet. W przypadku fosmetu pojedyncze populacje już wykazywały niski poziom odporności. Jest to sytuacja niebezpieczna, wykazująca niekorzystne trendy w kierunku narastania odporności słodyszka rzepakowego na substancje z grupy związków fosforoorganicznych. Przeprowadzono również doświadczenia nad odpornością gąsienic </w:t>
      </w:r>
      <w:r w:rsidRPr="00925BCD">
        <w:rPr>
          <w:rFonts w:ascii="Arial" w:hAnsi="Arial" w:cs="Arial"/>
          <w:b/>
        </w:rPr>
        <w:t>tantnisia krzyżowiaczka</w:t>
      </w:r>
      <w:r w:rsidRPr="00925BCD">
        <w:rPr>
          <w:rFonts w:ascii="Arial" w:hAnsi="Arial" w:cs="Arial"/>
        </w:rPr>
        <w:t xml:space="preserve"> wykazując odporność szkodnika na wszystkie testowane substancje czynne ze wszystkich grup chemicznych: pyretroidy, neonikotynoidy, związki fosforoorganiczne i oksadiazyny. Sytuację taką prawdopodobnie wywołała intensywna ochrona chemiczna stosowana w celu zwalczania jesiennych szkodników rzepaku ozimego, po wycofaniu ze </w:t>
      </w:r>
      <w:r w:rsidRPr="00925BCD">
        <w:rPr>
          <w:rFonts w:ascii="Arial" w:hAnsi="Arial" w:cs="Arial"/>
        </w:rPr>
        <w:lastRenderedPageBreak/>
        <w:t xml:space="preserve">stosowania zapraw neonikotynoidowych. Doświadczenia nad odpornością </w:t>
      </w:r>
      <w:r w:rsidRPr="00925BCD">
        <w:rPr>
          <w:rFonts w:ascii="Arial" w:hAnsi="Arial" w:cs="Arial"/>
          <w:b/>
        </w:rPr>
        <w:t>chowacza podobnika</w:t>
      </w:r>
      <w:r w:rsidRPr="00925BCD">
        <w:rPr>
          <w:rFonts w:ascii="Arial" w:hAnsi="Arial" w:cs="Arial"/>
        </w:rPr>
        <w:t xml:space="preserve"> wykazały narastanie odporności na pyretroidy – dotychczas bardzo skuteczne w zwalczaniu tego gatunku chowacza. Zaobserwowane zjawisko, oprócz wykazanego w latach ubiegłych tau-fluwalinatu, narasta również w odniesieniu do dwóch innych substancji czynnych z grupy pyretroidów: deltametryny (znaczne obniżenie wrażliwości, ale jeszcze nie odporność) oraz zeta-cypermetryny (pojedyncze, słabo odporne populacje). Jest to nowa sytuacja, po raz pierwszy zaobserwowana w 2018 r. Badania poziomu wrażliwości wybranych populacji </w:t>
      </w:r>
      <w:r w:rsidRPr="00925BCD">
        <w:rPr>
          <w:rFonts w:ascii="Arial" w:hAnsi="Arial" w:cs="Arial"/>
          <w:b/>
        </w:rPr>
        <w:t>mszycy zbożowej i grochowej</w:t>
      </w:r>
      <w:r w:rsidRPr="00925BCD">
        <w:rPr>
          <w:rFonts w:ascii="Arial" w:hAnsi="Arial" w:cs="Arial"/>
        </w:rPr>
        <w:t xml:space="preserve"> z różnych regionów kraju wykazały większą odporność obydwu gatunków na lambda-cyhalotrynę i deltametrynę, szczególnie populacji pochodzących z rejonu województwa wielkopolskiego i zachodnio-pomorskiego. Z kolei większą wrażliwość wykazano u populacji mszyc pochodzących z regionu lubelskiego i podkarpackiego. Natomiast w każdym z przypadków stwierdzono wysoką wrażliwość obu gatunków mszyc na acetamipryd i chloropiryfos (blisko 100% śmiertelność). Doświadczenia nad poziomem odporności </w:t>
      </w:r>
      <w:r w:rsidRPr="00925BCD">
        <w:rPr>
          <w:rFonts w:ascii="Arial" w:hAnsi="Arial" w:cs="Arial"/>
          <w:b/>
        </w:rPr>
        <w:t>mszycy brzoskwiniowej</w:t>
      </w:r>
      <w:r w:rsidRPr="00925BCD">
        <w:rPr>
          <w:rFonts w:ascii="Arial" w:hAnsi="Arial" w:cs="Arial"/>
        </w:rPr>
        <w:t xml:space="preserve"> wykazały wysoki poziom odporności szkodnika na wszystkie badane substancje czynne z grupy pyretroidów. Bardzo wysoka była również odporność szkodnika na indoksakarb z grupy oksadiazyn. Szkodnik wykazywał natomiast wrażliwość na neonikotynoidy, przy czym wyższą wrażliwość odnotowano w odniesieniu do acetamiprydu niż w odniesieniu do tiachloprydu. Problem pojawił się również w grupie związków fosforoorganicznych. Pojedyncze populacje wykazywały już niski poziom odporności na chloropiryfos, natomiast odporność na fosmet była wysoka. Porównano otrzymane wyniki badań laboratoryjnych z doświadczeniami polowymi. Wykazano, iż w warunkach polowych, na skutek silnego, systemicznego działania acetamiprydu, różnica w skuteczności acetamiprydu w porównaniu z chloropiryfosem, była jeszcze wyższa niż w przypadku doświadczeń laboratoryjnych. W odniesieniu do mszycy brzoskwiniowej prowadzone były również doświadczenia z użyciem blokerów enzymów (enzymów oksydacyjnych, esteraz i transferaz glutationu) nad mechanizmami odporności na pyretroidy. Doświadczenia te nie wykazały istotnego wypływu żadnej z testowanych grup enzymów na poziom odporności szkodnika na pyretroidy. Prowadzone były również doświadczenia nad odpornością </w:t>
      </w:r>
      <w:r w:rsidRPr="00925BCD">
        <w:rPr>
          <w:rFonts w:ascii="Arial" w:hAnsi="Arial" w:cs="Arial"/>
          <w:b/>
        </w:rPr>
        <w:t>stonki ziemniaczanej</w:t>
      </w:r>
      <w:r w:rsidRPr="00925BCD">
        <w:rPr>
          <w:rFonts w:ascii="Arial" w:hAnsi="Arial" w:cs="Arial"/>
        </w:rPr>
        <w:t xml:space="preserve"> - podobnie jak w poprzednim przypadku wykazano dość znaczny poziom odporności stonki ziemniaczanej na substancje z grupy pyretroidów oraz na indoksakarb z grupy oksadiazyn. Nie wykazano odporności szkodnika na neonikotynoidy, natomiast w grupie związków fosforoorganicznych zaobserwowano niski poziom odporności na chloropiryfos i wysoki poziom odporności na malation. Zmiany w poziomie odporności w porównaniu z latami poprzednimi zaobserwowano w przypadku </w:t>
      </w:r>
      <w:r w:rsidRPr="00925BCD">
        <w:rPr>
          <w:rFonts w:ascii="Arial" w:hAnsi="Arial" w:cs="Arial"/>
          <w:b/>
        </w:rPr>
        <w:t>zachodniej kukurydzianej stonki korzeniowej</w:t>
      </w:r>
      <w:r w:rsidRPr="00925BCD">
        <w:rPr>
          <w:rFonts w:ascii="Arial" w:hAnsi="Arial" w:cs="Arial"/>
        </w:rPr>
        <w:t xml:space="preserve">. Wykazano zróżnicowany poziom odporności szkodnika na różne substancje czynne z grupy pyretroidów. Od niskiego w odniesieniu do deltametryny do wysokiego w odniesieniu do tau-fluwalinatu. Pojedyncze populacje wykazywały też już niski poziom odporności na indoksakarb, czego nie było w poprzednich latach. Skuteczne były neonikotynoidy i związki fosforoorganiczne. U stonki kukurydzianej, w przeciwieństwie do pozostałych, badanych gatunków owadów wyraźnie zaznaczyły się różnice terytorialne w występowaniu odporności. Wspomniane powyżej informacje dotyczą populacji z Polski wschodniej. Natomiast populacje pochodzące ze Śląska nie wykazywały odporności na żadne z testowanych substancji czynnych, co jest związane ze znacznie mniejszą intensyfikacją ochrony chemicznej upraw kukurydzy przed szkodnikami w tym rejonie. Doświadczenia nad mechanizmami </w:t>
      </w:r>
      <w:r w:rsidRPr="00925BCD">
        <w:rPr>
          <w:rFonts w:ascii="Arial" w:hAnsi="Arial" w:cs="Arial"/>
        </w:rPr>
        <w:lastRenderedPageBreak/>
        <w:t>odporności chrząszczy stonki kukurydzianej nie wykazały, podobnie, jak w przypadku mszycy brzoskwiniowej, udziału żadnej z badanych grup enzymów w odporności na tau-fluwalinat. Wśród owadów, prowadzono również doświadczenia monitoringowe nad poziomem odporności pszczoły miodnej i trzmieli – dwóch, ważnych gospodarczo gatunków zapylających, których wrażliwość na insektycydy, w sytuacji panującego obecnie syndromu ginięcia pszczół, musi być uwzględniana w strategiach redukcji ryzyka odporności. Badania prowadzono w dużych izolatorach polowych pokrytych przewiewnym materiałem. Doświadczenia nad odpornością trzmieli wykazały odporność tych owadów na acetamipryd, deltametrynę, lambda-cyhalotrynę i indoksakarb. Badania nad odpornością pszczoły miodnej nie wykazały żadnych oznak toksyczności po zastosowaniu lambda-cyhalotryny, deltametryny, acetamiprydu i indoksakarbu. W przypadku chloropiryfosu, w jednym doświadczeniu zaobserwowano ubytki pszczół, lecz po pewnym czasie rodzina wróciła do normalnego funkcjonowania. Badano również toksyczność najgroźniejszych neonikotynoidów: chlotianidyny, tiametoksamu i imidachlorpydu. Należy w tym miejscu podkreślić, że w poniższym opisie zawarto wyniki dotyczące reakcji pszczół na zabiegi opryskiwania roślin dawkami zalecanymi insektycydów, a pszczoły w doświadczeniach mają kontakt z opryskanymi roślinami zaledwie kilka godzin po zabiegu. W jednym doświadczeniu z chlotianidyną doszło do upadku ula, natomiast w jednym doświadczeniu z imidachloprydem nie zaobserwowano żadnych oznak toksyczności. W pozostałych doświadczeniach z imidachloprydem, chlotianidyną i tiametoksamem obserwowano zwiększoną śmiertelność pszczół i zmiany w ich zachowaniu, jednak po pewnym czasie objawy zatrucia ustępowały, a pszczoły powracały do normalnego funkcjonowania.</w:t>
      </w:r>
    </w:p>
    <w:p w14:paraId="795524F6"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nad odpornością patogenów grzybowych na substancje czynne fungicydów wymagają izolacji grzyba z zebranego materiału i jego hodowli w warunkach laboratoryjnych. Kontynuowano badania laboratoryjne nad odpornością </w:t>
      </w:r>
      <w:r w:rsidRPr="00925BCD">
        <w:rPr>
          <w:rFonts w:ascii="Arial" w:hAnsi="Arial" w:cs="Arial"/>
          <w:b/>
        </w:rPr>
        <w:t>Cercospora beticola</w:t>
      </w:r>
      <w:r w:rsidRPr="00925BCD">
        <w:rPr>
          <w:rFonts w:ascii="Arial" w:hAnsi="Arial" w:cs="Arial"/>
        </w:rPr>
        <w:t xml:space="preserve"> na substancje czynne fungicydów z grupy benzimidazoli, triazoli i strobiluryn oraz mieszankę triazoli i strobiluryn, a także triazoli i benzimidazoli. Po raz pierwszy przebadano wrażliwość C. beticola na difenokonazol, a także na substancję z grupy morfolin – fenpropidynę oraz preparat zawierający połączenie fenpropidyny i difenokonazolu. Stwierdzono utrzymywanie się bardzo wysokiej odporności izolatów patogena na benzymidazole, którą wykazały prawie wszystkie badane próby. Połowa przetestowanych izolatów wykazywała odporność na strobiluryny. Oznacza to, że odporność na tę grupę związków przestała gwałtownie rosnąć (w latach 2013–2016 wzrosła dziesięciokrotnie) i od 2 sezonów utrzymuje się na podobnym poziomie. </w:t>
      </w:r>
      <w:r w:rsidRPr="00925BCD">
        <w:rPr>
          <w:rFonts w:ascii="Arial" w:hAnsi="Arial" w:cs="Arial"/>
        </w:rPr>
        <w:tab/>
        <w:t xml:space="preserve">Zdiagnozowano umiarkowaną odporność C. beticola na epoksykonazol (triazole). Izolaty wrażliwe oraz bardzo odporne na tę substancję czynną występują rzadko. Po raz pierwszy testowano także wrażliwość na inny związek z grupy triazoli – difenokonazol. Znaleziono szczepy wykazujące umiarkowaną odporność, jednak większość izolatów była podatna na tę substancję. W 2018 r. wykonano pierwsze badania odporności C. beticola na fenpropidynę, związek z grupy morfolin. Co trzeci testowany izolat wykazywał umiarkowaną odporność na tę substancję, a pozostałe szczepy były podatne. Analizowano także odporność grzyba na preparaty dwuskładnikowe. Ponad połowa przebadanych izolatów wykazywała odporność na połączenie benzimidazoli z triazolami. Nie wykryto szczepów wysoko odpornych na preparat zawierający piraklostrobinę (strobiluryny) i epoksykonazol (triazole). Większość przebadanych szczepów wykazywała umiarkowaną odporność na tę mieszankę </w:t>
      </w:r>
      <w:r w:rsidRPr="00925BCD">
        <w:rPr>
          <w:rFonts w:ascii="Arial" w:hAnsi="Arial" w:cs="Arial"/>
        </w:rPr>
        <w:lastRenderedPageBreak/>
        <w:t xml:space="preserve">jednak odsetek takich szczepów stale wzrasta. Stwierdzono także, iż większość przebadanych izolatów patogena była podatna na preparat łączący fenpropidynę z difenokonazolem, który wykorzystano do testów po raz pierwszy. Wykryto jednak izolaty wykazujące umiarkowaną odporność na takie połączenie. Badania nad odpornością patogenu wywołującego </w:t>
      </w:r>
      <w:r w:rsidRPr="00925BCD">
        <w:rPr>
          <w:rFonts w:ascii="Arial" w:hAnsi="Arial" w:cs="Arial"/>
          <w:b/>
        </w:rPr>
        <w:t>zgniliznę twardzikową</w:t>
      </w:r>
      <w:r w:rsidRPr="00925BCD">
        <w:rPr>
          <w:rFonts w:ascii="Arial" w:hAnsi="Arial" w:cs="Arial"/>
        </w:rPr>
        <w:t xml:space="preserve"> objęły azoksystrobinę (strobiluryny), boskalid (karboksyamidy), prochloraz (imidazole), tebukonazol (triazole) oraz tiofanat metylowy (benzimidazole). Badano ich wpływ na ograniczanie wzrostu grzybni gatunku Sclerotinia sclerotiorum. Zaobserwowano zmniejszenie się wrażliwości wyżej wymienionego gatunku grzyba na substancje z grupy benzimidazoli oraz karboksyamidów. Zależności tej nie odnotowano w przypadku substancji czynnych z grupy strobiluryn i dikarboksyamidów. Obserwacje polowe prowadzone równolegle do prac laboratoryjnych potwierdzają zaobserwowaną tendencję. </w:t>
      </w:r>
    </w:p>
    <w:p w14:paraId="5277F1D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Wykonano badania szklarniowe z biotypami </w:t>
      </w:r>
      <w:r w:rsidRPr="00925BCD">
        <w:rPr>
          <w:rFonts w:ascii="Arial" w:hAnsi="Arial" w:cs="Arial"/>
          <w:b/>
        </w:rPr>
        <w:t>stokłosy żytniej</w:t>
      </w:r>
      <w:r w:rsidRPr="00925BCD">
        <w:rPr>
          <w:rFonts w:ascii="Arial" w:hAnsi="Arial" w:cs="Arial"/>
        </w:rPr>
        <w:t xml:space="preserve"> (Bromus secalinus) i </w:t>
      </w:r>
      <w:r w:rsidRPr="00925BCD">
        <w:rPr>
          <w:rFonts w:ascii="Arial" w:hAnsi="Arial" w:cs="Arial"/>
          <w:b/>
        </w:rPr>
        <w:t>stokłosy płonnej</w:t>
      </w:r>
      <w:r w:rsidRPr="00925BCD">
        <w:rPr>
          <w:rFonts w:ascii="Arial" w:hAnsi="Arial" w:cs="Arial"/>
        </w:rPr>
        <w:t xml:space="preserve"> (Bromus sterilis). W ostatnich latach obserwuje się wzrost zachwaszczenia stokłosami spowodowany m. in. stosowaniem uproszczeń w agrotechnice (zrezygnowanie z orki) – stokłosa płonna, ale także wykorzystywaniem słabo doczyszczonego materiału siewnego – stokłosa żytnia.</w:t>
      </w:r>
      <w:r w:rsidR="00156CB7" w:rsidRPr="00925BCD">
        <w:rPr>
          <w:rFonts w:ascii="Arial" w:hAnsi="Arial" w:cs="Arial"/>
        </w:rPr>
        <w:t xml:space="preserve"> </w:t>
      </w:r>
      <w:r w:rsidRPr="00925BCD">
        <w:rPr>
          <w:rFonts w:ascii="Arial" w:hAnsi="Arial" w:cs="Arial"/>
        </w:rPr>
        <w:t xml:space="preserve">W pierwszej serii doświadczeń szklarniowych użyto herbicydów zawierających propoksykarbazon sodowy, flupyrsulfuron metylowy, florasulam + aminopyralid + pyroksysulam, pyroksysulam, prosulfokarb, flurochloridon, pendimetalinę + izoproturon, sulfosulfuron, diflufenikan + chlorotoluron + pendimetalinę. W drugiej serii doświadczeń zastosowano dodatkowo preparaty zawierające fenoksaprop-P-etylu, chlorotoluron, pinoksaden, jodosulfuron metylosodowy + mezosulfuron metylowy. Wyniki badań wskazują na bardzo słabą skuteczność herbicydów lub też całkowity brak działania na rośliny stokłosy płonnej i żytniej. W przypadku stokłosy żytniej stwierdzono całkowity brak wrażliwości wszystkich biotypów na wszystkie badane herbicydy i skuteczność zwalczania oceniono na 0%. U stokłosy płonnej pojawiły się nieznaczne różnice między biotypami. Niektóre okazały się całkowicie niewrażliwe na pełną i podwójną dawkę herbicydu zawierającego pyroksysulam, a także preparatu, którego składnikiem jest prosulfokarb. Na ten drugi herbicyd, a także na  flupyrsulfuron metylowy i florasulam + aminopyralid + pyroksysulam okazały się niewrażliwe także niektóre inne biotypy – 0% skuteczności. Jeszcze inne okazały się niewrażliwe na propoksykarbazon sodowy oraz flupyrsulfuron metylowy. W pozostałych przypadkach dla wszystkich biotypów odnotowano  skuteczność działania wszystkich herbicydów na poziomie 20–30%. Jest to skuteczność bardzo niska i może świadczyć o rozwijającej się odporności. Z uwagi na fakt, iż stokłosy bardzo łatwo mogą się krzyżować, a w Polsce występuje około 25 gatunków lub podgatunków stokłos, nie można wykluczyć, iż zebrane próby nasion pochodziły od różnych form botanicznych. Wyłącznie na podstawie testów szklarniowych nie można stwierdzić, iż w tym przypadku wystąpiła odporność. W celu poszerzenia wiedzy w tym zakresie konieczne jest przeprowadzenie bardziej szczegółowych analiz. Testowano również odporność zebranych z terenu całego kraju różnych biotypów </w:t>
      </w:r>
      <w:r w:rsidRPr="00925BCD">
        <w:rPr>
          <w:rFonts w:ascii="Arial" w:hAnsi="Arial" w:cs="Arial"/>
          <w:b/>
        </w:rPr>
        <w:t>miotły zbożowej</w:t>
      </w:r>
      <w:r w:rsidRPr="00925BCD">
        <w:rPr>
          <w:rFonts w:ascii="Arial" w:hAnsi="Arial" w:cs="Arial"/>
        </w:rPr>
        <w:t xml:space="preserve"> na substancje czynne herbicydów. Najwyższą odporność, podobnie do lat ubiegłych, z tendencją jednak do narastania, odnotowano w odniesieniu do herbicydów z grupy inhibitorów syntazy acetylomleczanowej oraz inhibitorów inhibitory karboksylazy acetylo CoA. Głównie dotyczyło to takich substancji, jak chlorosulfuron, jodosulfuron, flupyrsulfuron, mezosulfuron, piroksysulam, propoksykarbazon i sulfosulfurontifen. Dość wysoką odporność zanotowano również na fenoksaprop-P-etylu i pinoksaden. Poziom odporności miotły zbożowej na substancje z innych grup </w:t>
      </w:r>
      <w:r w:rsidRPr="00925BCD">
        <w:rPr>
          <w:rFonts w:ascii="Arial" w:hAnsi="Arial" w:cs="Arial"/>
        </w:rPr>
        <w:lastRenderedPageBreak/>
        <w:t xml:space="preserve">(inhibitory fotosyntezy w fotosystemie II, inhibitory syntezy barwników, inhibitory tworzenia mikrotubuli, VLCFA i inhibitory syntezy lipidów) był niski lub bardzo niski, ale nie zaobserwowano w odniesieniu do nich pełnej wrażliwości badanych biotypów chwastów. </w:t>
      </w:r>
    </w:p>
    <w:p w14:paraId="5E86BF44" w14:textId="77777777" w:rsidR="00281A9F" w:rsidRPr="00925BCD" w:rsidRDefault="00281A9F"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bookmarkStart w:id="157" w:name="_Hlk92713200"/>
      <w:r w:rsidRPr="00925BCD">
        <w:rPr>
          <w:rFonts w:ascii="Arial" w:hAnsi="Arial" w:cs="Arial"/>
          <w:b/>
        </w:rPr>
        <w:t>w Instytucie Ochrony Roślin – PIB</w:t>
      </w:r>
      <w:r w:rsidRPr="00925BCD">
        <w:rPr>
          <w:rFonts w:ascii="Arial" w:hAnsi="Arial" w:cs="Arial"/>
        </w:rPr>
        <w:t xml:space="preserve"> </w:t>
      </w:r>
      <w:bookmarkEnd w:id="157"/>
      <w:r w:rsidRPr="00925BCD">
        <w:rPr>
          <w:rFonts w:ascii="Arial" w:hAnsi="Arial" w:cs="Arial"/>
        </w:rPr>
        <w:t>zbierano informacje na temat braku skuteczności zabiegów chemicznych. Prowadzono liczne lustracje terenowe, a otrzymywane informacje analizowano pod kątem ewentualnego wystąpienia zjawiska odporności agrofagów. Z różnych miejsc na terenie Polski zbierano agrofagi i przeznaczano do doświadczeń nad odpornością w ścisłych warunkach kontrolowanych. Monitoring odporności agrofagów obejmował doświadczenia polowe, laboratoryjne i</w:t>
      </w:r>
      <w:r w:rsidR="00DD0731" w:rsidRPr="00925BCD">
        <w:rPr>
          <w:rFonts w:ascii="Arial" w:hAnsi="Arial" w:cs="Arial"/>
        </w:rPr>
        <w:t> </w:t>
      </w:r>
      <w:r w:rsidRPr="00925BCD">
        <w:rPr>
          <w:rFonts w:ascii="Arial" w:hAnsi="Arial" w:cs="Arial"/>
        </w:rPr>
        <w:t>szklarniowe.</w:t>
      </w:r>
    </w:p>
    <w:p w14:paraId="726489F0"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etologiczną zwierząt łownych na repelenty stosowane do ich odstraszania. Doświadczenia potwierdzają utrzymująca się od wielu lat wysoką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i wielu innych. Stąd konieczność stałego monitorowania odporności zwierząt łownych i poszukiwania nowych, skutecznych substancji. W przypadku zwierząt łownych, nabywanie odporności związane jest z procesami uczenia się i zapamiętywania. Stąd też znaczne różnice w poziomie wrażliwości różnych populacji na te same repelenty zapachowe. Dotyczy to całego kraju i w związku z tym nie ma możliwości wskazania rejonów o wyższej lub niższej odporności na te same repelenty, ponieważ populacje o różnych stopniach odporności są ze sobą wymieszane. Doświadczenia nad odpornością </w:t>
      </w:r>
      <w:r w:rsidRPr="00925BCD">
        <w:rPr>
          <w:rFonts w:ascii="Arial" w:hAnsi="Arial" w:cs="Arial"/>
          <w:b/>
        </w:rPr>
        <w:t>chowaczy łodygowych</w:t>
      </w:r>
      <w:r w:rsidRPr="00925BCD">
        <w:rPr>
          <w:rFonts w:ascii="Arial" w:hAnsi="Arial" w:cs="Arial"/>
        </w:rPr>
        <w:t xml:space="preserve"> wykazały wzrost poziomu odporności szkodników (w porównaniu z rokiem poprzednim) na indoksakarb z grupy oksadiazyn. Odnotowano również spadek poziomu wrażliwości na substancje z grupy pyretroidów. Badania dotyczące odporności </w:t>
      </w:r>
      <w:r w:rsidRPr="00925BCD">
        <w:rPr>
          <w:rFonts w:ascii="Arial" w:hAnsi="Arial" w:cs="Arial"/>
          <w:b/>
        </w:rPr>
        <w:t>słodyszka rzepakowego</w:t>
      </w:r>
      <w:r w:rsidRPr="00925BCD">
        <w:rPr>
          <w:rFonts w:ascii="Arial" w:hAnsi="Arial" w:cs="Arial"/>
        </w:rPr>
        <w:t xml:space="preserve"> wykazały szczególny wzrost odporności szkodnika na dwie substancje z grupy pyretroidów: alfa-cypermetrynę i tau-fluwalinat. Po raz pierwszy zarejestrowano też pojedyncze przypadki niewysokiej odporności słodyszka rzepakowego na indoksakarb – substancję w odniesieniu do której dotychczas nie notowano żadnych przypadków odporności. Poziom wrażliwości na neonikotynoidy oscylował wokół niewielkiej odporności i nie zmienił się w porównaniu z rokiem ubiegłym. Testy nad poziomem wrażliwości szkodnika na nie zarejestrowane do jego zwalczania substancje czynne z innych grup chemicznych: sulfoksafloru i chlorantraniliprolu, wykazały bardzo słabą wrażliwość szkodnika na te substancje czynne. Celem takich doświadczeń jest poszukiwanie nowych substancji umożliwiających realizację podstawowej zasady strategii zapobiegania odporności, jaką jest rotacja substancji czynnych o różnych mechanizmach działania. Doświadczenia nad odpornością </w:t>
      </w:r>
      <w:r w:rsidRPr="00925BCD">
        <w:rPr>
          <w:rFonts w:ascii="Arial" w:hAnsi="Arial" w:cs="Arial"/>
          <w:b/>
        </w:rPr>
        <w:t>tantnisia krzyżowiaczka</w:t>
      </w:r>
      <w:r w:rsidRPr="00925BCD">
        <w:rPr>
          <w:rFonts w:ascii="Arial" w:hAnsi="Arial" w:cs="Arial"/>
        </w:rPr>
        <w:t xml:space="preserve"> wykazały dość znaczny poziom odporności szkodnika na substancje z grupy pyretroidów, neonikotynoidów i związków fosforoorganicznych. Dużym problemem w wiosennej ochronie rzepaku ozimego i jarego staje się narastanie odporności </w:t>
      </w:r>
      <w:r w:rsidRPr="00925BCD">
        <w:rPr>
          <w:rFonts w:ascii="Arial" w:hAnsi="Arial" w:cs="Arial"/>
          <w:b/>
        </w:rPr>
        <w:t>chowacza podobnika</w:t>
      </w:r>
      <w:r w:rsidRPr="00925BCD">
        <w:rPr>
          <w:rFonts w:ascii="Arial" w:hAnsi="Arial" w:cs="Arial"/>
        </w:rPr>
        <w:t xml:space="preserve"> na coraz więcej substancji z grupy pyretroidów – dotychczas bardzo skutecznych w zwalczaniu tego gatunku chowacza. Jest to niestety bezpośrednio </w:t>
      </w:r>
      <w:r w:rsidRPr="00925BCD">
        <w:rPr>
          <w:rFonts w:ascii="Arial" w:hAnsi="Arial" w:cs="Arial"/>
        </w:rPr>
        <w:lastRenderedPageBreak/>
        <w:t xml:space="preserve">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Doświadczenia przeprowadzone w 2019 r. wykazały znaczne zmiany w poziomie wrażliwości na pyretroidy. Nie wyodrębniono ani jednej substancji z tej grupy chemicznej, na którą szkodnik nie wykształcił odporności. W odniesieniu do taufluwalinatu wszystkie populacje wykazywały wysoką odporność. Podobnie jak w przypadku słodyszka rzepakowego, testowano również poziom wrażliwości </w:t>
      </w:r>
      <w:r w:rsidRPr="00925BCD">
        <w:rPr>
          <w:rFonts w:ascii="Arial" w:hAnsi="Arial" w:cs="Arial"/>
          <w:b/>
        </w:rPr>
        <w:t>chowacza podobnika</w:t>
      </w:r>
      <w:r w:rsidRPr="00925BCD">
        <w:rPr>
          <w:rFonts w:ascii="Arial" w:hAnsi="Arial" w:cs="Arial"/>
        </w:rPr>
        <w:t xml:space="preserve"> na sulfoksaflor i chlorantraniliprol. Wykazano odporność szkodnika, co wyklucza ewentualne wykorzystanie tych substancji w zwalczaniu tego gatunku. Doświadczenia nad poziomem odporności </w:t>
      </w:r>
      <w:r w:rsidRPr="00925BCD">
        <w:rPr>
          <w:rFonts w:ascii="Arial" w:hAnsi="Arial" w:cs="Arial"/>
          <w:b/>
        </w:rPr>
        <w:t>mszycy brzoskwiniowej</w:t>
      </w:r>
      <w:r w:rsidRPr="00925BCD">
        <w:rPr>
          <w:rFonts w:ascii="Arial" w:hAnsi="Arial" w:cs="Arial"/>
        </w:rPr>
        <w:t xml:space="preserve"> nie tylko wykazały wzrost odporności szkodnika na różne substancje czynne, oprócz neonikotynoidów, ale również odporność na substancje z grupy diamidów – jedyne obecnie dopuszczone do stosowania w zaprawach na rzepaku ozimym. Taka sytuacja wyklucza możliwości skutecznej ochrony plantacji rzepaku ozimego jesienią przed mszycą brzoskwiniową. Poza odpornością nad diamidy, odporność zaobserwowano również w odniesieniu do pyretroidów, indoksakarbu z grupy oksadiazyn, flonikamidu oraz fosmetu z grupy związków fosforoorganicznych. Nie zaobserwowano natomiast odporności szkodnika na sulfoksaflor. Testowano również poziom odporności </w:t>
      </w:r>
      <w:r w:rsidRPr="00925BCD">
        <w:rPr>
          <w:rFonts w:ascii="Arial" w:hAnsi="Arial" w:cs="Arial"/>
          <w:b/>
        </w:rPr>
        <w:t>stonki ziemniaczanej</w:t>
      </w:r>
      <w:r w:rsidRPr="00925BCD">
        <w:rPr>
          <w:rFonts w:ascii="Arial" w:hAnsi="Arial" w:cs="Arial"/>
        </w:rPr>
        <w:t xml:space="preserve">. Wykazano niski poziom odporności szkodnika na chlorantraniliprol z grupy diamidów – substancję niedawno zarejestrowaną do zwalczania szkodnika. Wynik taki pozwala na założenie szybkiego narastania problemu odporności szkodnika na tą substancję czynną. Po okresowym spadku odporności szkodnika na pyretroidy w latach ubiegłych, w 2019 r. zaobserwowano jej ponowny wzrost. Natomiast badania nad skutecznością działania sulfoksafloru również wykazały odporność szkodnika. Wzrost odporności na pyretroidy zaobserwowano również u </w:t>
      </w:r>
      <w:r w:rsidRPr="00925BCD">
        <w:rPr>
          <w:rFonts w:ascii="Arial" w:hAnsi="Arial" w:cs="Arial"/>
          <w:b/>
        </w:rPr>
        <w:t>zachodniej kukurydzianej stonki korzeniowej,</w:t>
      </w:r>
      <w:r w:rsidRPr="00925BCD">
        <w:rPr>
          <w:rFonts w:ascii="Arial" w:hAnsi="Arial" w:cs="Arial"/>
        </w:rPr>
        <w:t xml:space="preserve"> w porównaniu z rokiem ubiegłym. Biorąc pod uwagę słabą skuteczność działania indoksakarbu w 2018 r., w 2019 r. porównano poziom wrażliwości na tą substancję czynną przy zastosowaniu dwóch preparatów handlowych o dwóch różnych formulacjach: EC i WG. Wykazano brak odporności szkodnika w przypadku formulacji WG i niewielką odporność w przypadku formulacji EC. W przypadku tego szkodnika, wyraźnie zaznaczyła się rejonizacja polegająca na odporności szkodnika na terenach Polski południowo-wschodniej i braku tej odporności u populacji śląskich. </w:t>
      </w:r>
    </w:p>
    <w:p w14:paraId="160CAE28" w14:textId="2B211EC0"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Wśród owadów, prowadzono również doświadczenia monitoringowe nad poziomem odporności pszczoły miodnej – ważnego gospodarczo gatunku zapylającego, którego wrażliwość na insektycydy, w sytuacji panującego obecnie syndromu ginięcia pszczół, musi być uwzględniana w strategiach redukcji ryzyka odporności. Doświadczenia objęły badania pszczół na roślinach poddawanych zabiegom opryskiwania w izolatorach (w tym substancjami obecnymi w zaprawach neonikotynoidowych) oraz badania na zaprawionym neonikotynoidami rzepaku (również prowadzone w</w:t>
      </w:r>
      <w:r w:rsidR="00764881" w:rsidRPr="00925BCD">
        <w:rPr>
          <w:rFonts w:ascii="Arial" w:hAnsi="Arial" w:cs="Arial"/>
        </w:rPr>
        <w:t> </w:t>
      </w:r>
      <w:r w:rsidRPr="00925BCD">
        <w:rPr>
          <w:rFonts w:ascii="Arial" w:hAnsi="Arial" w:cs="Arial"/>
        </w:rPr>
        <w:t xml:space="preserve"> izolatorach polowych dla uzyskania pewności, iż żadna inna, niż testowana, substancja czynna nie mogła mieć wpływu na zachowanie i śmiertelność pszczół, które są w stanie wykonywać loty do 5 km). W doświadczeniach na opryskiwanych roślinach nie wykazano jakiegokolwiek toksycznego działania sulfoksafloru. Wyniki wykazały najwyższą wrażliwość owadów pożytecznych na chlotianidynę. Tiametoksam i imidachlopryd nie wykazywały wysoce toksycznego działania w doświadczeniach,</w:t>
      </w:r>
      <w:r w:rsidR="00764881" w:rsidRPr="00925BCD">
        <w:rPr>
          <w:rFonts w:ascii="Arial" w:hAnsi="Arial" w:cs="Arial"/>
        </w:rPr>
        <w:t xml:space="preserve"> </w:t>
      </w:r>
      <w:r w:rsidRPr="00925BCD">
        <w:rPr>
          <w:rFonts w:ascii="Arial" w:hAnsi="Arial" w:cs="Arial"/>
        </w:rPr>
        <w:lastRenderedPageBreak/>
        <w:t>w</w:t>
      </w:r>
      <w:r w:rsidR="00764881" w:rsidRPr="00925BCD">
        <w:rPr>
          <w:rFonts w:ascii="Arial" w:hAnsi="Arial" w:cs="Arial"/>
        </w:rPr>
        <w:t> </w:t>
      </w:r>
      <w:r w:rsidRPr="00925BCD">
        <w:rPr>
          <w:rFonts w:ascii="Arial" w:hAnsi="Arial" w:cs="Arial"/>
        </w:rPr>
        <w:t>których znajdujące się w izolatorach rośliny były poddawane zabiegom opryskiwania, a pszczoły w</w:t>
      </w:r>
      <w:r w:rsidR="00764881" w:rsidRPr="00925BCD">
        <w:rPr>
          <w:rFonts w:ascii="Arial" w:hAnsi="Arial" w:cs="Arial"/>
        </w:rPr>
        <w:t> </w:t>
      </w:r>
      <w:r w:rsidRPr="00925BCD">
        <w:rPr>
          <w:rFonts w:ascii="Arial" w:hAnsi="Arial" w:cs="Arial"/>
        </w:rPr>
        <w:t>ulach wewnątrz izolatorów miały styczność z roślinami już kilka godzin po zabiegu. Badania nad odpornością patogenów grzybowych na substancje czynne fungicydów wymagają izolacji grzyba z</w:t>
      </w:r>
      <w:r w:rsidR="00156CB7" w:rsidRPr="00925BCD">
        <w:rPr>
          <w:rFonts w:ascii="Arial" w:hAnsi="Arial" w:cs="Arial"/>
        </w:rPr>
        <w:t> </w:t>
      </w:r>
      <w:r w:rsidRPr="00925BCD">
        <w:rPr>
          <w:rFonts w:ascii="Arial" w:hAnsi="Arial" w:cs="Arial"/>
        </w:rPr>
        <w:t xml:space="preserve">zebranego materiału i jego hodowli w warunkach laboratoryjnych. Kontynuowano badania laboratoryjne nad odpornością Cercospora beticola na substancje czynne fungicydów. Materiał roślinny, z którego pozyskano izolaty grzyba pochodził z rejonów upraw siedmiu cukrowni należących do Krajowej Spółki Cukrowej S.A.. Najwięcej izolatów (blisko 60%) wykazywało odporność na azoksystrobinę. Taki poziom odporność utrzymuje się w populacji grzyba od dwóch lat. Odporność stwierdzono również na epoksykonazol. Stwierdzono spadek odporności </w:t>
      </w:r>
      <w:r w:rsidRPr="00925BCD">
        <w:rPr>
          <w:rFonts w:ascii="Arial" w:hAnsi="Arial" w:cs="Arial"/>
          <w:b/>
        </w:rPr>
        <w:t>C. beticola</w:t>
      </w:r>
      <w:r w:rsidRPr="00925BCD">
        <w:rPr>
          <w:rFonts w:ascii="Arial" w:hAnsi="Arial" w:cs="Arial"/>
        </w:rPr>
        <w:t xml:space="preserve"> na difenokonazol. Najwięcej izolatów odpornych zdiagnozowano w południowo-wschodniej Polsce (co czwarty przebadany izolat). Na pozostałym obszarze kraju tylko 8% testowanych izolatów wykazywało odporność na ten związek. Warto dodać, że co piąty przebadany izolat był odporny na choć jeden z</w:t>
      </w:r>
      <w:r w:rsidR="00764881" w:rsidRPr="00925BCD">
        <w:rPr>
          <w:rFonts w:ascii="Arial" w:hAnsi="Arial" w:cs="Arial"/>
        </w:rPr>
        <w:t> </w:t>
      </w:r>
      <w:r w:rsidRPr="00925BCD">
        <w:rPr>
          <w:rFonts w:ascii="Arial" w:hAnsi="Arial" w:cs="Arial"/>
        </w:rPr>
        <w:t xml:space="preserve">testowanych triazoli. Spadł również odsetek izolatów wykazujących odporność na fenpropidynę. Jednak po raz pierwszy wykryto nieliczne izolaty (trzy w skali całego kraju) wykazujące wysoką odporność na ten związek. Podobnie jak w </w:t>
      </w:r>
      <w:r w:rsidR="000D3601">
        <w:rPr>
          <w:rFonts w:ascii="Arial" w:hAnsi="Arial" w:cs="Arial"/>
        </w:rPr>
        <w:t>2018 </w:t>
      </w:r>
      <w:r w:rsidRPr="00925BCD">
        <w:rPr>
          <w:rFonts w:ascii="Arial" w:hAnsi="Arial" w:cs="Arial"/>
        </w:rPr>
        <w:t>r</w:t>
      </w:r>
      <w:r w:rsidR="000D3601">
        <w:rPr>
          <w:rFonts w:ascii="Arial" w:hAnsi="Arial" w:cs="Arial"/>
        </w:rPr>
        <w:t>.</w:t>
      </w:r>
      <w:r w:rsidRPr="00925BCD">
        <w:rPr>
          <w:rFonts w:ascii="Arial" w:hAnsi="Arial" w:cs="Arial"/>
        </w:rPr>
        <w:t xml:space="preserve"> na preparat zawierający piraklostrobinę i</w:t>
      </w:r>
      <w:r w:rsidR="00764881" w:rsidRPr="00925BCD">
        <w:rPr>
          <w:rFonts w:ascii="Arial" w:hAnsi="Arial" w:cs="Arial"/>
        </w:rPr>
        <w:t> </w:t>
      </w:r>
      <w:r w:rsidRPr="00925BCD">
        <w:rPr>
          <w:rFonts w:ascii="Arial" w:hAnsi="Arial" w:cs="Arial"/>
        </w:rPr>
        <w:t xml:space="preserve">epoksykonazol jednocześnie, odporność wykazywał co trzeci badany izolat. Jednak po raz pierwszy wykryto szczep wykazujący wysoką odporność na taką mieszaninę. Badania nad odpornością patogenu wywołującego </w:t>
      </w:r>
      <w:r w:rsidRPr="00925BCD">
        <w:rPr>
          <w:rFonts w:ascii="Arial" w:hAnsi="Arial" w:cs="Arial"/>
          <w:b/>
        </w:rPr>
        <w:t>zgniliznę twardzikową</w:t>
      </w:r>
      <w:r w:rsidRPr="00925BCD">
        <w:rPr>
          <w:rFonts w:ascii="Arial" w:hAnsi="Arial" w:cs="Arial"/>
        </w:rPr>
        <w:t xml:space="preserve"> rzepaku wykazały niski poziom odporności patogena na azoksystrobinę i tebukonazol. </w:t>
      </w:r>
    </w:p>
    <w:p w14:paraId="7F81F2A5"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w:t>
      </w:r>
      <w:r w:rsidR="00764881" w:rsidRPr="00925BCD">
        <w:rPr>
          <w:rFonts w:ascii="Arial" w:hAnsi="Arial" w:cs="Arial"/>
        </w:rPr>
        <w:t>.</w:t>
      </w:r>
      <w:r w:rsidRPr="00925BCD">
        <w:rPr>
          <w:rFonts w:ascii="Arial" w:hAnsi="Arial" w:cs="Arial"/>
        </w:rPr>
        <w:t xml:space="preserve"> przebadano biotypy </w:t>
      </w:r>
      <w:r w:rsidRPr="00925BCD">
        <w:rPr>
          <w:rFonts w:ascii="Arial" w:hAnsi="Arial" w:cs="Arial"/>
          <w:b/>
        </w:rPr>
        <w:t>szarłatu szorstkiego</w:t>
      </w:r>
      <w:r w:rsidRPr="00925BCD">
        <w:rPr>
          <w:rFonts w:ascii="Arial" w:hAnsi="Arial" w:cs="Arial"/>
        </w:rPr>
        <w:t xml:space="preserve"> pobranego z pól kukurydzy. Szarłat jest gatunkiem bardzo groźnym dla kukurydzy, może spowodować znaczną obniżkę plonu. Szacuje się, że występując w nasileniu 2, 10 i 20 szt./1m2 powoduje straty plonu kukurydzy wynoszące 7, 20 i 32%. Celem sprawdzenia możliwości wystąpienia odporności w doświadczeniach przebadano skuteczność herbicydów pochodzących z różnych grup chemicznych. Herbicydy zastosowano w najwyższych zalecanych dawkach. Badania potwierdziły zmniejszoną wrażliwość szarłatu szorstkiego pobranego z</w:t>
      </w:r>
      <w:r w:rsidR="00764881" w:rsidRPr="00925BCD">
        <w:rPr>
          <w:rFonts w:ascii="Arial" w:hAnsi="Arial" w:cs="Arial"/>
        </w:rPr>
        <w:t> </w:t>
      </w:r>
      <w:r w:rsidRPr="00925BCD">
        <w:rPr>
          <w:rFonts w:ascii="Arial" w:hAnsi="Arial" w:cs="Arial"/>
        </w:rPr>
        <w:t>miejscowości Charbłowo (biotyp 2), Dychlino (biotyp 1) i Sarbsk (biotyp 1) na herbicydy zawierające nikosulfuron i rimsulfuron (sulfonylomoczniki). Zniszczenie szarłatu pochodzącego z tych lokalizacji przez pełne dawki herbicydów wynosiło tylko 40–60%. Zastosowanie dawek podwójnych podwyższyło skuteczność zwalczania do 75%–80%. Próby pochodzące z Winnej Góry i będące obiektami kontrolnymi przez pełne dawki sulfonylomoczników zostały zniszczone na poziomie od 98% (dawka normalna) do 100% (dawka podwójna). Uzyskane wyniki wskazują na zagrożenie pojawienia się odporności szarłatu szorstkiego na herbicydy sulfonylomocznikowe</w:t>
      </w:r>
      <w:r w:rsidR="00A319FE" w:rsidRPr="00925BCD">
        <w:rPr>
          <w:rFonts w:ascii="Arial" w:hAnsi="Arial" w:cs="Arial"/>
        </w:rPr>
        <w:t>.</w:t>
      </w:r>
    </w:p>
    <w:p w14:paraId="61F303C2" w14:textId="787DE033" w:rsidR="00E84120" w:rsidRPr="00125F0E" w:rsidRDefault="00E84120" w:rsidP="00E84120">
      <w:pPr>
        <w:autoSpaceDE w:val="0"/>
        <w:autoSpaceDN w:val="0"/>
        <w:adjustRightInd w:val="0"/>
        <w:spacing w:line="360" w:lineRule="auto"/>
        <w:ind w:firstLine="708"/>
        <w:jc w:val="both"/>
        <w:rPr>
          <w:rFonts w:ascii="Arial" w:hAnsi="Arial" w:cs="Arial"/>
          <w:sz w:val="20"/>
          <w:szCs w:val="20"/>
        </w:rPr>
      </w:pPr>
      <w:r w:rsidRPr="005A305D">
        <w:rPr>
          <w:rFonts w:ascii="Arial" w:hAnsi="Arial" w:cs="Arial"/>
          <w:b/>
          <w:bCs/>
          <w:sz w:val="20"/>
          <w:szCs w:val="20"/>
        </w:rPr>
        <w:t>W 2020 r. w Instytucie</w:t>
      </w:r>
      <w:r w:rsidRPr="00E84120">
        <w:rPr>
          <w:rFonts w:ascii="Arial" w:hAnsi="Arial" w:cs="Arial"/>
          <w:b/>
          <w:sz w:val="20"/>
          <w:szCs w:val="20"/>
        </w:rPr>
        <w:t xml:space="preserve"> Ochrony Roślin – PIB</w:t>
      </w:r>
      <w:r>
        <w:rPr>
          <w:rFonts w:ascii="Arial" w:hAnsi="Arial" w:cs="Arial"/>
          <w:sz w:val="20"/>
          <w:szCs w:val="20"/>
        </w:rPr>
        <w:t xml:space="preserve"> kontynuowano </w:t>
      </w:r>
      <w:r w:rsidRPr="00125F0E">
        <w:rPr>
          <w:rFonts w:ascii="Arial" w:hAnsi="Arial" w:cs="Arial"/>
          <w:sz w:val="20"/>
          <w:szCs w:val="20"/>
        </w:rPr>
        <w:t>zbiera</w:t>
      </w:r>
      <w:r>
        <w:rPr>
          <w:rFonts w:ascii="Arial" w:hAnsi="Arial" w:cs="Arial"/>
          <w:sz w:val="20"/>
          <w:szCs w:val="20"/>
        </w:rPr>
        <w:t>nie</w:t>
      </w:r>
      <w:r w:rsidRPr="00125F0E">
        <w:rPr>
          <w:rFonts w:ascii="Arial" w:hAnsi="Arial" w:cs="Arial"/>
          <w:sz w:val="20"/>
          <w:szCs w:val="20"/>
        </w:rPr>
        <w:t xml:space="preserve"> informacj</w:t>
      </w:r>
      <w:r>
        <w:rPr>
          <w:rFonts w:ascii="Arial" w:hAnsi="Arial" w:cs="Arial"/>
          <w:sz w:val="20"/>
          <w:szCs w:val="20"/>
        </w:rPr>
        <w:t>i</w:t>
      </w:r>
      <w:r w:rsidRPr="00125F0E">
        <w:rPr>
          <w:rFonts w:ascii="Arial" w:hAnsi="Arial" w:cs="Arial"/>
          <w:sz w:val="20"/>
          <w:szCs w:val="20"/>
        </w:rPr>
        <w:t xml:space="preserve"> na temat braku skuteczności zabiegów chemicznych, które mogą sugerować wystąpienie odporności agrofagów na środki ochrony roślin. </w:t>
      </w:r>
      <w:r>
        <w:rPr>
          <w:rFonts w:ascii="Arial" w:hAnsi="Arial" w:cs="Arial"/>
          <w:sz w:val="20"/>
          <w:szCs w:val="20"/>
        </w:rPr>
        <w:t>P</w:t>
      </w:r>
      <w:r w:rsidRPr="00125F0E">
        <w:rPr>
          <w:rFonts w:ascii="Arial" w:hAnsi="Arial" w:cs="Arial"/>
          <w:sz w:val="20"/>
          <w:szCs w:val="20"/>
        </w:rPr>
        <w:t xml:space="preserve">rowadzono liczne lustracje terenowe zgłoszonych przypadków nieskuteczności zabiegów w całym </w:t>
      </w:r>
      <w:r>
        <w:rPr>
          <w:rFonts w:ascii="Arial" w:hAnsi="Arial" w:cs="Arial"/>
          <w:sz w:val="20"/>
          <w:szCs w:val="20"/>
        </w:rPr>
        <w:t>k</w:t>
      </w:r>
      <w:r w:rsidRPr="00125F0E">
        <w:rPr>
          <w:rFonts w:ascii="Arial" w:hAnsi="Arial" w:cs="Arial"/>
          <w:sz w:val="20"/>
          <w:szCs w:val="20"/>
        </w:rPr>
        <w:t xml:space="preserve">raju. Po weryfikacji otrzymanych informacji w terenie, w przypadku podejrzenia wystąpienia odporności agrofaga, zbierano materiał do badań w ścisłych warunkach kontrolowanych. Szczególną uwagę zwrócono na zbiór agrofagów, których odporność wzrasta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związku z wycofywaniem ze stosowania zapraw neonikotynoidowych oraz w związku </w:t>
      </w:r>
      <w:r w:rsidR="00B46BD3" w:rsidRPr="00125F0E">
        <w:rPr>
          <w:rFonts w:ascii="Arial" w:hAnsi="Arial" w:cs="Arial"/>
          <w:sz w:val="20"/>
          <w:szCs w:val="20"/>
        </w:rPr>
        <w:t>z</w:t>
      </w:r>
      <w:r w:rsidR="00B46BD3">
        <w:rPr>
          <w:rFonts w:ascii="Arial" w:hAnsi="Arial" w:cs="Arial"/>
          <w:sz w:val="20"/>
          <w:szCs w:val="20"/>
        </w:rPr>
        <w:t> </w:t>
      </w:r>
      <w:r w:rsidRPr="00125F0E">
        <w:rPr>
          <w:rFonts w:ascii="Arial" w:hAnsi="Arial" w:cs="Arial"/>
          <w:sz w:val="20"/>
          <w:szCs w:val="20"/>
        </w:rPr>
        <w:t xml:space="preserve">ograniczeniami stosowania spowodowanymi koniecznością zachowania bezpieczeństwa pszczół. </w:t>
      </w:r>
    </w:p>
    <w:p w14:paraId="42E425DC" w14:textId="36A32FF0" w:rsidR="00E84120"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lastRenderedPageBreak/>
        <w:t xml:space="preserve">Wśród </w:t>
      </w:r>
      <w:r w:rsidRPr="00125F0E">
        <w:rPr>
          <w:rFonts w:ascii="Arial" w:hAnsi="Arial" w:cs="Arial"/>
          <w:b/>
          <w:sz w:val="20"/>
          <w:szCs w:val="20"/>
        </w:rPr>
        <w:t>szkodników</w:t>
      </w:r>
      <w:r w:rsidRPr="00125F0E">
        <w:rPr>
          <w:rFonts w:ascii="Arial" w:hAnsi="Arial" w:cs="Arial"/>
          <w:sz w:val="20"/>
          <w:szCs w:val="20"/>
        </w:rPr>
        <w:t xml:space="preserve"> prowadzono doświadczenia polowe nad odpornością etologiczną </w:t>
      </w:r>
      <w:r w:rsidRPr="00125F0E">
        <w:rPr>
          <w:rFonts w:ascii="Arial" w:hAnsi="Arial" w:cs="Arial"/>
          <w:b/>
          <w:sz w:val="20"/>
          <w:szCs w:val="20"/>
        </w:rPr>
        <w:t>zwierząt łownych</w:t>
      </w:r>
      <w:r w:rsidRPr="00125F0E">
        <w:rPr>
          <w:rFonts w:ascii="Arial" w:hAnsi="Arial" w:cs="Arial"/>
          <w:sz w:val="20"/>
          <w:szCs w:val="20"/>
        </w:rPr>
        <w:t xml:space="preserve"> na repelenty stosowane do ich odstraszania. Doświadczenia wykazały utrzymującą się wysoka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w:t>
      </w:r>
      <w:r w:rsidR="00B46BD3" w:rsidRPr="00125F0E">
        <w:rPr>
          <w:rFonts w:ascii="Arial" w:hAnsi="Arial" w:cs="Arial"/>
          <w:sz w:val="20"/>
          <w:szCs w:val="20"/>
        </w:rPr>
        <w:t>i</w:t>
      </w:r>
      <w:r w:rsidR="00B46BD3">
        <w:rPr>
          <w:rFonts w:ascii="Arial" w:hAnsi="Arial" w:cs="Arial"/>
          <w:sz w:val="20"/>
          <w:szCs w:val="20"/>
        </w:rPr>
        <w:t> </w:t>
      </w:r>
      <w:r w:rsidRPr="00125F0E">
        <w:rPr>
          <w:rFonts w:ascii="Arial" w:hAnsi="Arial" w:cs="Arial"/>
          <w:sz w:val="20"/>
          <w:szCs w:val="20"/>
        </w:rPr>
        <w:t xml:space="preserve">wielu innych. Stąd konieczność stałego monitorowania odporności zwierząt łownych i poszukiwania nowych, skutecznych substancji. W związku z wycofaniem metiokarbu, który był stosowany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zaprawach nasiennych, również do odstraszania dzików i ptactwa, w 2020 </w:t>
      </w:r>
      <w:r w:rsidR="008325D4">
        <w:rPr>
          <w:rFonts w:ascii="Arial" w:hAnsi="Arial" w:cs="Arial"/>
          <w:sz w:val="20"/>
          <w:szCs w:val="20"/>
        </w:rPr>
        <w:t xml:space="preserve">r. </w:t>
      </w:r>
      <w:r w:rsidRPr="00125F0E">
        <w:rPr>
          <w:rFonts w:ascii="Arial" w:hAnsi="Arial" w:cs="Arial"/>
          <w:sz w:val="20"/>
          <w:szCs w:val="20"/>
        </w:rPr>
        <w:t xml:space="preserve">prowadzono badania nad nowymi, eksperymentalnymi środkami, które dały już wstępne, obiecujące wyniki. </w:t>
      </w:r>
    </w:p>
    <w:p w14:paraId="458D307A" w14:textId="759B30C4"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Badania dotyczące odporności </w:t>
      </w:r>
      <w:r w:rsidRPr="00125F0E">
        <w:rPr>
          <w:rFonts w:ascii="Arial" w:hAnsi="Arial" w:cs="Arial"/>
          <w:b/>
          <w:sz w:val="20"/>
          <w:szCs w:val="20"/>
        </w:rPr>
        <w:t>słodyszka rzepakowego</w:t>
      </w:r>
      <w:r w:rsidRPr="00125F0E">
        <w:rPr>
          <w:rFonts w:ascii="Arial" w:hAnsi="Arial" w:cs="Arial"/>
          <w:sz w:val="20"/>
          <w:szCs w:val="20"/>
        </w:rPr>
        <w:t xml:space="preserve"> wykazały postępujący problem narastania odporności szkodnika na wiele substancji czynnych insektycydów. Problemy z odpornością są bezpośrednio 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i wzrost odporności szkodnika. W 2020</w:t>
      </w:r>
      <w:r w:rsidR="008325D4">
        <w:rPr>
          <w:rFonts w:ascii="Arial" w:hAnsi="Arial" w:cs="Arial"/>
          <w:sz w:val="20"/>
          <w:szCs w:val="20"/>
        </w:rPr>
        <w:t xml:space="preserve"> r.</w:t>
      </w:r>
      <w:r w:rsidRPr="00125F0E">
        <w:rPr>
          <w:rFonts w:ascii="Arial" w:hAnsi="Arial" w:cs="Arial"/>
          <w:sz w:val="20"/>
          <w:szCs w:val="20"/>
        </w:rPr>
        <w:t xml:space="preserve"> wykazano wysoką odporność szkodnika na wszystkie substancje czynne z grupy pyretroidów, oprócz tau-fluwalinatu, dla którego wykazano odporność niską lub średnią, co również pozwala zaliczyć t</w:t>
      </w:r>
      <w:r w:rsidR="00BB3E9A">
        <w:rPr>
          <w:rFonts w:ascii="Arial" w:hAnsi="Arial" w:cs="Arial"/>
          <w:sz w:val="20"/>
          <w:szCs w:val="20"/>
        </w:rPr>
        <w:t>ę</w:t>
      </w:r>
      <w:r w:rsidRPr="00125F0E">
        <w:rPr>
          <w:rFonts w:ascii="Arial" w:hAnsi="Arial" w:cs="Arial"/>
          <w:sz w:val="20"/>
          <w:szCs w:val="20"/>
        </w:rPr>
        <w:t xml:space="preserve"> substancję do grupy insektycydów, które nie są w stanie zapewnić skutecznej ochrony upraw rzepaku przed słodyszkiem rzepakowym. Badania potwierdziły narastanie odporności szkodnika również na indoksakarb z grupy oksadiazyn.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porównaniu z rokiem </w:t>
      </w:r>
      <w:r w:rsidR="008325D4">
        <w:rPr>
          <w:rFonts w:ascii="Arial" w:hAnsi="Arial" w:cs="Arial"/>
          <w:sz w:val="20"/>
          <w:szCs w:val="20"/>
        </w:rPr>
        <w:t>2019</w:t>
      </w:r>
      <w:r w:rsidRPr="00125F0E">
        <w:rPr>
          <w:rFonts w:ascii="Arial" w:hAnsi="Arial" w:cs="Arial"/>
          <w:sz w:val="20"/>
          <w:szCs w:val="20"/>
        </w:rPr>
        <w:t>, nie zanotowano ani jednej populacji o wysokiej wrażliwości. Wzrosła natomiast liczba populacji o niskiej odporności na t</w:t>
      </w:r>
      <w:r w:rsidR="00BB3E9A">
        <w:rPr>
          <w:rFonts w:ascii="Arial" w:hAnsi="Arial" w:cs="Arial"/>
          <w:sz w:val="20"/>
          <w:szCs w:val="20"/>
        </w:rPr>
        <w:t>ę</w:t>
      </w:r>
      <w:r w:rsidRPr="00125F0E">
        <w:rPr>
          <w:rFonts w:ascii="Arial" w:hAnsi="Arial" w:cs="Arial"/>
          <w:sz w:val="20"/>
          <w:szCs w:val="20"/>
        </w:rPr>
        <w:t xml:space="preserve"> substancję czynną. Na podobnym poziomie (wrażliwość lub niska odporność) utrzymywała się wrażliwość szkodnika na acetamipryd. Wysoką wrażliwość lub wrażliwość szkodnika odnotowano w odniesieniu do fosmetu z grupy związków fosforoorganicznych. Natomiast badania nad wykorzystaniem nowych substancji czynnych z różnych grup chemicznych (sulfoksaflor, flupyradifuron, chlorantraniliprol) nie wykazały ich ewentualnej przydatności do ochrony rzepaku przed słodyszkiem rzepakowym. Doświadczenia nad odpornością </w:t>
      </w:r>
      <w:r w:rsidRPr="00125F0E">
        <w:rPr>
          <w:rFonts w:ascii="Arial" w:hAnsi="Arial" w:cs="Arial"/>
          <w:b/>
          <w:sz w:val="20"/>
          <w:szCs w:val="20"/>
        </w:rPr>
        <w:t>chowacza podobnika</w:t>
      </w:r>
      <w:r w:rsidRPr="00125F0E">
        <w:rPr>
          <w:rFonts w:ascii="Arial" w:hAnsi="Arial" w:cs="Arial"/>
          <w:sz w:val="20"/>
          <w:szCs w:val="20"/>
        </w:rPr>
        <w:t xml:space="preserve"> wykazały narastanie problemu odporności na pyretroidy u tego szkodnika. Wykazano wrażliwość lub niską odporność w odniesieniu do wszystkich substancji z tej grupy, która do niedawna była bardzo skuteczna w zwalczaniu tego szkodnika. W odniesieniu do tau-fluwalinatu natomiast wykazano wysoką odporność wszystkich badanych populacji. Wrażliwość i niską odporność wykazano również w odniesieniu do acetamiprydu, wysoką odporność w odniesieniu do indoksakarbu, a wysoką wrażliwość w odniesieniu do fosmetu. Wykazano również, iż pewną alternatywą w strategii zapobiegania odporności chowacza podobnika mogłoby być wymienne stosowanie sulfoksafloru </w:t>
      </w:r>
      <w:r w:rsidR="00B46BD3" w:rsidRPr="00125F0E">
        <w:rPr>
          <w:rFonts w:ascii="Arial" w:hAnsi="Arial" w:cs="Arial"/>
          <w:sz w:val="20"/>
          <w:szCs w:val="20"/>
        </w:rPr>
        <w:t>i</w:t>
      </w:r>
      <w:r w:rsidR="00B46BD3">
        <w:rPr>
          <w:rFonts w:ascii="Arial" w:hAnsi="Arial" w:cs="Arial"/>
          <w:sz w:val="20"/>
          <w:szCs w:val="20"/>
        </w:rPr>
        <w:t> </w:t>
      </w:r>
      <w:r w:rsidRPr="00125F0E">
        <w:rPr>
          <w:rFonts w:ascii="Arial" w:hAnsi="Arial" w:cs="Arial"/>
          <w:sz w:val="20"/>
          <w:szCs w:val="20"/>
        </w:rPr>
        <w:t xml:space="preserve">flupyradifuronu. W przypadku </w:t>
      </w:r>
      <w:r w:rsidRPr="00125F0E">
        <w:rPr>
          <w:rFonts w:ascii="Arial" w:hAnsi="Arial" w:cs="Arial"/>
          <w:b/>
          <w:sz w:val="20"/>
          <w:szCs w:val="20"/>
        </w:rPr>
        <w:t>stonki ziemniaczanej</w:t>
      </w:r>
      <w:r w:rsidRPr="00125F0E">
        <w:rPr>
          <w:rFonts w:ascii="Arial" w:hAnsi="Arial" w:cs="Arial"/>
          <w:sz w:val="20"/>
          <w:szCs w:val="20"/>
        </w:rPr>
        <w:t xml:space="preserve"> wykazano wrażliwość lub niską odporność szkodnika na fosmet z grupy związków fosforoorganicznych oraz acetamipryd z grupy neonikotynoidów. W odniesieniu do substancji ze wszystkich pozostałych grup chemicznych, stonka ziemniaczana wykazywała wyłącznie zróżnicowany poziom odporności, włączając w to stosunkowo nową substancję </w:t>
      </w:r>
      <w:r w:rsidRPr="00125F0E">
        <w:rPr>
          <w:rFonts w:ascii="Arial" w:hAnsi="Arial" w:cs="Arial"/>
          <w:sz w:val="20"/>
          <w:szCs w:val="20"/>
        </w:rPr>
        <w:lastRenderedPageBreak/>
        <w:t xml:space="preserve">zalecaną do zwalczania szkodnika – chlorantraniliprol. </w:t>
      </w:r>
      <w:r w:rsidRPr="00125F0E">
        <w:rPr>
          <w:rFonts w:ascii="Arial" w:hAnsi="Arial" w:cs="Arial"/>
          <w:b/>
          <w:sz w:val="20"/>
          <w:szCs w:val="20"/>
        </w:rPr>
        <w:t>Stonka kukurydziana</w:t>
      </w:r>
      <w:r w:rsidRPr="00125F0E">
        <w:rPr>
          <w:rFonts w:ascii="Arial" w:hAnsi="Arial" w:cs="Arial"/>
          <w:sz w:val="20"/>
          <w:szCs w:val="20"/>
        </w:rPr>
        <w:t xml:space="preserve"> wykazywała wysoką wrażliwość na fosmet z grupy związków fosforoorganicznych oraz wrażliwość na acetamipryd z grupy neonikotynoidów. Żadna z wymienionych dwóch substancji nie jest jednak zalecana do zwalczania stonki kukurydzianej. W odniesieniu do skutecznych do tej pory pyretroidów oraz indoksakarbu, coraz częściej notowano niski poziom odporności szkodnika. </w:t>
      </w:r>
      <w:r w:rsidRPr="00125F0E">
        <w:rPr>
          <w:rFonts w:ascii="Arial" w:hAnsi="Arial" w:cs="Arial"/>
          <w:b/>
          <w:sz w:val="20"/>
          <w:szCs w:val="20"/>
        </w:rPr>
        <w:t>Mszyca brzoskwiniowa</w:t>
      </w:r>
      <w:r w:rsidRPr="00125F0E">
        <w:rPr>
          <w:rFonts w:ascii="Arial" w:hAnsi="Arial" w:cs="Arial"/>
          <w:sz w:val="20"/>
          <w:szCs w:val="20"/>
        </w:rPr>
        <w:t xml:space="preserve"> wykazywała już wyłącznie wysoki poziom odporności na wszystkie substancje czynne z grupy pyretroidów. Wysoką odporność zanotowano również w odniesieniu do indoksakarbu (oksadiazyny), fosmetu (fosforoorganiczne) oraz chlorantraniliprolu (diamidy). Skutecznymi substancjami w zwalczaniu mszycy brzoskwiniowej, mogą być wyłącznie acetamipryd i sulfoksaflor. W badaniach nad mechanizmami odporności wykazano toksyczność blokera oksydaz i transferaz w odniesieniu do słodyszka rzepakowego, blokera oksydaz, esteraz i transferaz w odniesieniu do stonki kukurydzianej oraz blokera esteraz w odniesieniu do mszycy brzoskwiniowej. Wyniki takie mogą zostać wykorzystane do opracowywania metod zapobiegających występowaniu odporności u wymienionych szkodników. Dla każdego z testowanych szkodników opracowano, na podstawie otrzymanych wyników, strategie zapobiegania odporności. </w:t>
      </w:r>
    </w:p>
    <w:p w14:paraId="5489A411"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Wśród owadów, prowadzono również doświadczenia monitoringowe nad poziomem odporności </w:t>
      </w:r>
      <w:r w:rsidRPr="00125F0E">
        <w:rPr>
          <w:rFonts w:ascii="Arial" w:hAnsi="Arial" w:cs="Arial"/>
          <w:b/>
          <w:sz w:val="20"/>
          <w:szCs w:val="20"/>
        </w:rPr>
        <w:t>pszczoły miodnej</w:t>
      </w:r>
      <w:r w:rsidRPr="00125F0E">
        <w:rPr>
          <w:rFonts w:ascii="Arial" w:hAnsi="Arial" w:cs="Arial"/>
          <w:sz w:val="20"/>
          <w:szCs w:val="20"/>
        </w:rPr>
        <w:t xml:space="preserve"> – ważnego gospodarczo gatunku zapylającego, którego wrażliwość na insektycydy, w sytuacji panującego obecnie syndromu ginięcia pszczół, musi być uwzględniana w strategiach redukcji ryzyka odporności. Doświadczenia prowadzono na pszczołach funkcjonujących na roślinach poddawanych zabiegom opryskiwania w izolatorach (w tym substancjami obecnymi w zaprawach neonikotynoidowych) oraz na pszczołach funkcjonujących na zaprawionym neonikotynoidami rzepaku jarym. W pierwszej grupie doświadczeń wykazano brak toksyczności deltametryny, alfa-cypermetryny, tau-fluwalinatu, acetamiprydu, sulfoksafloru oraz flupyradifuronu w odniesieniu do pszczoły miodnej. Przejściowe zaburzenia w funkcjonowaniu rodzin, wystąpiły w przypadku zastosowania lambda-cyhalotryny, indoksakarbu oraz imidachloprydu i chlotianidyny. W żadnym jednak przypadku nie doszło do upadku ula. Pszczoły były w stanie zmetabolizować również obecne kiedyś w zaprawach neonikotynoidy i wrócić do normalnego funkcjonowania. Należy zwrócić uwagę, że wyniki te dotyczą zabiegów opryskiwania, w których pszczoły miały kontakt z insektycydami zaledwie kilka godzin po ich aplikacji. W doświadczeniach z wykorzystaniem zapraw nasiennych zawierających chlotianidynę, tiametoksam lub imidachlopryd, nie wykazano jakiegokolwiek działania wymienionych substancji na pszczoły. Badania pozostałości również nie wykazały obecności tych substancji ani w tkankach roślin ani w organizmach pszczół. </w:t>
      </w:r>
    </w:p>
    <w:p w14:paraId="3F6801A8" w14:textId="51C0F27E"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Kontynuowano badania laboratoryjne nad odpornością </w:t>
      </w:r>
      <w:r w:rsidRPr="00125F0E">
        <w:rPr>
          <w:rFonts w:ascii="Arial" w:hAnsi="Arial" w:cs="Arial"/>
          <w:b/>
          <w:i/>
          <w:sz w:val="20"/>
          <w:szCs w:val="20"/>
        </w:rPr>
        <w:t>Cercospora beticola</w:t>
      </w:r>
      <w:r w:rsidRPr="00125F0E">
        <w:rPr>
          <w:rFonts w:ascii="Arial" w:hAnsi="Arial" w:cs="Arial"/>
          <w:b/>
          <w:sz w:val="20"/>
          <w:szCs w:val="20"/>
        </w:rPr>
        <w:t xml:space="preserve"> </w:t>
      </w:r>
      <w:r w:rsidRPr="00125F0E">
        <w:rPr>
          <w:rFonts w:ascii="Arial" w:hAnsi="Arial" w:cs="Arial"/>
          <w:sz w:val="20"/>
          <w:szCs w:val="20"/>
        </w:rPr>
        <w:t>na substancje czynne fungicydów</w:t>
      </w:r>
      <w:r w:rsidRPr="00125F0E">
        <w:rPr>
          <w:rFonts w:ascii="Arial" w:hAnsi="Arial" w:cs="Arial"/>
          <w:i/>
          <w:sz w:val="20"/>
          <w:szCs w:val="20"/>
        </w:rPr>
        <w:t xml:space="preserve">. </w:t>
      </w:r>
      <w:r w:rsidRPr="00125F0E">
        <w:rPr>
          <w:rFonts w:ascii="Arial" w:hAnsi="Arial" w:cs="Arial"/>
          <w:sz w:val="20"/>
          <w:szCs w:val="20"/>
        </w:rPr>
        <w:t>Wykazano wysoki odsetek izolatów odpornych na azoksystrobinę (strobiluryny), epoksykonazol, difenokonazol (triazole) oraz fenpropidynę (morfoliny). Brak skuteczności działania notowano także w przypadku mieszanin tiofanatu metylowego, piraklostrobiny lub fenpropidyny z</w:t>
      </w:r>
      <w:r w:rsidR="00261EE7">
        <w:rPr>
          <w:rFonts w:ascii="Arial" w:hAnsi="Arial" w:cs="Arial"/>
          <w:sz w:val="20"/>
          <w:szCs w:val="20"/>
        </w:rPr>
        <w:t> </w:t>
      </w:r>
      <w:r w:rsidRPr="00125F0E">
        <w:rPr>
          <w:rFonts w:ascii="Arial" w:hAnsi="Arial" w:cs="Arial"/>
          <w:sz w:val="20"/>
          <w:szCs w:val="20"/>
        </w:rPr>
        <w:t xml:space="preserve">epoksykonazolem. Wśród polskich populacji </w:t>
      </w:r>
      <w:r w:rsidRPr="00125F0E">
        <w:rPr>
          <w:rFonts w:ascii="Arial" w:hAnsi="Arial" w:cs="Arial"/>
          <w:i/>
          <w:sz w:val="20"/>
          <w:szCs w:val="20"/>
        </w:rPr>
        <w:t>Cercospora beticola</w:t>
      </w:r>
      <w:r w:rsidRPr="00125F0E">
        <w:rPr>
          <w:rFonts w:ascii="Arial" w:hAnsi="Arial" w:cs="Arial"/>
          <w:sz w:val="20"/>
          <w:szCs w:val="20"/>
        </w:rPr>
        <w:t xml:space="preserve"> obserwowany jest wzrost odporności na działające systemicznie grzybobójcze substancje czynne. W przypadku strobiluryn sięga on nawet 80%, a triazoli od 20 (difekonazol) do 50% (epoksykonazol). To samo dotyczy preparatów zawierających mieszanki substancji czynnych z obu grup. Pojawiają się także pierwsze przypadki </w:t>
      </w:r>
      <w:r w:rsidRPr="00125F0E">
        <w:rPr>
          <w:rFonts w:ascii="Arial" w:hAnsi="Arial" w:cs="Arial"/>
          <w:sz w:val="20"/>
          <w:szCs w:val="20"/>
        </w:rPr>
        <w:lastRenderedPageBreak/>
        <w:t xml:space="preserve">odporności na morfoliny. Może być to przyczyną niepowodzenia w ochronie buraka przed tym patogenem w warunkach polowych, szczególnie w przypadku zbyt późno podjętej decyzji o ochronie chemicznej. W systemie ochrony musi być uwzględniony dodatek miedzi – nawet w formie nawozu nalistnego, co znacząco pozwala ograniczyć to niekorzystne zjawisko.  Badania nad odpornością patogenu wywołującego zgniliznę twardzikową rzepaku wykazały wrażliwość na tebukonazol, metkonazol, prochloraz i tiofanat metylowy, niską odporność na propiokonazol i średnią odporność na azoksystrobinę. W przypadku sprawcy czerni krzyżowych, na tiofanat metylowy i propiokonazol, rejestrowano średni poziom odporności, natomiast w odniesieniu do azoksystrobiny, bardzo wysoki poziom odporności. </w:t>
      </w:r>
    </w:p>
    <w:p w14:paraId="14146FF0"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 badaniach nad odpornością </w:t>
      </w:r>
      <w:r w:rsidRPr="00125F0E">
        <w:rPr>
          <w:rFonts w:ascii="Arial" w:hAnsi="Arial" w:cs="Arial"/>
          <w:b/>
          <w:sz w:val="20"/>
          <w:szCs w:val="20"/>
        </w:rPr>
        <w:t>chwastów</w:t>
      </w:r>
      <w:r w:rsidRPr="00125F0E">
        <w:rPr>
          <w:rFonts w:ascii="Arial" w:hAnsi="Arial" w:cs="Arial"/>
          <w:sz w:val="20"/>
          <w:szCs w:val="20"/>
        </w:rPr>
        <w:t xml:space="preserve"> testowano odporność różnych biotypów </w:t>
      </w:r>
      <w:r w:rsidRPr="00125F0E">
        <w:rPr>
          <w:rFonts w:ascii="Arial" w:hAnsi="Arial" w:cs="Arial"/>
          <w:b/>
          <w:sz w:val="20"/>
          <w:szCs w:val="20"/>
        </w:rPr>
        <w:t>wyczyńca polnego</w:t>
      </w:r>
      <w:r w:rsidRPr="00125F0E">
        <w:rPr>
          <w:rFonts w:ascii="Arial" w:hAnsi="Arial" w:cs="Arial"/>
          <w:sz w:val="20"/>
          <w:szCs w:val="20"/>
        </w:rPr>
        <w:t xml:space="preserve"> – gatunku jednoliściennego czyniącego znaczne szkody w uprawach zbóż. Wykazano odporność na substancje z grupy inhibitorów syntezy aminokwasów (ALS), zwłaszcza na sulfonylomoczniki oraz na substancje z grupy inhibitorów acetylokoenzymu A. Uodpornione biotypy tego gatunku identyfikowano głównie w województwach: lubuskim, kujawsko-pomorskim, zachodnio-pomorskim, warmińsko-mazurskim, dolnośląskim i wielkopolskim. Na podstawie analizy wywiadów przeprowadzonych z rolnikami, obserwacji dokonanych w polu, a także na podstawie wyników uzyskanych w badaniach szklarniowych, wytypowano istotne czynniki związane z ryzykiem powstawania form odpornych, tj. stopień zachwaszczenia, metody zwalczania, uprawa roli i in. Na tej podstawie opracowano ankietę dla producentów rolnych, umożliwiającą samodzielną ocenę przyczyn nieskuteczności zabiegów i decyzję, czy jest nią zjawisko odporności, czy czynnik związany z błędami użytkownika.</w:t>
      </w:r>
    </w:p>
    <w:p w14:paraId="76F2D06E" w14:textId="77777777" w:rsidR="00281A9F" w:rsidRPr="00925BCD" w:rsidRDefault="00281A9F">
      <w:pPr>
        <w:pStyle w:val="NormalnyWeb"/>
        <w:tabs>
          <w:tab w:val="left" w:pos="284"/>
        </w:tabs>
        <w:spacing w:before="280" w:beforeAutospacing="0" w:after="120" w:afterAutospacing="0" w:line="360" w:lineRule="auto"/>
        <w:ind w:firstLine="284"/>
        <w:jc w:val="both"/>
        <w:rPr>
          <w:rFonts w:ascii="Arial" w:hAnsi="Arial" w:cs="Arial"/>
        </w:rPr>
      </w:pPr>
    </w:p>
    <w:p w14:paraId="5C32FCBA" w14:textId="77777777" w:rsidR="00056846" w:rsidRPr="00925BCD" w:rsidRDefault="00E54725">
      <w:pPr>
        <w:rPr>
          <w:rFonts w:ascii="Arial" w:hAnsi="Arial" w:cs="Arial"/>
          <w:bCs/>
          <w:kern w:val="2"/>
        </w:rPr>
      </w:pPr>
      <w:r w:rsidRPr="00925BCD">
        <w:br w:type="page"/>
      </w:r>
    </w:p>
    <w:p w14:paraId="2B1653A6"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rPr>
        <w:lastRenderedPageBreak/>
        <w:t>Załącznik nr 2</w:t>
      </w:r>
    </w:p>
    <w:p w14:paraId="1293C63F" w14:textId="56AA49DA" w:rsidR="00056846" w:rsidRPr="00925BCD" w:rsidRDefault="00E54725"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odporności agrofagów na środki ochrony roślin prowadzony był </w:t>
      </w:r>
      <w:r w:rsidRPr="00925BCD">
        <w:rPr>
          <w:rFonts w:ascii="Arial" w:hAnsi="Arial" w:cs="Arial"/>
          <w:b/>
        </w:rPr>
        <w:t>w 2018 r.</w:t>
      </w:r>
      <w:r w:rsidRPr="00925BCD">
        <w:rPr>
          <w:rFonts w:ascii="Arial" w:hAnsi="Arial" w:cs="Arial"/>
        </w:rPr>
        <w:t xml:space="preserve"> również przez </w:t>
      </w:r>
      <w:r w:rsidRPr="00925BCD">
        <w:rPr>
          <w:rFonts w:ascii="Arial" w:hAnsi="Arial" w:cs="Arial"/>
          <w:b/>
        </w:rPr>
        <w:t>Instytut Ogrodnictwa</w:t>
      </w:r>
      <w:r w:rsidR="005045A8">
        <w:rPr>
          <w:rFonts w:ascii="Arial" w:hAnsi="Arial" w:cs="Arial"/>
          <w:b/>
        </w:rPr>
        <w:t xml:space="preserve"> </w:t>
      </w:r>
      <w:r w:rsidR="005045A8" w:rsidRPr="005045A8">
        <w:rPr>
          <w:rFonts w:ascii="Arial" w:hAnsi="Arial" w:cs="Arial"/>
          <w:b/>
        </w:rPr>
        <w:t>– PIB</w:t>
      </w:r>
      <w:r w:rsidRPr="00925BCD">
        <w:rPr>
          <w:rFonts w:ascii="Arial" w:hAnsi="Arial" w:cs="Arial"/>
        </w:rPr>
        <w:t>. Oceniono skuteczność działania, fitotoksyczność i wpływ na faunę pożyteczną wybranych preparatów w uprawach roślin:</w:t>
      </w:r>
    </w:p>
    <w:p w14:paraId="4A29288A"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 MOVENTO 100 SC, KANEMITE 150 SC, ENVIDOR 240 SC, EMULPAR’ 940 EC do zwalczania szpeciela podskórnika gruszowego </w:t>
      </w:r>
      <w:r w:rsidRPr="00925BCD">
        <w:rPr>
          <w:rFonts w:ascii="Arial" w:hAnsi="Arial" w:cs="Arial"/>
          <w:i/>
        </w:rPr>
        <w:t>Eriophyes pyri</w:t>
      </w:r>
      <w:r w:rsidRPr="00925BCD">
        <w:rPr>
          <w:rFonts w:ascii="Arial" w:hAnsi="Arial" w:cs="Arial"/>
        </w:rPr>
        <w:t xml:space="preserve">; </w:t>
      </w:r>
      <w:r w:rsidRPr="00925BCD">
        <w:rPr>
          <w:rFonts w:ascii="Arial" w:hAnsi="Arial" w:cs="Arial"/>
          <w:u w:val="single"/>
        </w:rPr>
        <w:t>borówka wysoka</w:t>
      </w:r>
      <w:r w:rsidRPr="00925BCD">
        <w:rPr>
          <w:rFonts w:ascii="Arial" w:hAnsi="Arial" w:cs="Arial"/>
        </w:rPr>
        <w:t xml:space="preserve"> – AFFIRM 095 SG (benzoesan emamektyny) do zwalczania muszki plamoskrzydłej </w:t>
      </w:r>
      <w:r w:rsidRPr="00925BCD">
        <w:rPr>
          <w:rFonts w:ascii="Arial" w:hAnsi="Arial" w:cs="Arial"/>
          <w:i/>
        </w:rPr>
        <w:t>Drosophila</w:t>
      </w:r>
      <w:r w:rsidRPr="00925BCD">
        <w:rPr>
          <w:rFonts w:ascii="Arial" w:hAnsi="Arial" w:cs="Arial"/>
        </w:rPr>
        <w:t>;</w:t>
      </w:r>
    </w:p>
    <w:p w14:paraId="2805252E"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fasola szparagowa</w:t>
      </w:r>
      <w:r w:rsidRPr="00925BCD">
        <w:rPr>
          <w:rFonts w:ascii="Arial" w:hAnsi="Arial" w:cs="Arial"/>
        </w:rPr>
        <w:t xml:space="preserve"> – SIGNUM 33 WG (piraklostrobina + boskalid) do ograniczania zgnilizny twardzikowej (</w:t>
      </w:r>
      <w:r w:rsidRPr="00925BCD">
        <w:rPr>
          <w:rFonts w:ascii="Arial" w:hAnsi="Arial" w:cs="Arial"/>
          <w:i/>
        </w:rPr>
        <w:t>Sclerotinia sclerotiorum</w:t>
      </w:r>
      <w:r w:rsidRPr="00925BCD">
        <w:rPr>
          <w:rFonts w:ascii="Arial" w:hAnsi="Arial" w:cs="Arial"/>
        </w:rPr>
        <w:t xml:space="preserve">); </w:t>
      </w:r>
      <w:r w:rsidRPr="00925BCD">
        <w:rPr>
          <w:rFonts w:ascii="Arial" w:hAnsi="Arial" w:cs="Arial"/>
          <w:u w:val="single"/>
        </w:rPr>
        <w:t>rzodkiewka</w:t>
      </w:r>
      <w:r w:rsidRPr="00925BCD">
        <w:rPr>
          <w:rFonts w:ascii="Arial" w:hAnsi="Arial" w:cs="Arial"/>
        </w:rPr>
        <w:t xml:space="preserve"> – KARATE ZEON 050 CS, DECIS MEGA 50 EW, SPINTOR 240 CS, NEEM AZAL T/S do zwalczania śmietki kapuścianej i pchełek; </w:t>
      </w:r>
      <w:r w:rsidRPr="00925BCD">
        <w:rPr>
          <w:rFonts w:ascii="Arial" w:hAnsi="Arial" w:cs="Arial"/>
          <w:u w:val="single"/>
        </w:rPr>
        <w:t>burak ćwikłowy</w:t>
      </w:r>
      <w:r w:rsidRPr="00925BCD">
        <w:rPr>
          <w:rFonts w:ascii="Arial" w:hAnsi="Arial" w:cs="Arial"/>
        </w:rPr>
        <w:t xml:space="preserve"> – DECIS MEGA 50 EW, KARATE ZEON 050 CS, NEEM AZAL T/S do zwalczania śmietki ćwiklanki (</w:t>
      </w:r>
      <w:r w:rsidRPr="00925BCD">
        <w:rPr>
          <w:rFonts w:ascii="Arial" w:hAnsi="Arial" w:cs="Arial"/>
          <w:i/>
        </w:rPr>
        <w:t>Pegomyia hyoscyami</w:t>
      </w:r>
      <w:r w:rsidRPr="00925BCD">
        <w:rPr>
          <w:rFonts w:ascii="Arial" w:hAnsi="Arial" w:cs="Arial"/>
        </w:rPr>
        <w:t>) i mszycy burakowej (</w:t>
      </w:r>
      <w:r w:rsidRPr="00925BCD">
        <w:rPr>
          <w:rFonts w:ascii="Arial" w:hAnsi="Arial" w:cs="Arial"/>
          <w:i/>
        </w:rPr>
        <w:t>Aphis fabae</w:t>
      </w:r>
      <w:r w:rsidRPr="00925BCD">
        <w:rPr>
          <w:rFonts w:ascii="Arial" w:hAnsi="Arial" w:cs="Arial"/>
        </w:rPr>
        <w:t xml:space="preserve">; </w:t>
      </w:r>
      <w:r w:rsidRPr="00925BCD">
        <w:rPr>
          <w:rFonts w:ascii="Arial" w:hAnsi="Arial" w:cs="Arial"/>
          <w:u w:val="single"/>
        </w:rPr>
        <w:t>szpinak</w:t>
      </w:r>
      <w:r w:rsidRPr="00925BCD">
        <w:rPr>
          <w:rFonts w:ascii="Arial" w:hAnsi="Arial" w:cs="Arial"/>
        </w:rPr>
        <w:t xml:space="preserve"> – Goltix 700 SC (metamitron) do zwalczania chwastów w uprawie szpinaku; </w:t>
      </w:r>
      <w:r w:rsidRPr="00925BCD">
        <w:rPr>
          <w:rFonts w:ascii="Arial" w:hAnsi="Arial" w:cs="Arial"/>
          <w:u w:val="single"/>
        </w:rPr>
        <w:t>kapusta głowiasta</w:t>
      </w:r>
      <w:r w:rsidRPr="00925BCD">
        <w:rPr>
          <w:rFonts w:ascii="Arial" w:hAnsi="Arial" w:cs="Arial"/>
        </w:rPr>
        <w:t xml:space="preserve"> ‘Kamienna Głowa’ – LUMIPOSA 625 FS (cyjanotraniliprol) – zaprawa nasienna do zwalczania śmietki; </w:t>
      </w:r>
    </w:p>
    <w:p w14:paraId="68701087"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goździk</w:t>
      </w:r>
      <w:r w:rsidRPr="00925BCD">
        <w:rPr>
          <w:rFonts w:ascii="Arial" w:hAnsi="Arial" w:cs="Arial"/>
        </w:rPr>
        <w:t xml:space="preserve"> (</w:t>
      </w:r>
      <w:r w:rsidRPr="00925BCD">
        <w:rPr>
          <w:rFonts w:ascii="Arial" w:hAnsi="Arial" w:cs="Arial"/>
          <w:i/>
        </w:rPr>
        <w:t>Dianthus caryophyllus</w:t>
      </w:r>
      <w:r w:rsidRPr="00925BCD">
        <w:rPr>
          <w:rFonts w:ascii="Arial" w:hAnsi="Arial" w:cs="Arial"/>
        </w:rPr>
        <w:t xml:space="preserve">) – SIGNUM 33 WG do ochrony przed </w:t>
      </w:r>
      <w:r w:rsidRPr="00925BCD">
        <w:rPr>
          <w:rFonts w:ascii="Arial" w:hAnsi="Arial" w:cs="Arial"/>
          <w:i/>
        </w:rPr>
        <w:t>Fusarium oxysporum</w:t>
      </w:r>
      <w:r w:rsidRPr="00925BCD">
        <w:rPr>
          <w:rFonts w:ascii="Arial" w:hAnsi="Arial" w:cs="Arial"/>
        </w:rPr>
        <w:t xml:space="preserve"> f. sp. </w:t>
      </w:r>
      <w:r w:rsidRPr="00925BCD">
        <w:rPr>
          <w:rFonts w:ascii="Arial" w:hAnsi="Arial" w:cs="Arial"/>
          <w:i/>
        </w:rPr>
        <w:t>dianthi</w:t>
      </w:r>
      <w:r w:rsidRPr="00925BCD">
        <w:rPr>
          <w:rFonts w:ascii="Arial" w:hAnsi="Arial" w:cs="Arial"/>
        </w:rPr>
        <w:t xml:space="preserve">; </w:t>
      </w:r>
      <w:r w:rsidRPr="00925BCD">
        <w:rPr>
          <w:rFonts w:ascii="Arial" w:hAnsi="Arial" w:cs="Arial"/>
          <w:u w:val="single"/>
        </w:rPr>
        <w:t>lawenda</w:t>
      </w:r>
      <w:r w:rsidRPr="00925BCD">
        <w:rPr>
          <w:rFonts w:ascii="Arial" w:hAnsi="Arial" w:cs="Arial"/>
        </w:rPr>
        <w:t xml:space="preserve"> (</w:t>
      </w:r>
      <w:r w:rsidRPr="00925BCD">
        <w:rPr>
          <w:rFonts w:ascii="Arial" w:hAnsi="Arial" w:cs="Arial"/>
          <w:i/>
        </w:rPr>
        <w:t>Lavandula angustifolia</w:t>
      </w:r>
      <w:r w:rsidRPr="00925BCD">
        <w:rPr>
          <w:rFonts w:ascii="Arial" w:hAnsi="Arial" w:cs="Arial"/>
        </w:rPr>
        <w:t xml:space="preserve">) – ACROBAT MZ 69 WG do ochrony przed </w:t>
      </w:r>
      <w:r w:rsidRPr="00925BCD">
        <w:rPr>
          <w:rFonts w:ascii="Arial" w:hAnsi="Arial" w:cs="Arial"/>
          <w:i/>
        </w:rPr>
        <w:t>Phytophthora</w:t>
      </w:r>
      <w:r w:rsidRPr="00925BCD">
        <w:rPr>
          <w:rFonts w:ascii="Arial" w:hAnsi="Arial" w:cs="Arial"/>
        </w:rPr>
        <w:t xml:space="preserve"> sp.; </w:t>
      </w:r>
      <w:r w:rsidRPr="00925BCD">
        <w:rPr>
          <w:rFonts w:ascii="Arial" w:hAnsi="Arial" w:cs="Arial"/>
          <w:u w:val="single"/>
        </w:rPr>
        <w:t>tawuła japońska</w:t>
      </w:r>
      <w:r w:rsidRPr="00925BCD">
        <w:rPr>
          <w:rFonts w:ascii="Arial" w:hAnsi="Arial" w:cs="Arial"/>
        </w:rPr>
        <w:t xml:space="preserve"> – MILBEKNOCK 10 EC, MOVENTO 100 SC, EMULPAR 940 KANEMITE 150 SC do zwalczania przebarwiacza tawułowego (</w:t>
      </w:r>
      <w:r w:rsidRPr="00925BCD">
        <w:rPr>
          <w:rFonts w:ascii="Arial" w:hAnsi="Arial" w:cs="Arial"/>
          <w:i/>
        </w:rPr>
        <w:t>Phyllocoptes spiraeae</w:t>
      </w:r>
      <w:r w:rsidRPr="00925BCD">
        <w:rPr>
          <w:rFonts w:ascii="Arial" w:hAnsi="Arial" w:cs="Arial"/>
        </w:rPr>
        <w:t xml:space="preserve">); </w:t>
      </w:r>
      <w:r w:rsidRPr="00925BCD">
        <w:rPr>
          <w:rFonts w:ascii="Arial" w:hAnsi="Arial" w:cs="Arial"/>
          <w:i/>
          <w:iCs/>
          <w:u w:val="single"/>
        </w:rPr>
        <w:t>Sundaville</w:t>
      </w:r>
      <w:r w:rsidRPr="00925BCD">
        <w:rPr>
          <w:rFonts w:ascii="Arial" w:hAnsi="Arial" w:cs="Arial"/>
          <w:u w:val="single"/>
        </w:rPr>
        <w:t xml:space="preserve">, </w:t>
      </w:r>
      <w:r w:rsidRPr="00925BCD">
        <w:rPr>
          <w:rFonts w:ascii="Arial" w:hAnsi="Arial" w:cs="Arial"/>
          <w:i/>
          <w:u w:val="single"/>
        </w:rPr>
        <w:t>Dipladenia</w:t>
      </w:r>
      <w:r w:rsidRPr="00925BCD">
        <w:rPr>
          <w:rFonts w:ascii="Arial" w:hAnsi="Arial" w:cs="Arial"/>
        </w:rPr>
        <w:t xml:space="preserve"> – MOVENTO 100 EC, MILBEKNOCK 10 EC, EMULPAR 940 EC do zwalczania przędziorka chmielowca (</w:t>
      </w:r>
      <w:r w:rsidRPr="00925BCD">
        <w:rPr>
          <w:rFonts w:ascii="Arial" w:hAnsi="Arial" w:cs="Arial"/>
          <w:i/>
        </w:rPr>
        <w:t>Tetranychus urticae</w:t>
      </w:r>
      <w:r w:rsidRPr="00925BCD">
        <w:rPr>
          <w:rFonts w:ascii="Arial" w:hAnsi="Arial" w:cs="Arial"/>
        </w:rPr>
        <w:t xml:space="preserve">); </w:t>
      </w:r>
      <w:r w:rsidRPr="00925BCD">
        <w:rPr>
          <w:rFonts w:ascii="Arial" w:hAnsi="Arial" w:cs="Arial"/>
          <w:u w:val="single"/>
        </w:rPr>
        <w:t>aster jesienny</w:t>
      </w:r>
      <w:r w:rsidRPr="00925BCD">
        <w:rPr>
          <w:rFonts w:ascii="Arial" w:hAnsi="Arial" w:cs="Arial"/>
        </w:rPr>
        <w:t xml:space="preserve"> - MOVENTO 100 SC, KANEMITE 150 SC, MILBEKNOCK 10 EC, EMULPAR 940 EC – środki badane, do zwalczania roztocza astrowca (</w:t>
      </w:r>
      <w:r w:rsidRPr="00925BCD">
        <w:rPr>
          <w:rFonts w:ascii="Arial" w:hAnsi="Arial" w:cs="Arial"/>
          <w:i/>
        </w:rPr>
        <w:t xml:space="preserve">Phytonemus pallidus </w:t>
      </w:r>
      <w:r w:rsidRPr="00925BCD">
        <w:rPr>
          <w:rFonts w:ascii="Arial" w:hAnsi="Arial" w:cs="Arial"/>
        </w:rPr>
        <w:t>subsp.</w:t>
      </w:r>
      <w:r w:rsidRPr="00925BCD">
        <w:rPr>
          <w:rFonts w:ascii="Arial" w:hAnsi="Arial" w:cs="Arial"/>
          <w:i/>
        </w:rPr>
        <w:t xml:space="preserve"> asteris</w:t>
      </w:r>
      <w:r w:rsidRPr="00925BCD">
        <w:rPr>
          <w:rFonts w:ascii="Arial" w:hAnsi="Arial" w:cs="Arial"/>
        </w:rPr>
        <w:t>).</w:t>
      </w:r>
    </w:p>
    <w:p w14:paraId="2E36FB70" w14:textId="3BA8FB79" w:rsidR="00CA7701" w:rsidRPr="00925BCD" w:rsidRDefault="00CA7701"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Instytucie Ogrodnictwa </w:t>
      </w:r>
      <w:r w:rsidR="005045A8" w:rsidRPr="005045A8">
        <w:rPr>
          <w:rFonts w:ascii="Arial" w:hAnsi="Arial" w:cs="Arial"/>
          <w:b/>
        </w:rPr>
        <w:t xml:space="preserve">– PIB </w:t>
      </w:r>
      <w:r w:rsidRPr="00925BCD">
        <w:rPr>
          <w:rFonts w:ascii="Arial" w:hAnsi="Arial" w:cs="Arial"/>
          <w:b/>
        </w:rPr>
        <w:t>w 2019 r.</w:t>
      </w:r>
      <w:r w:rsidRPr="00925BCD">
        <w:rPr>
          <w:rFonts w:ascii="Arial" w:hAnsi="Arial" w:cs="Arial"/>
        </w:rPr>
        <w:t xml:space="preserve"> kontynuowano badania nad oceną skuteczności działania, fitotoksycznością i wpływem na faunę pożyteczną wybranych preparatów w uprawach roślin: </w:t>
      </w:r>
    </w:p>
    <w:p w14:paraId="0E58BCDA"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–CLOSER, BENEVIA 100 OD, ENVIDOR 240 SC (środki badane) SIVANTO PRIME i LIMOCIDE (środki referencyjne) w zwalczaniu miodówki gruszowej plamistej; </w:t>
      </w:r>
      <w:r w:rsidRPr="00925BCD">
        <w:rPr>
          <w:rFonts w:ascii="Arial" w:hAnsi="Arial" w:cs="Arial"/>
          <w:u w:val="single"/>
        </w:rPr>
        <w:t>borówka wysoka</w:t>
      </w:r>
      <w:r w:rsidRPr="00925BCD">
        <w:rPr>
          <w:rFonts w:ascii="Arial" w:hAnsi="Arial" w:cs="Arial"/>
        </w:rPr>
        <w:t xml:space="preserve"> – BENEVIA 100 OD w zwalczaniu muszki plamoskrzydłej (Drosophila suzukii); </w:t>
      </w:r>
    </w:p>
    <w:p w14:paraId="7D519D68"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cebula</w:t>
      </w:r>
      <w:r w:rsidRPr="00925BCD">
        <w:rPr>
          <w:rFonts w:ascii="Arial" w:hAnsi="Arial" w:cs="Arial"/>
        </w:rPr>
        <w:t xml:space="preserve"> – ocena skuteczności środków: FUNDAND 450 SC, RANMAN TOP 160 SC (środki badane), SIGNUM 33 WG, ACROBAT MZ 69 WG (środki referencyjne) w ochronie przed mączniakiem rzekomym (Peronospora destructor); </w:t>
      </w:r>
      <w:r w:rsidRPr="00925BCD">
        <w:rPr>
          <w:rFonts w:ascii="Arial" w:hAnsi="Arial" w:cs="Arial"/>
          <w:u w:val="single"/>
        </w:rPr>
        <w:t>kapusta głowiasta</w:t>
      </w:r>
      <w:r w:rsidRPr="00925BCD">
        <w:rPr>
          <w:rFonts w:ascii="Arial" w:hAnsi="Arial" w:cs="Arial"/>
        </w:rPr>
        <w:t xml:space="preserve"> – ocena skuteczności środka LUMIPOSA 625 FS (cyjanotraniliprol) – zaprawa nasienna (20 ml/500 tys. nasion i 40 ml/500 tys. nasion) (środek badany), VERIMARK 200 SC (cyjanotraniliprol), KARATE ZEON 050 CS (środki referencyjne) w ograniczaniu liczebności szkodników wcześnie zasiedlających uprawę oraz w zwalczaniu śmietki kapuścianej (Delia radicum L) - w uprawie kapusty głowiastej białej odmiany ‘Ditmarska’ (wczesnej), w uprawie </w:t>
      </w:r>
      <w:r w:rsidRPr="00925BCD">
        <w:rPr>
          <w:rFonts w:ascii="Arial" w:hAnsi="Arial" w:cs="Arial"/>
        </w:rPr>
        <w:lastRenderedPageBreak/>
        <w:t>kapusty głowiastej odmiany ‘Kamienna Głowa’ (późnej);</w:t>
      </w:r>
    </w:p>
    <w:p w14:paraId="3F10910C" w14:textId="11532921" w:rsidR="00056846"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wierzba</w:t>
      </w:r>
      <w:r w:rsidRPr="00925BCD">
        <w:rPr>
          <w:rFonts w:ascii="Arial" w:hAnsi="Arial" w:cs="Arial"/>
        </w:rPr>
        <w:t xml:space="preserve"> - ocena skuteczności wybranych środków: DOMARK 100 EC; LUNA EXPERIENCE 400 SC; LUNA SENSATION 500 SC; SERCADIS; SIGNUM 33 WG i VIVANDO 500 SC (środki badane), DITHANE NEOTEC 75 WG (środek referencyjny) w ochronie wierzby przed rdzą (Melampsora epitea); </w:t>
      </w:r>
      <w:r w:rsidRPr="00925BCD">
        <w:rPr>
          <w:rFonts w:ascii="Arial" w:hAnsi="Arial" w:cs="Arial"/>
          <w:u w:val="single"/>
        </w:rPr>
        <w:t>mieczyk</w:t>
      </w:r>
      <w:r w:rsidRPr="00925BCD">
        <w:rPr>
          <w:rFonts w:ascii="Arial" w:hAnsi="Arial" w:cs="Arial"/>
        </w:rPr>
        <w:t xml:space="preserve"> </w:t>
      </w:r>
      <w:bookmarkStart w:id="158" w:name="_Hlk97287540"/>
      <w:r w:rsidRPr="00925BCD">
        <w:rPr>
          <w:rFonts w:ascii="Arial" w:hAnsi="Arial" w:cs="Arial"/>
        </w:rPr>
        <w:t>–</w:t>
      </w:r>
      <w:bookmarkEnd w:id="158"/>
      <w:r w:rsidRPr="00925BCD">
        <w:rPr>
          <w:rFonts w:ascii="Arial" w:hAnsi="Arial" w:cs="Arial"/>
        </w:rPr>
        <w:t xml:space="preserve"> ocena skuteczności środków: CLOSER, BENEVIA 100 OD, MOVENTO 100 SC (środki badane) LIMOCIDE (środek referencyjny) w zwalczaniu wciornastka mieczykowca (Thrips simplex); </w:t>
      </w:r>
      <w:r w:rsidRPr="00925BCD">
        <w:rPr>
          <w:rFonts w:ascii="Arial" w:hAnsi="Arial" w:cs="Arial"/>
          <w:u w:val="single"/>
        </w:rPr>
        <w:t>niecierpek nowogwinejski</w:t>
      </w:r>
      <w:r w:rsidRPr="00925BCD">
        <w:rPr>
          <w:rFonts w:ascii="Arial" w:hAnsi="Arial" w:cs="Arial"/>
        </w:rPr>
        <w:t xml:space="preserve"> – ocena skuteczności środków MOVENTO 100 SC i SANMITE 10 SC, EMULPAR 940 EC (środki badane), SILTAC (środek referencyjny) w zwalczaniu roztocza szklarniowca. </w:t>
      </w:r>
    </w:p>
    <w:p w14:paraId="624AE903" w14:textId="71D733F0" w:rsidR="00EE214F" w:rsidRPr="009B3F86" w:rsidRDefault="00EE214F" w:rsidP="009B3F86">
      <w:pPr>
        <w:pStyle w:val="NormalnyWeb"/>
        <w:tabs>
          <w:tab w:val="left" w:pos="284"/>
        </w:tabs>
        <w:spacing w:beforeAutospacing="0" w:after="120" w:afterAutospacing="0" w:line="360" w:lineRule="auto"/>
        <w:ind w:firstLine="284"/>
        <w:jc w:val="both"/>
        <w:rPr>
          <w:rFonts w:ascii="Arial" w:hAnsi="Arial" w:cs="Arial"/>
          <w:bCs/>
        </w:rPr>
      </w:pPr>
      <w:r w:rsidRPr="009B3F86">
        <w:rPr>
          <w:rFonts w:ascii="Arial" w:hAnsi="Arial" w:cs="Arial"/>
          <w:b/>
        </w:rPr>
        <w:t xml:space="preserve">W Instytucie Ogrodnictwa </w:t>
      </w:r>
      <w:r w:rsidR="00336C50" w:rsidRPr="00336C50">
        <w:rPr>
          <w:rFonts w:ascii="Arial" w:hAnsi="Arial" w:cs="Arial"/>
          <w:b/>
          <w:bCs/>
        </w:rPr>
        <w:t>– PIB</w:t>
      </w:r>
      <w:r w:rsidR="00336C50">
        <w:rPr>
          <w:rFonts w:ascii="Arial" w:hAnsi="Arial" w:cs="Arial"/>
        </w:rPr>
        <w:t xml:space="preserve"> </w:t>
      </w:r>
      <w:r w:rsidRPr="009B3F86">
        <w:rPr>
          <w:rFonts w:ascii="Arial" w:hAnsi="Arial" w:cs="Arial"/>
          <w:b/>
        </w:rPr>
        <w:t xml:space="preserve">w 2020 r. </w:t>
      </w:r>
      <w:r w:rsidRPr="009B3F86">
        <w:rPr>
          <w:rFonts w:ascii="Arial" w:hAnsi="Arial" w:cs="Arial"/>
          <w:bCs/>
        </w:rPr>
        <w:t xml:space="preserve">kontynuowano badania nad oceną skuteczności działania, fitotoksycznością i wpływem na faunę pożyteczną wybranych preparatów w uprawach roślin: </w:t>
      </w:r>
    </w:p>
    <w:p w14:paraId="6EDA04A9"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sadowniczych: grusza – porównanie skuteczności programów ochrony przed miodówką gruszową plamistą z wykorzystaniem preparatów: LIMOCIDE, CLOSER, BENEVIA 100 OD, ENVIDOR 240 SC (środki badane) SIVANTO PRIME, MOVENTO 100 SC (środki referencyjne) w zwalczaniu miodówki gruszowej plamistej; borówka wysoka – ocena skuteczności środka SIVANTO PRIME 200 SL (środek badany) w zwalczaniu mszyc; MOSPILAN 20 SP, DECIS MEGA 50 EW, SILTAC EC (środki referencyjne);</w:t>
      </w:r>
    </w:p>
    <w:p w14:paraId="3CF1A8CD"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 xml:space="preserve">warzywnych: cukinia – ocena skuteczności środka AGIL- S 100 EC w zwalczaniu chwastów jednoliściennych; pomidor – ocena skuteczności środków: EKONOM DUO 72,5 WP, PROPLANT 722 S i CABRIO DUO 112 EC (środki badane), ACROBAT MZ 69 WG (środek referencyjny) w ochronie przed zarazą ziemniaka Phytophthora infestans; por – ocena skuteczności środków: AZATIN SC, BENEVIA 100 OD i MOVENTO 100 SC (środki badane), SPIN TOR 240 (środek referencyjny) w zwalczaniu wciornastka tytoniowca (Thrips tabaci); sałata (pod osłonami) – ocena skuteczności środków: CLOSER, SIVANTO PRIME (środki badane), MOVENTO 100 SC  i Azatin S C (środki referencyjne) w zwalczaniu mszyc, </w:t>
      </w:r>
    </w:p>
    <w:p w14:paraId="0A1F5CF2" w14:textId="168A1CA3" w:rsidR="00056846" w:rsidRDefault="00EE214F" w:rsidP="00D041C0">
      <w:pPr>
        <w:pStyle w:val="NormalnyWeb"/>
        <w:numPr>
          <w:ilvl w:val="0"/>
          <w:numId w:val="20"/>
        </w:numPr>
        <w:tabs>
          <w:tab w:val="left" w:pos="284"/>
        </w:tabs>
        <w:spacing w:before="280" w:beforeAutospacing="0" w:after="120" w:afterAutospacing="0" w:line="360" w:lineRule="auto"/>
        <w:ind w:left="1003" w:hanging="357"/>
        <w:jc w:val="both"/>
        <w:rPr>
          <w:rFonts w:ascii="Arial" w:hAnsi="Arial" w:cs="Arial"/>
        </w:rPr>
      </w:pPr>
      <w:r w:rsidRPr="00561BC0">
        <w:rPr>
          <w:rFonts w:ascii="Arial" w:hAnsi="Arial" w:cs="Arial"/>
        </w:rPr>
        <w:t xml:space="preserve">ozdobnych: pelargonia rabatowa – ocena skuteczności wybranych środków: AMISTAR 250 SC, LUNA EXPERIENCE 400 SC, LUNA SENSATION 500 SC, ACTIFOS, PROLECTUS 50 WG, SOLFAN PK (środki badane), BISZOP 80 WG (środek referencyjny) w ochronie przed szarą pleśnią (Botrytis cinerea); róża pod osłonami - ocena skuteczności wybranych środków: LUNA EXPERIENCE 400 SC; LUNA SENSATION 500 SC; SERCADIS; VIVANDO 500 SC (środki badane), DITHANE NEOTEC 75 WG (środek referencyjny) w ochronie róży przed mączniakiem prawdziwym (Podosphaera pannosa), bukszpan wiecznie zielony – ocena skuteczności środków: AFFIRM 095SG, CORAGEN 200 SC i STEWARD  30 WG (środki badane), DiPel DF (środek referencyjny) w zwalczaniu ćmy bukszpanowej (Cydalima perspectalis); petunia </w:t>
      </w:r>
      <w:r w:rsidRPr="009B3F86">
        <w:t>– ocena skuteczności środków: MOVENTO 100 S,</w:t>
      </w:r>
      <w:r w:rsidRPr="00561BC0">
        <w:rPr>
          <w:rFonts w:ascii="Arial" w:hAnsi="Arial" w:cs="Arial"/>
        </w:rPr>
        <w:t xml:space="preserve"> SIVANTO PRIME, CLOSER </w:t>
      </w:r>
      <w:r w:rsidRPr="009B3F86">
        <w:t>(środki badane)</w:t>
      </w:r>
      <w:r w:rsidRPr="00561BC0">
        <w:rPr>
          <w:rFonts w:ascii="Arial" w:hAnsi="Arial" w:cs="Arial"/>
        </w:rPr>
        <w:t>, MOSPILAN 20 SP (środek referencyjny w zwalczaniu mączlika szklarniowego)</w:t>
      </w:r>
      <w:r w:rsidR="009B3F86" w:rsidRPr="00561BC0">
        <w:rPr>
          <w:rFonts w:ascii="Arial" w:hAnsi="Arial" w:cs="Arial"/>
        </w:rPr>
        <w:t>.</w:t>
      </w:r>
    </w:p>
    <w:p w14:paraId="789B0A74" w14:textId="0BD18CB1" w:rsidR="004908A7" w:rsidRPr="004623AD" w:rsidRDefault="004908A7" w:rsidP="004623AD">
      <w:pPr>
        <w:pStyle w:val="NormalnyWeb"/>
        <w:tabs>
          <w:tab w:val="left" w:pos="284"/>
        </w:tabs>
        <w:spacing w:beforeAutospacing="0" w:after="120" w:afterAutospacing="0" w:line="360" w:lineRule="auto"/>
        <w:ind w:firstLine="284"/>
        <w:jc w:val="both"/>
        <w:rPr>
          <w:rFonts w:ascii="Arial" w:hAnsi="Arial" w:cs="Arial"/>
          <w:bCs/>
        </w:rPr>
      </w:pPr>
      <w:r w:rsidRPr="004623AD">
        <w:rPr>
          <w:rFonts w:ascii="Arial" w:hAnsi="Arial" w:cs="Arial"/>
          <w:b/>
        </w:rPr>
        <w:lastRenderedPageBreak/>
        <w:t xml:space="preserve">W Instytucie Ogrodnictwa – PIB w 2021 r. </w:t>
      </w:r>
      <w:r w:rsidRPr="004623AD">
        <w:rPr>
          <w:rFonts w:ascii="Arial" w:hAnsi="Arial" w:cs="Arial"/>
          <w:bCs/>
        </w:rPr>
        <w:t xml:space="preserve">kontynuowano </w:t>
      </w:r>
      <w:r w:rsidR="00115B42">
        <w:rPr>
          <w:rFonts w:ascii="Arial" w:hAnsi="Arial" w:cs="Arial"/>
          <w:bCs/>
        </w:rPr>
        <w:t xml:space="preserve">również </w:t>
      </w:r>
      <w:r w:rsidRPr="004623AD">
        <w:rPr>
          <w:rFonts w:ascii="Arial" w:hAnsi="Arial" w:cs="Arial"/>
          <w:bCs/>
        </w:rPr>
        <w:t xml:space="preserve">badania nad oceną skuteczności działania, fitotoksycznością i wpływem na faunę pożyteczną wybranych preparatów w uprawach roślin: </w:t>
      </w:r>
    </w:p>
    <w:p w14:paraId="6EECF25C" w14:textId="77777777"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sadowniczych: jabłoń – ocena skuteczności środków ochrony w zwalczaniu bawełnicy korówki,   mieszaniny badane: Movento 100 SC ( 2,25 l/ha) + Emulpar 940 EC (1%); Movento 100 SC (2,25 l/ha) + Siltac EC (0,15%); Teppeki 50 WG (0,14 kg/ha); Teppeki 50 WG (0,14 kg/ha)+ Emulpar 940 EC (1%); Teppeki 50 WG (0,14 kg/ha)+ Siltac EC (0,15%); Movento 100 SC (2,25 l/ha), Siltac EC (0,15%) i Emulpar 940 EC (1%); borówka wysoka – ocena skuteczności środków ochrony w zwalczaniu misecznika śliwowca,badane mieszaniny: Movento 100 SC (0,75 l/ha) + Siltac EC (0,15%); Movento 100 SC (0,75 l/ha) + Emulpar 940 EC (1,2%); środki referencyjne: Movento 100 SC (0,75 l/ha), Siltac EC (0,15%) i Emulpar 940 EC (1,2%);</w:t>
      </w:r>
    </w:p>
    <w:p w14:paraId="131A94C2" w14:textId="2058FE3E"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warzywnych: kapusta brukselska – ocena skuteczności środków w ochronie przed czernią krzyżowych (Alternaria spp.) i szarą pleśnią (Botrytis cinerea), badane środki: Actifos (nawóz), Agro-Sorb L-Amino+ (stymulator) w programie przemiennego stosowania ze środkami: Afrodyta 250 EC i Serenade ASO; Serenade ASO (biologiczny środek referencyjny) i Afrodyta 250 EC (chemiczny środek referencyjny); sałata w uprawie pod osłonami – ocena skuteczności środków w ochronie przed szarą pleśnią (Botrytis cinerea) i</w:t>
      </w:r>
      <w:r w:rsidR="000C5497">
        <w:rPr>
          <w:rFonts w:ascii="Arial" w:hAnsi="Arial" w:cs="Arial"/>
        </w:rPr>
        <w:t> </w:t>
      </w:r>
      <w:r w:rsidRPr="004E2469">
        <w:rPr>
          <w:rFonts w:ascii="Arial" w:hAnsi="Arial" w:cs="Arial"/>
        </w:rPr>
        <w:t>zgnilizną twardzikową (Sclerotinia sclerotiorum), badane środki: Actifos (nawóz), Agro-Sorb L-Amino+ (stymulator) stosowane w programie z przemienną aplikacją Signum 33 WG i</w:t>
      </w:r>
      <w:r w:rsidR="000C5497">
        <w:rPr>
          <w:rFonts w:ascii="Arial" w:hAnsi="Arial" w:cs="Arial"/>
        </w:rPr>
        <w:t> </w:t>
      </w:r>
      <w:r w:rsidRPr="004E2469">
        <w:rPr>
          <w:rFonts w:ascii="Arial" w:hAnsi="Arial" w:cs="Arial"/>
        </w:rPr>
        <w:t>Serenade ASO; Serenade ASO (biologiczny środek referencyjny); Signum 33 WG (chemiczny środek referencyjny); pomidor pod osłonami – ocena skuteczności środków w</w:t>
      </w:r>
      <w:r w:rsidR="000C5497">
        <w:rPr>
          <w:rFonts w:ascii="Arial" w:hAnsi="Arial" w:cs="Arial"/>
        </w:rPr>
        <w:t> </w:t>
      </w:r>
      <w:r w:rsidRPr="004E2469">
        <w:rPr>
          <w:rFonts w:ascii="Arial" w:hAnsi="Arial" w:cs="Arial"/>
        </w:rPr>
        <w:t>zwalczaniu mączlika szklarniowego, badane środki: Sivanto Prime (0,56l/ha) + Siltac (0,15%); Neem Azal T/S (3l/ha)+Siltac (0,15%) Pyregard (0,75 l/ha)+ Emulpar 940 EC (0,9%); Eradicoat Max (20ml/l); Admiral 100 EC (0,075%); Pyregard (0,075 l/ha); papryka pod osłonami – ocena skuteczności środków w zwalczaniu przędziorka chmielowca (Tetranychus urticae), badane środki: Vertimec 018 EC + Emulpar 940 EC; Vertimec + Siltac; Requiem Prime+ Siltac Requiem Prime; Eradicoat Max ; Neem Azal T/S + Siltac; Emulpar 940 EC.</w:t>
      </w:r>
    </w:p>
    <w:p w14:paraId="7DC98827" w14:textId="77777777" w:rsidR="004908A7" w:rsidRPr="004E2469" w:rsidRDefault="004908A7" w:rsidP="004E2469">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4E2469">
        <w:rPr>
          <w:rFonts w:ascii="Arial" w:hAnsi="Arial" w:cs="Arial"/>
        </w:rPr>
        <w:t xml:space="preserve">ozdobnych: rojnik – ocena skuteczności środków w ochronie przed fytoftorozą (Phytophthora sp.), preparaty badane: Agro-Sorb L-Amino, Magnicur Energy, Ridomil Gold MZ Pepite 67,8 WG i Nordox 75 WG. Preparat Ridomil Gold MZ Pepite 67,87 WG zastosowano przemiennie ze stymulatorem wzrostu roślin Agro-Sorb L-Amino, w celu ograniczenia zabiegów chemicznych. Natomiast preparat Magnicur Energy zastosowano w niższej dawce; floks – ocena skuteczności środków w ochronie przed mączniakiem prawdziwym (Erysiphe cichoracearum), preparaty badane: Actifos, Scorpion 325 SC, Signum 33 WG i Serenade ASO. Preparat Signum 33 WG stosowano przemiennie z nawozem Actifos, w celu ograniczenia zabiegów chemicznych. Preparat Scorpion 325 SC zastosowano w niższej dawce; modrzew – ocena skuteczności środków w zwalczaniu ochojnika świerkowo-modrzewiowego, badane mieszaniny: Movento 100 SC+ Siltac EC; Movento +Emulpar 940 </w:t>
      </w:r>
      <w:r w:rsidRPr="004E2469">
        <w:rPr>
          <w:rFonts w:ascii="Arial" w:hAnsi="Arial" w:cs="Arial"/>
        </w:rPr>
        <w:lastRenderedPageBreak/>
        <w:t xml:space="preserve">EC; Spruzit Koncentrat na szkodniki EC; Mospilan 20 SP + Emulpar 940 EC; Teppeki 50 WG + Emulpar 940 EC; Mospilan 20 SP; Movento 100 S.C.; chryzantema – ocena skuteczności środków w zwalczaniu wciornastka zachodniego, preparaty badane: Vertimec 018 EC+ Siltac EC + cukier; NeemaAzal –TS +Siltac +cukier; Requiem Prime + Emulpar 940+cukier; Dicarzol 50 SP + Siltac EC+ cukier; NeemAzal –TS; Requiem Prime. </w:t>
      </w:r>
    </w:p>
    <w:p w14:paraId="20D786A7" w14:textId="7BC62582" w:rsidR="00921FA9" w:rsidRPr="00A81CAB" w:rsidRDefault="00A81CAB" w:rsidP="00921FA9">
      <w:pPr>
        <w:pStyle w:val="NormalnyWeb"/>
        <w:tabs>
          <w:tab w:val="left" w:pos="284"/>
        </w:tabs>
        <w:spacing w:beforeAutospacing="0" w:after="120" w:afterAutospacing="0" w:line="360" w:lineRule="auto"/>
        <w:ind w:firstLine="284"/>
        <w:jc w:val="both"/>
        <w:rPr>
          <w:rFonts w:ascii="Arial" w:hAnsi="Arial" w:cs="Arial"/>
        </w:rPr>
      </w:pPr>
      <w:r w:rsidRPr="00A81CAB">
        <w:rPr>
          <w:rFonts w:ascii="Arial" w:hAnsi="Arial" w:cs="Arial"/>
        </w:rPr>
        <w:t>W</w:t>
      </w:r>
      <w:r w:rsidR="00640013" w:rsidRPr="00A81CAB">
        <w:rPr>
          <w:rFonts w:ascii="Arial" w:hAnsi="Arial" w:cs="Arial"/>
        </w:rPr>
        <w:t xml:space="preserve"> 2021 r. w</w:t>
      </w:r>
      <w:r w:rsidR="00921FA9" w:rsidRPr="00A81CAB">
        <w:rPr>
          <w:rFonts w:ascii="Arial" w:hAnsi="Arial" w:cs="Arial"/>
        </w:rPr>
        <w:t xml:space="preserve"> Instytucie Ogrodnictwa - PIB monitorowano </w:t>
      </w:r>
      <w:r w:rsidR="00CF29CA">
        <w:rPr>
          <w:rFonts w:ascii="Arial" w:hAnsi="Arial" w:cs="Arial"/>
        </w:rPr>
        <w:t xml:space="preserve">również </w:t>
      </w:r>
      <w:r w:rsidR="00921FA9" w:rsidRPr="00A81CAB">
        <w:rPr>
          <w:rFonts w:ascii="Arial" w:hAnsi="Arial" w:cs="Arial"/>
        </w:rPr>
        <w:t xml:space="preserve">wybrane uprawy ogrodnicze oraz przeprowadzono szereg doświadczeń (w tym biochemicznych i molekularnych) mających na celu ocenę rozwoju odporności agrofagów na środki ochrony roślin w uprawach sadowniczych. Do </w:t>
      </w:r>
      <w:r w:rsidR="00CF29CA" w:rsidRPr="00A81CAB">
        <w:rPr>
          <w:rFonts w:ascii="Arial" w:hAnsi="Arial" w:cs="Arial"/>
        </w:rPr>
        <w:t>realizacji</w:t>
      </w:r>
      <w:r w:rsidR="00921FA9" w:rsidRPr="00A81CAB">
        <w:rPr>
          <w:rFonts w:ascii="Arial" w:hAnsi="Arial" w:cs="Arial"/>
        </w:rPr>
        <w:t xml:space="preserve"> projektu wytypowane takie obiekty, w których przez wieloletnie stosowanie pestycydów mogło dojść do obniżonej wrażliwości agrofagów na środki ochrony roślin. Wytypowano i </w:t>
      </w:r>
      <w:r w:rsidR="00A07EF1" w:rsidRPr="00A81CAB">
        <w:rPr>
          <w:rFonts w:ascii="Arial" w:hAnsi="Arial" w:cs="Arial"/>
        </w:rPr>
        <w:t>przeprowadzono</w:t>
      </w:r>
      <w:r w:rsidR="00921FA9" w:rsidRPr="00A81CAB">
        <w:rPr>
          <w:rFonts w:ascii="Arial" w:hAnsi="Arial" w:cs="Arial"/>
        </w:rPr>
        <w:t xml:space="preserve"> liczne lustracje sadów jabłoniowych oraz plantacji truskawek i upraw warzywnych w celu identyfikacji tych, w</w:t>
      </w:r>
      <w:r w:rsidR="00A07EF1">
        <w:rPr>
          <w:rFonts w:ascii="Arial" w:hAnsi="Arial" w:cs="Arial"/>
        </w:rPr>
        <w:t> </w:t>
      </w:r>
      <w:r w:rsidR="00A07EF1" w:rsidRPr="00A81CAB">
        <w:rPr>
          <w:rFonts w:ascii="Arial" w:hAnsi="Arial" w:cs="Arial"/>
        </w:rPr>
        <w:t>których</w:t>
      </w:r>
      <w:r w:rsidR="00921FA9" w:rsidRPr="00A81CAB">
        <w:rPr>
          <w:rFonts w:ascii="Arial" w:hAnsi="Arial" w:cs="Arial"/>
        </w:rPr>
        <w:t xml:space="preserve"> agrofagi mogły uodpornić się na stosowane do ich zwalczania pestycydy. Podczas </w:t>
      </w:r>
      <w:r w:rsidR="00A07EF1" w:rsidRPr="00A81CAB">
        <w:rPr>
          <w:rFonts w:ascii="Arial" w:hAnsi="Arial" w:cs="Arial"/>
        </w:rPr>
        <w:t>monitoringu</w:t>
      </w:r>
      <w:r w:rsidR="00921FA9" w:rsidRPr="00A81CAB">
        <w:rPr>
          <w:rFonts w:ascii="Arial" w:hAnsi="Arial" w:cs="Arial"/>
        </w:rPr>
        <w:t xml:space="preserve"> skupiono się na szkodnikach i chorobach najczęściej występujących w uprawie i</w:t>
      </w:r>
      <w:r w:rsidR="00A07EF1">
        <w:rPr>
          <w:rFonts w:ascii="Arial" w:hAnsi="Arial" w:cs="Arial"/>
        </w:rPr>
        <w:t> </w:t>
      </w:r>
      <w:r w:rsidR="00921FA9" w:rsidRPr="00A81CAB">
        <w:rPr>
          <w:rFonts w:ascii="Arial" w:hAnsi="Arial" w:cs="Arial"/>
        </w:rPr>
        <w:t>stanowiących w niej istotne zagrożenie: mszyca jabłoniowa (</w:t>
      </w:r>
      <w:r w:rsidR="00921FA9" w:rsidRPr="00A81CAB">
        <w:rPr>
          <w:rFonts w:ascii="Arial" w:hAnsi="Arial" w:cs="Arial"/>
          <w:i/>
        </w:rPr>
        <w:t>Aphis (Aphis) pomi</w:t>
      </w:r>
      <w:r w:rsidR="00921FA9" w:rsidRPr="00A81CAB">
        <w:rPr>
          <w:rFonts w:ascii="Arial" w:hAnsi="Arial" w:cs="Arial"/>
        </w:rPr>
        <w:t xml:space="preserve"> i grzyb </w:t>
      </w:r>
      <w:r w:rsidR="00921FA9" w:rsidRPr="00A81CAB">
        <w:rPr>
          <w:rFonts w:ascii="Arial" w:hAnsi="Arial" w:cs="Arial"/>
          <w:i/>
        </w:rPr>
        <w:t>Venturia inaequalis</w:t>
      </w:r>
      <w:r w:rsidR="00921FA9" w:rsidRPr="00A81CAB">
        <w:rPr>
          <w:rFonts w:ascii="Arial" w:hAnsi="Arial" w:cs="Arial"/>
        </w:rPr>
        <w:t xml:space="preserve"> sprawcy parcha jabłoni w uprawie jabłoni oraz </w:t>
      </w:r>
      <w:r w:rsidR="00921FA9" w:rsidRPr="00A81CAB">
        <w:rPr>
          <w:rFonts w:ascii="Arial" w:hAnsi="Arial" w:cs="Arial"/>
          <w:i/>
        </w:rPr>
        <w:t>Botrytis cinerea</w:t>
      </w:r>
      <w:r w:rsidR="00921FA9" w:rsidRPr="00A81CAB">
        <w:rPr>
          <w:rFonts w:ascii="Arial" w:hAnsi="Arial" w:cs="Arial"/>
        </w:rPr>
        <w:t xml:space="preserve"> sprawcy szarej pleśni w</w:t>
      </w:r>
      <w:r w:rsidR="00A07EF1">
        <w:rPr>
          <w:rFonts w:ascii="Arial" w:hAnsi="Arial" w:cs="Arial"/>
        </w:rPr>
        <w:t> </w:t>
      </w:r>
      <w:r w:rsidR="00921FA9" w:rsidRPr="00A81CAB">
        <w:rPr>
          <w:rFonts w:ascii="Arial" w:hAnsi="Arial" w:cs="Arial"/>
        </w:rPr>
        <w:t>uprawie truskawek. Zebrano również nasiona chwastów: komosa biała (</w:t>
      </w:r>
      <w:r w:rsidR="00921FA9" w:rsidRPr="00A81CAB">
        <w:rPr>
          <w:rFonts w:ascii="Arial" w:hAnsi="Arial" w:cs="Arial"/>
          <w:i/>
        </w:rPr>
        <w:t>Chenopodium album</w:t>
      </w:r>
      <w:r w:rsidR="00921FA9" w:rsidRPr="00A81CAB">
        <w:rPr>
          <w:rFonts w:ascii="Arial" w:hAnsi="Arial" w:cs="Arial"/>
        </w:rPr>
        <w:t> L) i</w:t>
      </w:r>
      <w:r w:rsidR="00506A8A">
        <w:rPr>
          <w:rFonts w:ascii="Arial" w:hAnsi="Arial" w:cs="Arial"/>
        </w:rPr>
        <w:t> </w:t>
      </w:r>
      <w:r w:rsidR="00921FA9" w:rsidRPr="00A81CAB">
        <w:rPr>
          <w:rFonts w:ascii="Arial" w:hAnsi="Arial" w:cs="Arial"/>
        </w:rPr>
        <w:t>tasznik pospolity (</w:t>
      </w:r>
      <w:r w:rsidR="00921FA9" w:rsidRPr="00A81CAB">
        <w:rPr>
          <w:rFonts w:ascii="Arial" w:hAnsi="Arial" w:cs="Arial"/>
          <w:i/>
        </w:rPr>
        <w:t>Capsella bursa-pastoris</w:t>
      </w:r>
      <w:r w:rsidR="00921FA9" w:rsidRPr="00A81CAB">
        <w:rPr>
          <w:rFonts w:ascii="Arial" w:hAnsi="Arial" w:cs="Arial"/>
        </w:rPr>
        <w:t>), z upraw warzywnych, w celu dalszej hodowli i oceny ich odporności na stosowane przeciw nim herbicydy.</w:t>
      </w:r>
    </w:p>
    <w:p w14:paraId="07558226" w14:textId="228BBEF5" w:rsidR="00921FA9" w:rsidRPr="00054F23" w:rsidRDefault="00921FA9" w:rsidP="00921FA9">
      <w:pPr>
        <w:pStyle w:val="NormalnyWeb"/>
        <w:tabs>
          <w:tab w:val="left" w:pos="284"/>
        </w:tabs>
        <w:spacing w:beforeAutospacing="0" w:after="120" w:afterAutospacing="0" w:line="360" w:lineRule="auto"/>
        <w:ind w:firstLine="284"/>
        <w:jc w:val="both"/>
        <w:rPr>
          <w:rFonts w:ascii="Arial" w:hAnsi="Arial" w:cs="Arial"/>
        </w:rPr>
      </w:pPr>
      <w:r w:rsidRPr="00A81CAB">
        <w:rPr>
          <w:rFonts w:ascii="Arial" w:hAnsi="Arial" w:cs="Arial"/>
        </w:rPr>
        <w:t xml:space="preserve">W </w:t>
      </w:r>
      <w:r w:rsidRPr="00506A8A">
        <w:rPr>
          <w:rFonts w:ascii="Arial" w:hAnsi="Arial" w:cs="Arial"/>
          <w:b/>
          <w:bCs/>
        </w:rPr>
        <w:t>2022 r.</w:t>
      </w:r>
      <w:r w:rsidRPr="00A81CAB">
        <w:rPr>
          <w:rFonts w:ascii="Arial" w:hAnsi="Arial" w:cs="Arial"/>
        </w:rPr>
        <w:t xml:space="preserve"> </w:t>
      </w:r>
      <w:r w:rsidR="00506A8A" w:rsidRPr="00A81CAB">
        <w:rPr>
          <w:rFonts w:ascii="Arial" w:hAnsi="Arial" w:cs="Arial"/>
        </w:rPr>
        <w:t>kontynuowano</w:t>
      </w:r>
      <w:r w:rsidRPr="00A81CAB">
        <w:rPr>
          <w:rFonts w:ascii="Arial" w:hAnsi="Arial" w:cs="Arial"/>
        </w:rPr>
        <w:t xml:space="preserve"> prace mające na celu identyfikację odpornych populacji agrofagów. W</w:t>
      </w:r>
      <w:r w:rsidR="00506A8A">
        <w:rPr>
          <w:rFonts w:ascii="Arial" w:hAnsi="Arial" w:cs="Arial"/>
        </w:rPr>
        <w:t> </w:t>
      </w:r>
      <w:r w:rsidRPr="00A81CAB">
        <w:rPr>
          <w:rFonts w:ascii="Arial" w:hAnsi="Arial" w:cs="Arial"/>
        </w:rPr>
        <w:t>ramach prowadzonych badań stwierdzono w części upraw truskawek częściową odporność grzyba</w:t>
      </w:r>
      <w:r w:rsidRPr="00A81CAB">
        <w:rPr>
          <w:rFonts w:ascii="Arial" w:hAnsi="Arial" w:cs="Arial"/>
          <w:i/>
        </w:rPr>
        <w:t xml:space="preserve"> Botrytis cinerea</w:t>
      </w:r>
      <w:r w:rsidRPr="00A81CAB">
        <w:rPr>
          <w:rFonts w:ascii="Arial" w:hAnsi="Arial" w:cs="Arial"/>
        </w:rPr>
        <w:t xml:space="preserve"> na preparaty zawierające piraklostrobinę i boskalid oraz na cyprodynil i fludioksonil. W</w:t>
      </w:r>
      <w:r w:rsidR="00357629">
        <w:rPr>
          <w:rFonts w:ascii="Arial" w:hAnsi="Arial" w:cs="Arial"/>
        </w:rPr>
        <w:t> </w:t>
      </w:r>
      <w:r w:rsidRPr="00A81CAB">
        <w:rPr>
          <w:rFonts w:ascii="Arial" w:hAnsi="Arial" w:cs="Arial"/>
        </w:rPr>
        <w:t xml:space="preserve">wybranych sadach jabłoniowych stwierdzono niski poziom odporności grzyba </w:t>
      </w:r>
      <w:r w:rsidRPr="00A81CAB">
        <w:rPr>
          <w:rFonts w:ascii="Arial" w:hAnsi="Arial" w:cs="Arial"/>
          <w:i/>
        </w:rPr>
        <w:t xml:space="preserve">V. inaequalis </w:t>
      </w:r>
      <w:r w:rsidRPr="00A81CAB">
        <w:rPr>
          <w:rFonts w:ascii="Arial" w:hAnsi="Arial" w:cs="Arial"/>
        </w:rPr>
        <w:t xml:space="preserve">na dodynę oraz niski lub średni na anilinopirymidyny. W monitorowanych sadach odporność na strobiluryny oznaczono na poziomie od średniego do bardzo wysokiego. Nie stwierdzono odporności mszyc: jabłoniowej oraz jabłoniowo-babkowej, występujących na jabłoni na stosowane do ich zwalczania produkty zawierające acetamipryd. </w:t>
      </w:r>
      <w:r w:rsidR="008349A7" w:rsidRPr="00A81CAB">
        <w:rPr>
          <w:rFonts w:ascii="Arial" w:hAnsi="Arial" w:cs="Arial"/>
        </w:rPr>
        <w:t>Większość</w:t>
      </w:r>
      <w:r w:rsidRPr="00A81CAB">
        <w:rPr>
          <w:rFonts w:ascii="Arial" w:hAnsi="Arial" w:cs="Arial"/>
        </w:rPr>
        <w:t xml:space="preserve"> problemów ze zwalczaniem tych szkodników, z</w:t>
      </w:r>
      <w:r w:rsidR="006664D2">
        <w:rPr>
          <w:rFonts w:ascii="Arial" w:hAnsi="Arial" w:cs="Arial"/>
        </w:rPr>
        <w:t> </w:t>
      </w:r>
      <w:r w:rsidRPr="00A81CAB">
        <w:rPr>
          <w:rFonts w:ascii="Arial" w:hAnsi="Arial" w:cs="Arial"/>
        </w:rPr>
        <w:t>wykorzystanie</w:t>
      </w:r>
      <w:r w:rsidR="006664D2">
        <w:rPr>
          <w:rFonts w:ascii="Arial" w:hAnsi="Arial" w:cs="Arial"/>
        </w:rPr>
        <w:t>m</w:t>
      </w:r>
      <w:r w:rsidRPr="00A81CAB">
        <w:rPr>
          <w:rFonts w:ascii="Arial" w:hAnsi="Arial" w:cs="Arial"/>
        </w:rPr>
        <w:t xml:space="preserve"> produktów z grupy nikotynoidów, miała podłoże nieprawidłowej techniki wykonywania zabiegów mających na celu ograniczania ich </w:t>
      </w:r>
      <w:r w:rsidR="00E95B98" w:rsidRPr="00A81CAB">
        <w:rPr>
          <w:rFonts w:ascii="Arial" w:hAnsi="Arial" w:cs="Arial"/>
        </w:rPr>
        <w:t>występowania</w:t>
      </w:r>
      <w:r w:rsidRPr="00A81CAB">
        <w:rPr>
          <w:rFonts w:ascii="Arial" w:hAnsi="Arial" w:cs="Arial"/>
        </w:rPr>
        <w:t>. W 2022</w:t>
      </w:r>
      <w:r w:rsidR="006C232A">
        <w:rPr>
          <w:rFonts w:ascii="Arial" w:hAnsi="Arial" w:cs="Arial"/>
        </w:rPr>
        <w:t> </w:t>
      </w:r>
      <w:r w:rsidRPr="00A81CAB">
        <w:rPr>
          <w:rFonts w:ascii="Arial" w:hAnsi="Arial" w:cs="Arial"/>
        </w:rPr>
        <w:t>r</w:t>
      </w:r>
      <w:r w:rsidR="000C5497">
        <w:rPr>
          <w:rFonts w:ascii="Arial" w:hAnsi="Arial" w:cs="Arial"/>
        </w:rPr>
        <w:t>.</w:t>
      </w:r>
      <w:r w:rsidRPr="00A81CAB">
        <w:rPr>
          <w:rFonts w:ascii="Arial" w:hAnsi="Arial" w:cs="Arial"/>
        </w:rPr>
        <w:t xml:space="preserve"> przeprowadzono testy biologiczne w warunkach szklarniowych, w których wysiewano nasiona chwastów (komosa biała, tasznik pospolity), zebrane w 2021 r. z plantacji, na których stwierdzono słabsze działanie herbicydów (województwo mazowieckie - rejon Wiskitek, łódzkie - region Zdun i pomorskie - powiat Wejherowo), oraz nasiona z roślin wrażliwych, zebrane w okolicy Skierniewic. Uzyskanie wyniki nie potwierdzają wystąpienia odporności komosy białej i tasznika pospolitego na substancje czynne herbicydów, stosowanych na plantacjach, na których w 2021 r</w:t>
      </w:r>
      <w:r w:rsidR="000C5497">
        <w:rPr>
          <w:rFonts w:ascii="Arial" w:hAnsi="Arial" w:cs="Arial"/>
        </w:rPr>
        <w:t>.</w:t>
      </w:r>
      <w:r w:rsidRPr="00A81CAB">
        <w:rPr>
          <w:rFonts w:ascii="Arial" w:hAnsi="Arial" w:cs="Arial"/>
        </w:rPr>
        <w:t xml:space="preserve"> zanotowano obniżoną skuteczność działania na te środki.</w:t>
      </w:r>
    </w:p>
    <w:p w14:paraId="33B741F6" w14:textId="77777777" w:rsidR="00921FA9" w:rsidRDefault="00921FA9" w:rsidP="00210D38">
      <w:pPr>
        <w:pStyle w:val="NormalnyWeb"/>
        <w:tabs>
          <w:tab w:val="left" w:pos="284"/>
        </w:tabs>
        <w:spacing w:beforeAutospacing="0" w:after="120" w:afterAutospacing="0" w:line="360" w:lineRule="auto"/>
        <w:ind w:firstLine="284"/>
        <w:jc w:val="both"/>
        <w:rPr>
          <w:rFonts w:ascii="Arial" w:hAnsi="Arial" w:cs="Arial"/>
        </w:rPr>
      </w:pPr>
    </w:p>
    <w:p w14:paraId="42B740B8" w14:textId="77777777" w:rsidR="00921FA9" w:rsidRPr="00561BC0" w:rsidRDefault="00921FA9" w:rsidP="00210D38">
      <w:pPr>
        <w:pStyle w:val="NormalnyWeb"/>
        <w:tabs>
          <w:tab w:val="left" w:pos="284"/>
        </w:tabs>
        <w:spacing w:beforeAutospacing="0" w:after="120" w:afterAutospacing="0" w:line="360" w:lineRule="auto"/>
        <w:ind w:firstLine="284"/>
        <w:jc w:val="both"/>
        <w:rPr>
          <w:rFonts w:ascii="Arial" w:hAnsi="Arial" w:cs="Arial"/>
        </w:rPr>
      </w:pPr>
    </w:p>
    <w:sectPr w:rsidR="00921FA9" w:rsidRPr="00561BC0">
      <w:footerReference w:type="default" r:id="rId56"/>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E7FA1" w14:textId="77777777" w:rsidR="00B07A39" w:rsidRDefault="00B07A39">
      <w:r>
        <w:separator/>
      </w:r>
    </w:p>
  </w:endnote>
  <w:endnote w:type="continuationSeparator" w:id="0">
    <w:p w14:paraId="6BC22C62" w14:textId="77777777" w:rsidR="00B07A39" w:rsidRDefault="00B0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40502020204"/>
    <w:charset w:val="EE"/>
    <w:family w:val="swiss"/>
    <w:pitch w:val="variable"/>
    <w:sig w:usb0="8100AAF7" w:usb1="0000807B" w:usb2="00000008" w:usb3="00000000" w:csb0="000100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C50A5" w14:textId="77777777" w:rsidR="00782A4F" w:rsidRDefault="00782A4F" w:rsidP="00901482">
    <w:pPr>
      <w:pStyle w:val="Stopka"/>
      <w:rPr>
        <w:rFonts w:ascii="Arial" w:hAnsi="Arial" w:cs="Arial"/>
        <w:sz w:val="22"/>
      </w:rPr>
    </w:pPr>
    <w:r>
      <w:rPr>
        <w:rFonts w:ascii="Arial" w:hAnsi="Arial" w:cs="Arial"/>
        <w:noProof/>
        <w:sz w:val="22"/>
      </w:rPr>
      <mc:AlternateContent>
        <mc:Choice Requires="wps">
          <w:drawing>
            <wp:anchor distT="0" distB="0" distL="0" distR="0" simplePos="0" relativeHeight="96" behindDoc="1" locked="0" layoutInCell="1" allowOverlap="1" wp14:anchorId="65055AD1" wp14:editId="74A9BB4A">
              <wp:simplePos x="0" y="0"/>
              <wp:positionH relativeFrom="margin">
                <wp:posOffset>2291080</wp:posOffset>
              </wp:positionH>
              <wp:positionV relativeFrom="paragraph">
                <wp:posOffset>5080</wp:posOffset>
              </wp:positionV>
              <wp:extent cx="1143000" cy="238125"/>
              <wp:effectExtent l="0" t="0" r="0" b="9525"/>
              <wp:wrapSquare wrapText="largest"/>
              <wp:docPr id="15" name="Ramka1"/>
              <wp:cNvGraphicFramePr/>
              <a:graphic xmlns:a="http://schemas.openxmlformats.org/drawingml/2006/main">
                <a:graphicData uri="http://schemas.microsoft.com/office/word/2010/wordprocessingShape">
                  <wps:wsp>
                    <wps:cNvSpPr/>
                    <wps:spPr>
                      <a:xfrm>
                        <a:off x="0" y="0"/>
                        <a:ext cx="1143000" cy="238125"/>
                      </a:xfrm>
                      <a:prstGeom prst="rect">
                        <a:avLst/>
                      </a:prstGeom>
                      <a:noFill/>
                      <a:ln>
                        <a:noFill/>
                      </a:ln>
                    </wps:spPr>
                    <wps:style>
                      <a:lnRef idx="0">
                        <a:scrgbClr r="0" g="0" b="0"/>
                      </a:lnRef>
                      <a:fillRef idx="0">
                        <a:scrgbClr r="0" g="0" b="0"/>
                      </a:fillRef>
                      <a:effectRef idx="0">
                        <a:scrgbClr r="0" g="0" b="0"/>
                      </a:effectRef>
                      <a:fontRef idx="minor"/>
                    </wps:style>
                    <wps:txbx>
                      <w:txbxContent>
                        <w:p w14:paraId="77176D83" w14:textId="54443E56" w:rsidR="00782A4F" w:rsidRDefault="00782A4F"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9B4BD3">
                            <w:rPr>
                              <w:rStyle w:val="Numerstrony"/>
                              <w:rFonts w:ascii="Arial" w:hAnsi="Arial" w:cs="Arial"/>
                              <w:noProof/>
                              <w:sz w:val="22"/>
                            </w:rPr>
                            <w:t>20</w:t>
                          </w:r>
                          <w:r>
                            <w:rPr>
                              <w:rStyle w:val="Numerstrony"/>
                              <w:rFonts w:ascii="Arial" w:hAnsi="Arial" w:cs="Arial"/>
                              <w:sz w:val="22"/>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65055AD1" id="Ramka1" o:spid="_x0000_s1029" style="position:absolute;margin-left:180.4pt;margin-top:.4pt;width:90pt;height:18.75pt;z-index:-503316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" filled="f" stroked="f">
              <v:textbox inset="0,0,0,0">
                <w:txbxContent>
                  <w:p w14:paraId="77176D83" w14:textId="54443E56" w:rsidR="00782A4F" w:rsidRDefault="00782A4F"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9B4BD3">
                      <w:rPr>
                        <w:rStyle w:val="Numerstrony"/>
                        <w:rFonts w:ascii="Arial" w:hAnsi="Arial" w:cs="Arial"/>
                        <w:noProof/>
                        <w:sz w:val="22"/>
                      </w:rPr>
                      <w:t>20</w:t>
                    </w:r>
                    <w:r>
                      <w:rPr>
                        <w:rStyle w:val="Numerstrony"/>
                        <w:rFonts w:ascii="Arial" w:hAnsi="Arial" w:cs="Arial"/>
                        <w:sz w:val="22"/>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3D0C1" w14:textId="77777777" w:rsidR="00B07A39" w:rsidRDefault="00B07A39">
      <w:r>
        <w:separator/>
      </w:r>
    </w:p>
  </w:footnote>
  <w:footnote w:type="continuationSeparator" w:id="0">
    <w:p w14:paraId="23F04986" w14:textId="77777777" w:rsidR="00B07A39" w:rsidRDefault="00B07A39">
      <w:r>
        <w:continuationSeparator/>
      </w:r>
    </w:p>
  </w:footnote>
  <w:footnote w:id="1">
    <w:p w14:paraId="4BD8F8D6" w14:textId="6CA89560" w:rsidR="00782A4F" w:rsidRDefault="00782A4F">
      <w:pPr>
        <w:pStyle w:val="Tekstprzypisudolnego"/>
      </w:pPr>
      <w:r>
        <w:rPr>
          <w:rStyle w:val="Odwoanieprzypisudolnego"/>
        </w:rPr>
        <w:footnoteRef/>
      </w:r>
      <w:r>
        <w:t xml:space="preserve"> </w:t>
      </w:r>
      <w:r w:rsidRPr="006763DD">
        <w:rPr>
          <w:rFonts w:ascii="Arial" w:eastAsia="Times New Roman" w:hAnsi="Arial" w:cs="Arial"/>
        </w:rPr>
        <w:t xml:space="preserve">DEET jest popularnym repelentem stosowanym </w:t>
      </w:r>
      <w:r>
        <w:rPr>
          <w:rFonts w:ascii="Arial" w:eastAsia="Times New Roman" w:hAnsi="Arial" w:cs="Arial"/>
        </w:rPr>
        <w:t xml:space="preserve">w ochronie </w:t>
      </w:r>
      <w:r w:rsidRPr="006763DD">
        <w:rPr>
          <w:rFonts w:ascii="Arial" w:eastAsia="Times New Roman" w:hAnsi="Arial" w:cs="Arial"/>
        </w:rPr>
        <w:t xml:space="preserve">przeciwko </w:t>
      </w:r>
      <w:r>
        <w:rPr>
          <w:rFonts w:ascii="Arial" w:eastAsia="Times New Roman" w:hAnsi="Arial" w:cs="Arial"/>
        </w:rPr>
        <w:t xml:space="preserve">komarom i kleszczom, nie jest stosowany w środkach ochrony roślin.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5C87"/>
    <w:multiLevelType w:val="multilevel"/>
    <w:tmpl w:val="EC38E28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15:restartNumberingAfterBreak="0">
    <w:nsid w:val="02750417"/>
    <w:multiLevelType w:val="multilevel"/>
    <w:tmpl w:val="3BACAFD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 w15:restartNumberingAfterBreak="0">
    <w:nsid w:val="0AFA55AF"/>
    <w:multiLevelType w:val="hybridMultilevel"/>
    <w:tmpl w:val="66B6C5D6"/>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A06E6"/>
    <w:multiLevelType w:val="multilevel"/>
    <w:tmpl w:val="97AAF50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 w15:restartNumberingAfterBreak="0">
    <w:nsid w:val="0EB560A6"/>
    <w:multiLevelType w:val="multilevel"/>
    <w:tmpl w:val="35A67D6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15:restartNumberingAfterBreak="0">
    <w:nsid w:val="10AB2005"/>
    <w:multiLevelType w:val="hybridMultilevel"/>
    <w:tmpl w:val="0B9E0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D22ACC"/>
    <w:multiLevelType w:val="hybridMultilevel"/>
    <w:tmpl w:val="037880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51A3472"/>
    <w:multiLevelType w:val="hybridMultilevel"/>
    <w:tmpl w:val="4D9A9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296A9F"/>
    <w:multiLevelType w:val="hybridMultilevel"/>
    <w:tmpl w:val="6A9EA49C"/>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9383660"/>
    <w:multiLevelType w:val="hybridMultilevel"/>
    <w:tmpl w:val="886C36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BF0CDC"/>
    <w:multiLevelType w:val="multilevel"/>
    <w:tmpl w:val="2BDCF116"/>
    <w:lvl w:ilvl="0">
      <w:start w:val="1"/>
      <w:numFmt w:val="decimal"/>
      <w:lvlText w:val="%1)"/>
      <w:lvlJc w:val="left"/>
      <w:pPr>
        <w:tabs>
          <w:tab w:val="num" w:pos="1077"/>
        </w:tabs>
        <w:ind w:left="1077" w:hanging="360"/>
      </w:p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1" w15:restartNumberingAfterBreak="0">
    <w:nsid w:val="2048204F"/>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6A1507"/>
    <w:multiLevelType w:val="multilevel"/>
    <w:tmpl w:val="CF6ABD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E34663"/>
    <w:multiLevelType w:val="multilevel"/>
    <w:tmpl w:val="ECAE5B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C04495F"/>
    <w:multiLevelType w:val="multilevel"/>
    <w:tmpl w:val="28DA9762"/>
    <w:lvl w:ilvl="0">
      <w:start w:val="1"/>
      <w:numFmt w:val="bullet"/>
      <w:lvlText w:val=""/>
      <w:lvlJc w:val="left"/>
      <w:pPr>
        <w:ind w:left="1996" w:hanging="360"/>
      </w:pPr>
      <w:rPr>
        <w:rFonts w:ascii="Wingdings" w:hAnsi="Wingdings" w:cs="Wingdings"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5" w15:restartNumberingAfterBreak="0">
    <w:nsid w:val="30927FFE"/>
    <w:multiLevelType w:val="hybridMultilevel"/>
    <w:tmpl w:val="7BE453A4"/>
    <w:lvl w:ilvl="0" w:tplc="2460C3EE">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6" w15:restartNumberingAfterBreak="0">
    <w:nsid w:val="3AD36D14"/>
    <w:multiLevelType w:val="multilevel"/>
    <w:tmpl w:val="B11E7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200749"/>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AB12CF"/>
    <w:multiLevelType w:val="multilevel"/>
    <w:tmpl w:val="73702FF2"/>
    <w:lvl w:ilvl="0">
      <w:start w:val="1"/>
      <w:numFmt w:val="bullet"/>
      <w:lvlText w:val=""/>
      <w:lvlJc w:val="left"/>
      <w:pPr>
        <w:ind w:left="1065" w:hanging="360"/>
      </w:pPr>
      <w:rPr>
        <w:rFonts w:ascii="Symbol" w:hAnsi="Symbol" w:cs="Symbol"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19" w15:restartNumberingAfterBreak="0">
    <w:nsid w:val="423400A3"/>
    <w:multiLevelType w:val="multilevel"/>
    <w:tmpl w:val="343A031A"/>
    <w:lvl w:ilvl="0">
      <w:start w:val="1"/>
      <w:numFmt w:val="bullet"/>
      <w:lvlText w:val=""/>
      <w:lvlJc w:val="left"/>
      <w:pPr>
        <w:ind w:left="1789" w:hanging="360"/>
      </w:pPr>
      <w:rPr>
        <w:rFonts w:ascii="Symbol" w:hAnsi="Symbol" w:cs="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20" w15:restartNumberingAfterBreak="0">
    <w:nsid w:val="429F03EA"/>
    <w:multiLevelType w:val="hybridMultilevel"/>
    <w:tmpl w:val="BDF8617C"/>
    <w:lvl w:ilvl="0" w:tplc="04150001">
      <w:start w:val="1"/>
      <w:numFmt w:val="bullet"/>
      <w:lvlText w:val=""/>
      <w:lvlJc w:val="left"/>
      <w:pPr>
        <w:ind w:left="1056" w:hanging="360"/>
      </w:pPr>
      <w:rPr>
        <w:rFonts w:ascii="Symbol" w:hAnsi="Symbol" w:hint="default"/>
      </w:rPr>
    </w:lvl>
    <w:lvl w:ilvl="1" w:tplc="04150003" w:tentative="1">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21" w15:restartNumberingAfterBreak="0">
    <w:nsid w:val="43F84095"/>
    <w:multiLevelType w:val="multilevel"/>
    <w:tmpl w:val="B6CC5C46"/>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3."/>
      <w:lvlJc w:val="right"/>
      <w:pPr>
        <w:ind w:left="3197" w:hanging="180"/>
      </w:pPr>
    </w:lvl>
    <w:lvl w:ilvl="3">
      <w:start w:val="1"/>
      <w:numFmt w:val="decimal"/>
      <w:lvlText w:val="%4."/>
      <w:lvlJc w:val="left"/>
      <w:pPr>
        <w:ind w:left="3917" w:hanging="360"/>
      </w:pPr>
    </w:lvl>
    <w:lvl w:ilvl="4">
      <w:start w:val="1"/>
      <w:numFmt w:val="lowerLetter"/>
      <w:lvlText w:val="%5."/>
      <w:lvlJc w:val="left"/>
      <w:pPr>
        <w:ind w:left="4637" w:hanging="360"/>
      </w:pPr>
    </w:lvl>
    <w:lvl w:ilvl="5">
      <w:start w:val="1"/>
      <w:numFmt w:val="lowerRoman"/>
      <w:lvlText w:val="%6."/>
      <w:lvlJc w:val="right"/>
      <w:pPr>
        <w:ind w:left="5357" w:hanging="180"/>
      </w:pPr>
    </w:lvl>
    <w:lvl w:ilvl="6">
      <w:start w:val="1"/>
      <w:numFmt w:val="decimal"/>
      <w:lvlText w:val="%7."/>
      <w:lvlJc w:val="left"/>
      <w:pPr>
        <w:ind w:left="6077" w:hanging="360"/>
      </w:pPr>
    </w:lvl>
    <w:lvl w:ilvl="7">
      <w:start w:val="1"/>
      <w:numFmt w:val="lowerLetter"/>
      <w:lvlText w:val="%8."/>
      <w:lvlJc w:val="left"/>
      <w:pPr>
        <w:ind w:left="6797" w:hanging="360"/>
      </w:pPr>
    </w:lvl>
    <w:lvl w:ilvl="8">
      <w:start w:val="1"/>
      <w:numFmt w:val="lowerRoman"/>
      <w:lvlText w:val="%9."/>
      <w:lvlJc w:val="right"/>
      <w:pPr>
        <w:ind w:left="7517" w:hanging="180"/>
      </w:pPr>
    </w:lvl>
  </w:abstractNum>
  <w:abstractNum w:abstractNumId="22" w15:restartNumberingAfterBreak="0">
    <w:nsid w:val="46FD22BD"/>
    <w:multiLevelType w:val="multilevel"/>
    <w:tmpl w:val="D17AC9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3" w15:restartNumberingAfterBreak="0">
    <w:nsid w:val="48C02266"/>
    <w:multiLevelType w:val="multilevel"/>
    <w:tmpl w:val="BDB20D9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4" w15:restartNumberingAfterBreak="0">
    <w:nsid w:val="4C2C09EF"/>
    <w:multiLevelType w:val="multilevel"/>
    <w:tmpl w:val="719246A0"/>
    <w:lvl w:ilvl="0">
      <w:start w:val="1"/>
      <w:numFmt w:val="decimal"/>
      <w:pStyle w:val="Nagwek3"/>
      <w:lvlText w:val="%1."/>
      <w:lvlJc w:val="left"/>
      <w:pPr>
        <w:ind w:left="-72" w:hanging="360"/>
      </w:pPr>
      <w:rPr>
        <w:rFonts w:cs="Times New Roman"/>
        <w:sz w:val="20"/>
      </w:rPr>
    </w:lvl>
    <w:lvl w:ilvl="1">
      <w:start w:val="1"/>
      <w:numFmt w:val="decimal"/>
      <w:pStyle w:val="Nagwek4"/>
      <w:lvlText w:val="%1.%2."/>
      <w:lvlJc w:val="left"/>
      <w:pPr>
        <w:tabs>
          <w:tab w:val="num" w:pos="360"/>
        </w:tabs>
        <w:ind w:left="360" w:hanging="432"/>
      </w:pPr>
      <w:rPr>
        <w:rFonts w:cs="Times New Roman"/>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4F330A87"/>
    <w:multiLevelType w:val="hybridMultilevel"/>
    <w:tmpl w:val="3D52DCB2"/>
    <w:lvl w:ilvl="0" w:tplc="5EE4C0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0DF364D"/>
    <w:multiLevelType w:val="multilevel"/>
    <w:tmpl w:val="A8BCBC5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7" w15:restartNumberingAfterBreak="0">
    <w:nsid w:val="538316E7"/>
    <w:multiLevelType w:val="hybridMultilevel"/>
    <w:tmpl w:val="AD040EC4"/>
    <w:lvl w:ilvl="0" w:tplc="5EE4C0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566D64E1"/>
    <w:multiLevelType w:val="hybridMultilevel"/>
    <w:tmpl w:val="9EB61598"/>
    <w:lvl w:ilvl="0" w:tplc="6548D2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9415175"/>
    <w:multiLevelType w:val="multilevel"/>
    <w:tmpl w:val="5D5895B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59B00832"/>
    <w:multiLevelType w:val="hybridMultilevel"/>
    <w:tmpl w:val="5C52259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122DA9"/>
    <w:multiLevelType w:val="multilevel"/>
    <w:tmpl w:val="EC3C7616"/>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2" w15:restartNumberingAfterBreak="0">
    <w:nsid w:val="5AF76D48"/>
    <w:multiLevelType w:val="multilevel"/>
    <w:tmpl w:val="5F9C719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3" w15:restartNumberingAfterBreak="0">
    <w:nsid w:val="5B4B1F9D"/>
    <w:multiLevelType w:val="hybridMultilevel"/>
    <w:tmpl w:val="FC4C80A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3D5D3A"/>
    <w:multiLevelType w:val="multilevel"/>
    <w:tmpl w:val="AAEEFE88"/>
    <w:lvl w:ilvl="0">
      <w:start w:val="1"/>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5" w15:restartNumberingAfterBreak="0">
    <w:nsid w:val="5C9E5F95"/>
    <w:multiLevelType w:val="multilevel"/>
    <w:tmpl w:val="465E0E16"/>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6" w15:restartNumberingAfterBreak="0">
    <w:nsid w:val="60F90DA3"/>
    <w:multiLevelType w:val="multilevel"/>
    <w:tmpl w:val="C2D4B1DA"/>
    <w:lvl w:ilvl="0">
      <w:start w:val="1"/>
      <w:numFmt w:val="decimal"/>
      <w:lvlText w:val="%1)"/>
      <w:lvlJc w:val="left"/>
      <w:pPr>
        <w:tabs>
          <w:tab w:val="num" w:pos="360"/>
        </w:tabs>
        <w:ind w:left="360" w:hanging="360"/>
      </w:pPr>
      <w:rPr>
        <w:rFonts w:eastAsia="Times New Roman" w:cs="Times New Roman"/>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7" w15:restartNumberingAfterBreak="0">
    <w:nsid w:val="62830087"/>
    <w:multiLevelType w:val="hybridMultilevel"/>
    <w:tmpl w:val="E2B4C9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59B35E1"/>
    <w:multiLevelType w:val="hybridMultilevel"/>
    <w:tmpl w:val="98129500"/>
    <w:lvl w:ilvl="0" w:tplc="5EE4C0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773E4A"/>
    <w:multiLevelType w:val="multilevel"/>
    <w:tmpl w:val="971458F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0" w15:restartNumberingAfterBreak="0">
    <w:nsid w:val="67452168"/>
    <w:multiLevelType w:val="hybridMultilevel"/>
    <w:tmpl w:val="8CD8D2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A45882"/>
    <w:multiLevelType w:val="hybridMultilevel"/>
    <w:tmpl w:val="74AA09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A76572"/>
    <w:multiLevelType w:val="multilevel"/>
    <w:tmpl w:val="25AC86E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3" w15:restartNumberingAfterBreak="0">
    <w:nsid w:val="739B6143"/>
    <w:multiLevelType w:val="multilevel"/>
    <w:tmpl w:val="01021D5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4" w15:restartNumberingAfterBreak="0">
    <w:nsid w:val="76195CB6"/>
    <w:multiLevelType w:val="hybridMultilevel"/>
    <w:tmpl w:val="16FE5E5C"/>
    <w:lvl w:ilvl="0" w:tplc="5EE4C0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78360CA9"/>
    <w:multiLevelType w:val="multilevel"/>
    <w:tmpl w:val="C0C6E7EA"/>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428"/>
        </w:tabs>
        <w:ind w:left="1428" w:hanging="360"/>
      </w:pPr>
      <w:rPr>
        <w:rFonts w:cs="Times New Roman"/>
      </w:rPr>
    </w:lvl>
    <w:lvl w:ilvl="2">
      <w:start w:val="1"/>
      <w:numFmt w:val="lowerRoman"/>
      <w:lvlText w:val="%3."/>
      <w:lvlJc w:val="right"/>
      <w:pPr>
        <w:tabs>
          <w:tab w:val="num" w:pos="2148"/>
        </w:tabs>
        <w:ind w:left="2148" w:hanging="180"/>
      </w:pPr>
      <w:rPr>
        <w:rFonts w:cs="Times New Roman"/>
      </w:rPr>
    </w:lvl>
    <w:lvl w:ilvl="3">
      <w:start w:val="1"/>
      <w:numFmt w:val="decimal"/>
      <w:lvlText w:val="%4."/>
      <w:lvlJc w:val="left"/>
      <w:pPr>
        <w:tabs>
          <w:tab w:val="num" w:pos="2868"/>
        </w:tabs>
        <w:ind w:left="2868" w:hanging="360"/>
      </w:pPr>
      <w:rPr>
        <w:rFonts w:cs="Times New Roman"/>
      </w:rPr>
    </w:lvl>
    <w:lvl w:ilvl="4">
      <w:start w:val="1"/>
      <w:numFmt w:val="lowerLetter"/>
      <w:lvlText w:val="%5."/>
      <w:lvlJc w:val="left"/>
      <w:pPr>
        <w:tabs>
          <w:tab w:val="num" w:pos="3588"/>
        </w:tabs>
        <w:ind w:left="3588" w:hanging="360"/>
      </w:pPr>
      <w:rPr>
        <w:rFonts w:cs="Times New Roman"/>
      </w:rPr>
    </w:lvl>
    <w:lvl w:ilvl="5">
      <w:start w:val="1"/>
      <w:numFmt w:val="lowerRoman"/>
      <w:lvlText w:val="%6."/>
      <w:lvlJc w:val="right"/>
      <w:pPr>
        <w:tabs>
          <w:tab w:val="num" w:pos="4308"/>
        </w:tabs>
        <w:ind w:left="4308" w:hanging="180"/>
      </w:pPr>
      <w:rPr>
        <w:rFonts w:cs="Times New Roman"/>
      </w:rPr>
    </w:lvl>
    <w:lvl w:ilvl="6">
      <w:start w:val="1"/>
      <w:numFmt w:val="decimal"/>
      <w:lvlText w:val="%7."/>
      <w:lvlJc w:val="left"/>
      <w:pPr>
        <w:tabs>
          <w:tab w:val="num" w:pos="5028"/>
        </w:tabs>
        <w:ind w:left="5028" w:hanging="360"/>
      </w:pPr>
      <w:rPr>
        <w:rFonts w:cs="Times New Roman"/>
      </w:rPr>
    </w:lvl>
    <w:lvl w:ilvl="7">
      <w:start w:val="1"/>
      <w:numFmt w:val="lowerLetter"/>
      <w:lvlText w:val="%8."/>
      <w:lvlJc w:val="left"/>
      <w:pPr>
        <w:tabs>
          <w:tab w:val="num" w:pos="5748"/>
        </w:tabs>
        <w:ind w:left="5748" w:hanging="360"/>
      </w:pPr>
      <w:rPr>
        <w:rFonts w:cs="Times New Roman"/>
      </w:rPr>
    </w:lvl>
    <w:lvl w:ilvl="8">
      <w:start w:val="1"/>
      <w:numFmt w:val="lowerRoman"/>
      <w:lvlText w:val="%9."/>
      <w:lvlJc w:val="right"/>
      <w:pPr>
        <w:tabs>
          <w:tab w:val="num" w:pos="6468"/>
        </w:tabs>
        <w:ind w:left="6468" w:hanging="180"/>
      </w:pPr>
      <w:rPr>
        <w:rFonts w:cs="Times New Roman"/>
      </w:rPr>
    </w:lvl>
  </w:abstractNum>
  <w:abstractNum w:abstractNumId="46" w15:restartNumberingAfterBreak="0">
    <w:nsid w:val="7A1546F0"/>
    <w:multiLevelType w:val="multilevel"/>
    <w:tmpl w:val="3448374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7" w15:restartNumberingAfterBreak="0">
    <w:nsid w:val="7D8116C0"/>
    <w:multiLevelType w:val="multilevel"/>
    <w:tmpl w:val="F01AA93A"/>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16cid:durableId="1530994287">
    <w:abstractNumId w:val="24"/>
  </w:num>
  <w:num w:numId="2" w16cid:durableId="402677332">
    <w:abstractNumId w:val="45"/>
  </w:num>
  <w:num w:numId="3" w16cid:durableId="206571792">
    <w:abstractNumId w:val="36"/>
  </w:num>
  <w:num w:numId="4" w16cid:durableId="1259632117">
    <w:abstractNumId w:val="16"/>
  </w:num>
  <w:num w:numId="5" w16cid:durableId="1974019249">
    <w:abstractNumId w:val="22"/>
  </w:num>
  <w:num w:numId="6" w16cid:durableId="1033068648">
    <w:abstractNumId w:val="47"/>
  </w:num>
  <w:num w:numId="7" w16cid:durableId="533612420">
    <w:abstractNumId w:val="35"/>
  </w:num>
  <w:num w:numId="8" w16cid:durableId="1264344698">
    <w:abstractNumId w:val="31"/>
  </w:num>
  <w:num w:numId="9" w16cid:durableId="1365251517">
    <w:abstractNumId w:val="34"/>
  </w:num>
  <w:num w:numId="10" w16cid:durableId="1057969345">
    <w:abstractNumId w:val="10"/>
  </w:num>
  <w:num w:numId="11" w16cid:durableId="294915065">
    <w:abstractNumId w:val="21"/>
  </w:num>
  <w:num w:numId="12" w16cid:durableId="1956786932">
    <w:abstractNumId w:val="19"/>
  </w:num>
  <w:num w:numId="13" w16cid:durableId="1467354448">
    <w:abstractNumId w:val="13"/>
  </w:num>
  <w:num w:numId="14" w16cid:durableId="381102358">
    <w:abstractNumId w:val="18"/>
  </w:num>
  <w:num w:numId="15" w16cid:durableId="1456948700">
    <w:abstractNumId w:val="32"/>
  </w:num>
  <w:num w:numId="16" w16cid:durableId="872302186">
    <w:abstractNumId w:val="23"/>
  </w:num>
  <w:num w:numId="17" w16cid:durableId="774862227">
    <w:abstractNumId w:val="1"/>
  </w:num>
  <w:num w:numId="18" w16cid:durableId="70008060">
    <w:abstractNumId w:val="43"/>
  </w:num>
  <w:num w:numId="19" w16cid:durableId="1873299975">
    <w:abstractNumId w:val="14"/>
  </w:num>
  <w:num w:numId="20" w16cid:durableId="1451121156">
    <w:abstractNumId w:val="3"/>
  </w:num>
  <w:num w:numId="21" w16cid:durableId="220142321">
    <w:abstractNumId w:val="46"/>
  </w:num>
  <w:num w:numId="22" w16cid:durableId="1129475732">
    <w:abstractNumId w:val="26"/>
  </w:num>
  <w:num w:numId="23" w16cid:durableId="656881143">
    <w:abstractNumId w:val="39"/>
  </w:num>
  <w:num w:numId="24" w16cid:durableId="392430397">
    <w:abstractNumId w:val="42"/>
  </w:num>
  <w:num w:numId="25" w16cid:durableId="1762487044">
    <w:abstractNumId w:val="4"/>
  </w:num>
  <w:num w:numId="26" w16cid:durableId="1348945932">
    <w:abstractNumId w:val="12"/>
  </w:num>
  <w:num w:numId="27" w16cid:durableId="1791776263">
    <w:abstractNumId w:val="29"/>
  </w:num>
  <w:num w:numId="28" w16cid:durableId="1674144159">
    <w:abstractNumId w:val="0"/>
  </w:num>
  <w:num w:numId="29" w16cid:durableId="1362589593">
    <w:abstractNumId w:val="11"/>
  </w:num>
  <w:num w:numId="30" w16cid:durableId="411778240">
    <w:abstractNumId w:val="6"/>
  </w:num>
  <w:num w:numId="31" w16cid:durableId="1338578969">
    <w:abstractNumId w:val="37"/>
  </w:num>
  <w:num w:numId="32" w16cid:durableId="6425856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2265309">
    <w:abstractNumId w:val="17"/>
  </w:num>
  <w:num w:numId="34" w16cid:durableId="271204697">
    <w:abstractNumId w:val="33"/>
  </w:num>
  <w:num w:numId="35" w16cid:durableId="580604390">
    <w:abstractNumId w:val="28"/>
  </w:num>
  <w:num w:numId="36" w16cid:durableId="1672679147">
    <w:abstractNumId w:val="5"/>
  </w:num>
  <w:num w:numId="37" w16cid:durableId="239218104">
    <w:abstractNumId w:val="30"/>
  </w:num>
  <w:num w:numId="38" w16cid:durableId="1107308864">
    <w:abstractNumId w:val="40"/>
  </w:num>
  <w:num w:numId="39" w16cid:durableId="2088377299">
    <w:abstractNumId w:val="2"/>
  </w:num>
  <w:num w:numId="40" w16cid:durableId="707679520">
    <w:abstractNumId w:val="41"/>
  </w:num>
  <w:num w:numId="41" w16cid:durableId="607009328">
    <w:abstractNumId w:val="44"/>
  </w:num>
  <w:num w:numId="42" w16cid:durableId="647520409">
    <w:abstractNumId w:val="25"/>
  </w:num>
  <w:num w:numId="43" w16cid:durableId="1723867990">
    <w:abstractNumId w:val="15"/>
  </w:num>
  <w:num w:numId="44" w16cid:durableId="1205370851">
    <w:abstractNumId w:val="9"/>
  </w:num>
  <w:num w:numId="45" w16cid:durableId="1746872611">
    <w:abstractNumId w:val="7"/>
  </w:num>
  <w:num w:numId="46" w16cid:durableId="2033459846">
    <w:abstractNumId w:val="8"/>
  </w:num>
  <w:num w:numId="47" w16cid:durableId="511725328">
    <w:abstractNumId w:val="27"/>
  </w:num>
  <w:num w:numId="48" w16cid:durableId="984237029">
    <w:abstractNumId w:val="38"/>
  </w:num>
  <w:num w:numId="49" w16cid:durableId="427699451">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68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46"/>
    <w:rsid w:val="00000CDD"/>
    <w:rsid w:val="00000E22"/>
    <w:rsid w:val="000016AE"/>
    <w:rsid w:val="00002A0D"/>
    <w:rsid w:val="00002AC0"/>
    <w:rsid w:val="00002B8D"/>
    <w:rsid w:val="00002C78"/>
    <w:rsid w:val="00003503"/>
    <w:rsid w:val="00003711"/>
    <w:rsid w:val="00004427"/>
    <w:rsid w:val="0000472F"/>
    <w:rsid w:val="000048ED"/>
    <w:rsid w:val="00004A13"/>
    <w:rsid w:val="000052CF"/>
    <w:rsid w:val="00005310"/>
    <w:rsid w:val="0000542F"/>
    <w:rsid w:val="00005F79"/>
    <w:rsid w:val="000079E5"/>
    <w:rsid w:val="00007B31"/>
    <w:rsid w:val="00007CA7"/>
    <w:rsid w:val="0001205D"/>
    <w:rsid w:val="000123AA"/>
    <w:rsid w:val="0001263E"/>
    <w:rsid w:val="000137AB"/>
    <w:rsid w:val="00013F02"/>
    <w:rsid w:val="00014E3A"/>
    <w:rsid w:val="000157FA"/>
    <w:rsid w:val="00016BB0"/>
    <w:rsid w:val="00017858"/>
    <w:rsid w:val="00017A7A"/>
    <w:rsid w:val="000201A1"/>
    <w:rsid w:val="00020969"/>
    <w:rsid w:val="00021416"/>
    <w:rsid w:val="0002210C"/>
    <w:rsid w:val="0002241C"/>
    <w:rsid w:val="000233F1"/>
    <w:rsid w:val="0002472D"/>
    <w:rsid w:val="0002522B"/>
    <w:rsid w:val="00025BD5"/>
    <w:rsid w:val="00026868"/>
    <w:rsid w:val="00026DFE"/>
    <w:rsid w:val="000271E2"/>
    <w:rsid w:val="0002775D"/>
    <w:rsid w:val="00027EA4"/>
    <w:rsid w:val="00030896"/>
    <w:rsid w:val="000315E7"/>
    <w:rsid w:val="0003253D"/>
    <w:rsid w:val="000325DB"/>
    <w:rsid w:val="000326BC"/>
    <w:rsid w:val="00032B29"/>
    <w:rsid w:val="00032FAC"/>
    <w:rsid w:val="000331F6"/>
    <w:rsid w:val="00033303"/>
    <w:rsid w:val="00033732"/>
    <w:rsid w:val="0003479C"/>
    <w:rsid w:val="00036481"/>
    <w:rsid w:val="000431B7"/>
    <w:rsid w:val="0004323D"/>
    <w:rsid w:val="00043919"/>
    <w:rsid w:val="00043DFB"/>
    <w:rsid w:val="00044BEA"/>
    <w:rsid w:val="0004504F"/>
    <w:rsid w:val="000463B0"/>
    <w:rsid w:val="000468A8"/>
    <w:rsid w:val="000478CF"/>
    <w:rsid w:val="00047DAD"/>
    <w:rsid w:val="000503DA"/>
    <w:rsid w:val="0005041A"/>
    <w:rsid w:val="00050D25"/>
    <w:rsid w:val="0005222E"/>
    <w:rsid w:val="0005234B"/>
    <w:rsid w:val="00052F4D"/>
    <w:rsid w:val="00053347"/>
    <w:rsid w:val="0005574A"/>
    <w:rsid w:val="0005629A"/>
    <w:rsid w:val="00056467"/>
    <w:rsid w:val="00056846"/>
    <w:rsid w:val="000570C1"/>
    <w:rsid w:val="00062637"/>
    <w:rsid w:val="00062E2B"/>
    <w:rsid w:val="00063842"/>
    <w:rsid w:val="000667BF"/>
    <w:rsid w:val="000675A0"/>
    <w:rsid w:val="0006766A"/>
    <w:rsid w:val="0006773E"/>
    <w:rsid w:val="00070C65"/>
    <w:rsid w:val="000712D7"/>
    <w:rsid w:val="0007171E"/>
    <w:rsid w:val="00072A46"/>
    <w:rsid w:val="00073D18"/>
    <w:rsid w:val="0007438F"/>
    <w:rsid w:val="00074CCE"/>
    <w:rsid w:val="00074D76"/>
    <w:rsid w:val="00075309"/>
    <w:rsid w:val="00076DC9"/>
    <w:rsid w:val="000779DC"/>
    <w:rsid w:val="00080FA9"/>
    <w:rsid w:val="000822BD"/>
    <w:rsid w:val="00083525"/>
    <w:rsid w:val="00084BE8"/>
    <w:rsid w:val="0008544B"/>
    <w:rsid w:val="00085EB1"/>
    <w:rsid w:val="00085EC2"/>
    <w:rsid w:val="000864EE"/>
    <w:rsid w:val="0008768B"/>
    <w:rsid w:val="000907AA"/>
    <w:rsid w:val="000907FF"/>
    <w:rsid w:val="00091B33"/>
    <w:rsid w:val="00091BC6"/>
    <w:rsid w:val="00092B32"/>
    <w:rsid w:val="00093577"/>
    <w:rsid w:val="000936BA"/>
    <w:rsid w:val="00093868"/>
    <w:rsid w:val="0009423F"/>
    <w:rsid w:val="00096902"/>
    <w:rsid w:val="0009751D"/>
    <w:rsid w:val="000A07D5"/>
    <w:rsid w:val="000A0A6E"/>
    <w:rsid w:val="000A0EA1"/>
    <w:rsid w:val="000A0EEF"/>
    <w:rsid w:val="000A166E"/>
    <w:rsid w:val="000A19E3"/>
    <w:rsid w:val="000A425F"/>
    <w:rsid w:val="000A4AA1"/>
    <w:rsid w:val="000A50AF"/>
    <w:rsid w:val="000A6396"/>
    <w:rsid w:val="000B071C"/>
    <w:rsid w:val="000B1FE8"/>
    <w:rsid w:val="000B229F"/>
    <w:rsid w:val="000B36AB"/>
    <w:rsid w:val="000B3B92"/>
    <w:rsid w:val="000B3CD8"/>
    <w:rsid w:val="000B4C2B"/>
    <w:rsid w:val="000B5070"/>
    <w:rsid w:val="000B55BE"/>
    <w:rsid w:val="000B68CF"/>
    <w:rsid w:val="000B690C"/>
    <w:rsid w:val="000B6B56"/>
    <w:rsid w:val="000B7589"/>
    <w:rsid w:val="000B7C34"/>
    <w:rsid w:val="000C04FF"/>
    <w:rsid w:val="000C10C6"/>
    <w:rsid w:val="000C2711"/>
    <w:rsid w:val="000C3563"/>
    <w:rsid w:val="000C3877"/>
    <w:rsid w:val="000C3B88"/>
    <w:rsid w:val="000C3BA1"/>
    <w:rsid w:val="000C4274"/>
    <w:rsid w:val="000C4A21"/>
    <w:rsid w:val="000C53C7"/>
    <w:rsid w:val="000C5497"/>
    <w:rsid w:val="000C6151"/>
    <w:rsid w:val="000C7588"/>
    <w:rsid w:val="000D067B"/>
    <w:rsid w:val="000D2E11"/>
    <w:rsid w:val="000D3601"/>
    <w:rsid w:val="000D3BB0"/>
    <w:rsid w:val="000D465C"/>
    <w:rsid w:val="000D5CB7"/>
    <w:rsid w:val="000E0C15"/>
    <w:rsid w:val="000E172B"/>
    <w:rsid w:val="000E28C9"/>
    <w:rsid w:val="000E3F45"/>
    <w:rsid w:val="000E409C"/>
    <w:rsid w:val="000E4336"/>
    <w:rsid w:val="000E44E2"/>
    <w:rsid w:val="000E4710"/>
    <w:rsid w:val="000E4AC0"/>
    <w:rsid w:val="000E524E"/>
    <w:rsid w:val="000E5C3A"/>
    <w:rsid w:val="000E659E"/>
    <w:rsid w:val="000E6698"/>
    <w:rsid w:val="000E710C"/>
    <w:rsid w:val="000E7F04"/>
    <w:rsid w:val="000F0230"/>
    <w:rsid w:val="000F05E7"/>
    <w:rsid w:val="000F2310"/>
    <w:rsid w:val="000F242E"/>
    <w:rsid w:val="000F363A"/>
    <w:rsid w:val="000F44D8"/>
    <w:rsid w:val="000F4A82"/>
    <w:rsid w:val="000F4B47"/>
    <w:rsid w:val="000F6AD2"/>
    <w:rsid w:val="000F763A"/>
    <w:rsid w:val="000F76EF"/>
    <w:rsid w:val="00101105"/>
    <w:rsid w:val="00101AE1"/>
    <w:rsid w:val="00101B45"/>
    <w:rsid w:val="00102197"/>
    <w:rsid w:val="001028C1"/>
    <w:rsid w:val="0010320F"/>
    <w:rsid w:val="00105402"/>
    <w:rsid w:val="001055D9"/>
    <w:rsid w:val="0010642B"/>
    <w:rsid w:val="001065CB"/>
    <w:rsid w:val="00106891"/>
    <w:rsid w:val="001072D1"/>
    <w:rsid w:val="0011087A"/>
    <w:rsid w:val="00111683"/>
    <w:rsid w:val="00111B5F"/>
    <w:rsid w:val="0011257F"/>
    <w:rsid w:val="00114188"/>
    <w:rsid w:val="001142EA"/>
    <w:rsid w:val="0011487A"/>
    <w:rsid w:val="00114D52"/>
    <w:rsid w:val="001150A3"/>
    <w:rsid w:val="001152D5"/>
    <w:rsid w:val="00115335"/>
    <w:rsid w:val="001158F0"/>
    <w:rsid w:val="00115B42"/>
    <w:rsid w:val="00117951"/>
    <w:rsid w:val="00117CF5"/>
    <w:rsid w:val="00117FAB"/>
    <w:rsid w:val="00120461"/>
    <w:rsid w:val="00120D90"/>
    <w:rsid w:val="001212E1"/>
    <w:rsid w:val="001228E1"/>
    <w:rsid w:val="00122D8C"/>
    <w:rsid w:val="00123162"/>
    <w:rsid w:val="00123CF4"/>
    <w:rsid w:val="00124447"/>
    <w:rsid w:val="0012531A"/>
    <w:rsid w:val="001257C5"/>
    <w:rsid w:val="00126273"/>
    <w:rsid w:val="00126AC2"/>
    <w:rsid w:val="001306FB"/>
    <w:rsid w:val="00131BFD"/>
    <w:rsid w:val="0013228F"/>
    <w:rsid w:val="001329E8"/>
    <w:rsid w:val="00132FC1"/>
    <w:rsid w:val="001332F5"/>
    <w:rsid w:val="001339A8"/>
    <w:rsid w:val="00134609"/>
    <w:rsid w:val="00134E39"/>
    <w:rsid w:val="001352DF"/>
    <w:rsid w:val="00136087"/>
    <w:rsid w:val="0013641B"/>
    <w:rsid w:val="0013652F"/>
    <w:rsid w:val="0013710C"/>
    <w:rsid w:val="00137331"/>
    <w:rsid w:val="00140D7F"/>
    <w:rsid w:val="00141F8E"/>
    <w:rsid w:val="00142807"/>
    <w:rsid w:val="0014295D"/>
    <w:rsid w:val="0014322C"/>
    <w:rsid w:val="0014429F"/>
    <w:rsid w:val="00144EB7"/>
    <w:rsid w:val="00150B5A"/>
    <w:rsid w:val="00152B42"/>
    <w:rsid w:val="00152D30"/>
    <w:rsid w:val="00153BED"/>
    <w:rsid w:val="00153F07"/>
    <w:rsid w:val="00155A55"/>
    <w:rsid w:val="00155FB6"/>
    <w:rsid w:val="00156128"/>
    <w:rsid w:val="00156CB7"/>
    <w:rsid w:val="00156DCC"/>
    <w:rsid w:val="001570A5"/>
    <w:rsid w:val="00157B42"/>
    <w:rsid w:val="00157D71"/>
    <w:rsid w:val="0016056E"/>
    <w:rsid w:val="00160D80"/>
    <w:rsid w:val="0016145F"/>
    <w:rsid w:val="00162AA0"/>
    <w:rsid w:val="00163D0C"/>
    <w:rsid w:val="001647A8"/>
    <w:rsid w:val="00164E4D"/>
    <w:rsid w:val="00164F4D"/>
    <w:rsid w:val="00165354"/>
    <w:rsid w:val="00165778"/>
    <w:rsid w:val="001666CE"/>
    <w:rsid w:val="00167372"/>
    <w:rsid w:val="001676D9"/>
    <w:rsid w:val="00170090"/>
    <w:rsid w:val="00170ED8"/>
    <w:rsid w:val="00171656"/>
    <w:rsid w:val="0017184B"/>
    <w:rsid w:val="001728C0"/>
    <w:rsid w:val="00173F41"/>
    <w:rsid w:val="00174906"/>
    <w:rsid w:val="00175A6C"/>
    <w:rsid w:val="001760D9"/>
    <w:rsid w:val="00177207"/>
    <w:rsid w:val="0017784B"/>
    <w:rsid w:val="00177FBF"/>
    <w:rsid w:val="00180937"/>
    <w:rsid w:val="00181C94"/>
    <w:rsid w:val="001831F3"/>
    <w:rsid w:val="001837AA"/>
    <w:rsid w:val="0018569E"/>
    <w:rsid w:val="0018664E"/>
    <w:rsid w:val="00186D59"/>
    <w:rsid w:val="00187B7A"/>
    <w:rsid w:val="0019076D"/>
    <w:rsid w:val="00191E0F"/>
    <w:rsid w:val="0019255B"/>
    <w:rsid w:val="00193D74"/>
    <w:rsid w:val="00194524"/>
    <w:rsid w:val="00194986"/>
    <w:rsid w:val="00194DBF"/>
    <w:rsid w:val="001953B3"/>
    <w:rsid w:val="00195A30"/>
    <w:rsid w:val="00195A97"/>
    <w:rsid w:val="00196657"/>
    <w:rsid w:val="001975C1"/>
    <w:rsid w:val="00197E60"/>
    <w:rsid w:val="001A147E"/>
    <w:rsid w:val="001A1C34"/>
    <w:rsid w:val="001A27B1"/>
    <w:rsid w:val="001A2A6D"/>
    <w:rsid w:val="001A314E"/>
    <w:rsid w:val="001A3FD4"/>
    <w:rsid w:val="001A52DF"/>
    <w:rsid w:val="001A6BB6"/>
    <w:rsid w:val="001B011D"/>
    <w:rsid w:val="001B1C53"/>
    <w:rsid w:val="001B1D12"/>
    <w:rsid w:val="001B1E76"/>
    <w:rsid w:val="001B204D"/>
    <w:rsid w:val="001B359F"/>
    <w:rsid w:val="001B4131"/>
    <w:rsid w:val="001B4C76"/>
    <w:rsid w:val="001B5068"/>
    <w:rsid w:val="001B52B0"/>
    <w:rsid w:val="001B67C1"/>
    <w:rsid w:val="001C01C5"/>
    <w:rsid w:val="001C093C"/>
    <w:rsid w:val="001C18BB"/>
    <w:rsid w:val="001C1EE5"/>
    <w:rsid w:val="001C22B9"/>
    <w:rsid w:val="001C2794"/>
    <w:rsid w:val="001C2B31"/>
    <w:rsid w:val="001C4522"/>
    <w:rsid w:val="001C5EFD"/>
    <w:rsid w:val="001C66A7"/>
    <w:rsid w:val="001C7032"/>
    <w:rsid w:val="001C76AC"/>
    <w:rsid w:val="001C7825"/>
    <w:rsid w:val="001D0A01"/>
    <w:rsid w:val="001D3A19"/>
    <w:rsid w:val="001D4090"/>
    <w:rsid w:val="001D5398"/>
    <w:rsid w:val="001D5CF1"/>
    <w:rsid w:val="001D61E8"/>
    <w:rsid w:val="001D69F2"/>
    <w:rsid w:val="001D78EA"/>
    <w:rsid w:val="001D7D7D"/>
    <w:rsid w:val="001E0C3B"/>
    <w:rsid w:val="001E2906"/>
    <w:rsid w:val="001E3A21"/>
    <w:rsid w:val="001E50D5"/>
    <w:rsid w:val="001E549A"/>
    <w:rsid w:val="001E5D83"/>
    <w:rsid w:val="001E7365"/>
    <w:rsid w:val="001E75A3"/>
    <w:rsid w:val="001F0DB0"/>
    <w:rsid w:val="001F144E"/>
    <w:rsid w:val="001F202E"/>
    <w:rsid w:val="001F2797"/>
    <w:rsid w:val="001F2799"/>
    <w:rsid w:val="001F28F9"/>
    <w:rsid w:val="001F2C6A"/>
    <w:rsid w:val="001F41B3"/>
    <w:rsid w:val="001F4DC2"/>
    <w:rsid w:val="001F597C"/>
    <w:rsid w:val="001F68CE"/>
    <w:rsid w:val="001F7598"/>
    <w:rsid w:val="001F76D2"/>
    <w:rsid w:val="0020084E"/>
    <w:rsid w:val="002014E3"/>
    <w:rsid w:val="002026A3"/>
    <w:rsid w:val="002028DB"/>
    <w:rsid w:val="00202C77"/>
    <w:rsid w:val="00203E7B"/>
    <w:rsid w:val="002052E7"/>
    <w:rsid w:val="00206023"/>
    <w:rsid w:val="00206324"/>
    <w:rsid w:val="00207A5D"/>
    <w:rsid w:val="0021025C"/>
    <w:rsid w:val="002102D8"/>
    <w:rsid w:val="00210D38"/>
    <w:rsid w:val="00210F38"/>
    <w:rsid w:val="0021132C"/>
    <w:rsid w:val="002149F4"/>
    <w:rsid w:val="0021651B"/>
    <w:rsid w:val="00216FEF"/>
    <w:rsid w:val="00217DEF"/>
    <w:rsid w:val="00217E15"/>
    <w:rsid w:val="00217EB4"/>
    <w:rsid w:val="00220800"/>
    <w:rsid w:val="00221B6E"/>
    <w:rsid w:val="00222502"/>
    <w:rsid w:val="0022277D"/>
    <w:rsid w:val="002228E3"/>
    <w:rsid w:val="00222A1A"/>
    <w:rsid w:val="00222D34"/>
    <w:rsid w:val="00224183"/>
    <w:rsid w:val="002248E0"/>
    <w:rsid w:val="00224C0C"/>
    <w:rsid w:val="00224F7C"/>
    <w:rsid w:val="00224FC6"/>
    <w:rsid w:val="0022624E"/>
    <w:rsid w:val="00226753"/>
    <w:rsid w:val="0022738E"/>
    <w:rsid w:val="0023005C"/>
    <w:rsid w:val="002305BD"/>
    <w:rsid w:val="002309F8"/>
    <w:rsid w:val="002317DA"/>
    <w:rsid w:val="0023184B"/>
    <w:rsid w:val="00231D7E"/>
    <w:rsid w:val="0023200B"/>
    <w:rsid w:val="00232B0E"/>
    <w:rsid w:val="002331DE"/>
    <w:rsid w:val="00233466"/>
    <w:rsid w:val="00233F96"/>
    <w:rsid w:val="002342B3"/>
    <w:rsid w:val="00235166"/>
    <w:rsid w:val="00235EB7"/>
    <w:rsid w:val="0023710E"/>
    <w:rsid w:val="002408E6"/>
    <w:rsid w:val="00243DB4"/>
    <w:rsid w:val="00244888"/>
    <w:rsid w:val="002453BD"/>
    <w:rsid w:val="002453F9"/>
    <w:rsid w:val="00245E4A"/>
    <w:rsid w:val="00246488"/>
    <w:rsid w:val="002467C9"/>
    <w:rsid w:val="00247414"/>
    <w:rsid w:val="002475B5"/>
    <w:rsid w:val="002477BC"/>
    <w:rsid w:val="00251DFB"/>
    <w:rsid w:val="002520BA"/>
    <w:rsid w:val="00253128"/>
    <w:rsid w:val="0025330C"/>
    <w:rsid w:val="00253AD3"/>
    <w:rsid w:val="002540AD"/>
    <w:rsid w:val="00256920"/>
    <w:rsid w:val="0025709A"/>
    <w:rsid w:val="0026154C"/>
    <w:rsid w:val="002619E5"/>
    <w:rsid w:val="00261EE7"/>
    <w:rsid w:val="00263E48"/>
    <w:rsid w:val="002659B9"/>
    <w:rsid w:val="00265B86"/>
    <w:rsid w:val="002669F0"/>
    <w:rsid w:val="00266FEA"/>
    <w:rsid w:val="002670C8"/>
    <w:rsid w:val="00270191"/>
    <w:rsid w:val="0027124C"/>
    <w:rsid w:val="00272340"/>
    <w:rsid w:val="00274A8C"/>
    <w:rsid w:val="00274EA5"/>
    <w:rsid w:val="00274FE8"/>
    <w:rsid w:val="0027506B"/>
    <w:rsid w:val="0027553C"/>
    <w:rsid w:val="00276A76"/>
    <w:rsid w:val="00277306"/>
    <w:rsid w:val="00281A9F"/>
    <w:rsid w:val="002830F8"/>
    <w:rsid w:val="0028310D"/>
    <w:rsid w:val="002845BF"/>
    <w:rsid w:val="00285B2B"/>
    <w:rsid w:val="00285E71"/>
    <w:rsid w:val="00286EF5"/>
    <w:rsid w:val="002905CE"/>
    <w:rsid w:val="0029156A"/>
    <w:rsid w:val="002916CB"/>
    <w:rsid w:val="002918E0"/>
    <w:rsid w:val="00291A92"/>
    <w:rsid w:val="002952AD"/>
    <w:rsid w:val="00295467"/>
    <w:rsid w:val="002961B7"/>
    <w:rsid w:val="00296ABE"/>
    <w:rsid w:val="00297B50"/>
    <w:rsid w:val="00297C10"/>
    <w:rsid w:val="002A0142"/>
    <w:rsid w:val="002A0788"/>
    <w:rsid w:val="002A0A71"/>
    <w:rsid w:val="002A0C0B"/>
    <w:rsid w:val="002A2CFC"/>
    <w:rsid w:val="002A3066"/>
    <w:rsid w:val="002A324C"/>
    <w:rsid w:val="002A331E"/>
    <w:rsid w:val="002A4217"/>
    <w:rsid w:val="002A4B0A"/>
    <w:rsid w:val="002A4D85"/>
    <w:rsid w:val="002A54D6"/>
    <w:rsid w:val="002A5DD1"/>
    <w:rsid w:val="002A6197"/>
    <w:rsid w:val="002A6741"/>
    <w:rsid w:val="002A7E51"/>
    <w:rsid w:val="002B178E"/>
    <w:rsid w:val="002B1A37"/>
    <w:rsid w:val="002B2514"/>
    <w:rsid w:val="002B3EF9"/>
    <w:rsid w:val="002B3EFF"/>
    <w:rsid w:val="002B4C45"/>
    <w:rsid w:val="002B60CF"/>
    <w:rsid w:val="002B6DFD"/>
    <w:rsid w:val="002B7B8B"/>
    <w:rsid w:val="002B7C96"/>
    <w:rsid w:val="002C068B"/>
    <w:rsid w:val="002C0A38"/>
    <w:rsid w:val="002C0F82"/>
    <w:rsid w:val="002C15A9"/>
    <w:rsid w:val="002C1980"/>
    <w:rsid w:val="002C2375"/>
    <w:rsid w:val="002C2535"/>
    <w:rsid w:val="002C282B"/>
    <w:rsid w:val="002C3DD4"/>
    <w:rsid w:val="002C451D"/>
    <w:rsid w:val="002C4D7D"/>
    <w:rsid w:val="002C4E22"/>
    <w:rsid w:val="002C4FB4"/>
    <w:rsid w:val="002C52C6"/>
    <w:rsid w:val="002C7FDF"/>
    <w:rsid w:val="002D3038"/>
    <w:rsid w:val="002D3CB1"/>
    <w:rsid w:val="002D45CF"/>
    <w:rsid w:val="002D491C"/>
    <w:rsid w:val="002D7B11"/>
    <w:rsid w:val="002D7DD2"/>
    <w:rsid w:val="002E01A7"/>
    <w:rsid w:val="002E0D80"/>
    <w:rsid w:val="002E12BC"/>
    <w:rsid w:val="002E1745"/>
    <w:rsid w:val="002E184D"/>
    <w:rsid w:val="002E1B89"/>
    <w:rsid w:val="002E3B7F"/>
    <w:rsid w:val="002E51A8"/>
    <w:rsid w:val="002E5370"/>
    <w:rsid w:val="002E626F"/>
    <w:rsid w:val="002E6742"/>
    <w:rsid w:val="002E740C"/>
    <w:rsid w:val="002E7FFA"/>
    <w:rsid w:val="002F12D8"/>
    <w:rsid w:val="002F13C8"/>
    <w:rsid w:val="002F2B00"/>
    <w:rsid w:val="002F3169"/>
    <w:rsid w:val="002F489B"/>
    <w:rsid w:val="002F4A33"/>
    <w:rsid w:val="002F5377"/>
    <w:rsid w:val="002F57B4"/>
    <w:rsid w:val="002F6111"/>
    <w:rsid w:val="002F61E4"/>
    <w:rsid w:val="002F734A"/>
    <w:rsid w:val="0030148F"/>
    <w:rsid w:val="003015AE"/>
    <w:rsid w:val="00303714"/>
    <w:rsid w:val="0030409F"/>
    <w:rsid w:val="003054D1"/>
    <w:rsid w:val="003063CD"/>
    <w:rsid w:val="00306430"/>
    <w:rsid w:val="00306C52"/>
    <w:rsid w:val="00306E23"/>
    <w:rsid w:val="00307DBA"/>
    <w:rsid w:val="00307F91"/>
    <w:rsid w:val="00311983"/>
    <w:rsid w:val="0031319C"/>
    <w:rsid w:val="00313B72"/>
    <w:rsid w:val="00314F75"/>
    <w:rsid w:val="00315404"/>
    <w:rsid w:val="00315A70"/>
    <w:rsid w:val="00316F8C"/>
    <w:rsid w:val="003179CD"/>
    <w:rsid w:val="00317CAE"/>
    <w:rsid w:val="00320FA4"/>
    <w:rsid w:val="00321C09"/>
    <w:rsid w:val="003225E4"/>
    <w:rsid w:val="0032272E"/>
    <w:rsid w:val="00322A07"/>
    <w:rsid w:val="00322B88"/>
    <w:rsid w:val="00322CFC"/>
    <w:rsid w:val="00323104"/>
    <w:rsid w:val="00323B8F"/>
    <w:rsid w:val="0032448A"/>
    <w:rsid w:val="003312EF"/>
    <w:rsid w:val="003313B1"/>
    <w:rsid w:val="00331758"/>
    <w:rsid w:val="00331CC5"/>
    <w:rsid w:val="00332C6D"/>
    <w:rsid w:val="003336B4"/>
    <w:rsid w:val="00334F22"/>
    <w:rsid w:val="00335A02"/>
    <w:rsid w:val="003362B3"/>
    <w:rsid w:val="00336C50"/>
    <w:rsid w:val="003371D9"/>
    <w:rsid w:val="0033725E"/>
    <w:rsid w:val="00337682"/>
    <w:rsid w:val="00340372"/>
    <w:rsid w:val="00341897"/>
    <w:rsid w:val="00341900"/>
    <w:rsid w:val="00342A8B"/>
    <w:rsid w:val="00342F17"/>
    <w:rsid w:val="00343C67"/>
    <w:rsid w:val="00343C7A"/>
    <w:rsid w:val="00344471"/>
    <w:rsid w:val="00344D69"/>
    <w:rsid w:val="003450B6"/>
    <w:rsid w:val="003465E3"/>
    <w:rsid w:val="003467FD"/>
    <w:rsid w:val="00347710"/>
    <w:rsid w:val="003507CE"/>
    <w:rsid w:val="00351FA2"/>
    <w:rsid w:val="00352091"/>
    <w:rsid w:val="00352EDD"/>
    <w:rsid w:val="00354E55"/>
    <w:rsid w:val="00355B98"/>
    <w:rsid w:val="00355CE6"/>
    <w:rsid w:val="0035649C"/>
    <w:rsid w:val="00357629"/>
    <w:rsid w:val="00357956"/>
    <w:rsid w:val="00357E50"/>
    <w:rsid w:val="00361197"/>
    <w:rsid w:val="003614DA"/>
    <w:rsid w:val="00362E8C"/>
    <w:rsid w:val="003632F3"/>
    <w:rsid w:val="00364344"/>
    <w:rsid w:val="00364634"/>
    <w:rsid w:val="00366515"/>
    <w:rsid w:val="00370932"/>
    <w:rsid w:val="00371BF2"/>
    <w:rsid w:val="00373590"/>
    <w:rsid w:val="003736FE"/>
    <w:rsid w:val="00373ADC"/>
    <w:rsid w:val="00374B97"/>
    <w:rsid w:val="00374EF1"/>
    <w:rsid w:val="0037569C"/>
    <w:rsid w:val="003756A2"/>
    <w:rsid w:val="00375D07"/>
    <w:rsid w:val="00377F95"/>
    <w:rsid w:val="003800F1"/>
    <w:rsid w:val="0038098C"/>
    <w:rsid w:val="003819EA"/>
    <w:rsid w:val="00382079"/>
    <w:rsid w:val="0038236F"/>
    <w:rsid w:val="00384394"/>
    <w:rsid w:val="00384522"/>
    <w:rsid w:val="0038498D"/>
    <w:rsid w:val="00384FC3"/>
    <w:rsid w:val="00386294"/>
    <w:rsid w:val="003878B4"/>
    <w:rsid w:val="00390810"/>
    <w:rsid w:val="00390DBD"/>
    <w:rsid w:val="0039131F"/>
    <w:rsid w:val="00391EED"/>
    <w:rsid w:val="003920A7"/>
    <w:rsid w:val="0039259C"/>
    <w:rsid w:val="0039478A"/>
    <w:rsid w:val="00394915"/>
    <w:rsid w:val="00394EC7"/>
    <w:rsid w:val="00394F20"/>
    <w:rsid w:val="003959C3"/>
    <w:rsid w:val="0039644C"/>
    <w:rsid w:val="003973B1"/>
    <w:rsid w:val="00397952"/>
    <w:rsid w:val="00397A7C"/>
    <w:rsid w:val="003A0A04"/>
    <w:rsid w:val="003A0A06"/>
    <w:rsid w:val="003A0A0D"/>
    <w:rsid w:val="003A0BD7"/>
    <w:rsid w:val="003A1E09"/>
    <w:rsid w:val="003A1F25"/>
    <w:rsid w:val="003A21D7"/>
    <w:rsid w:val="003A22B3"/>
    <w:rsid w:val="003A4437"/>
    <w:rsid w:val="003A6096"/>
    <w:rsid w:val="003A6AB4"/>
    <w:rsid w:val="003A6F66"/>
    <w:rsid w:val="003A763B"/>
    <w:rsid w:val="003A7738"/>
    <w:rsid w:val="003A78F6"/>
    <w:rsid w:val="003B1641"/>
    <w:rsid w:val="003B2B48"/>
    <w:rsid w:val="003B2DB8"/>
    <w:rsid w:val="003B2F3D"/>
    <w:rsid w:val="003B34EE"/>
    <w:rsid w:val="003B4871"/>
    <w:rsid w:val="003B4BDC"/>
    <w:rsid w:val="003B5B9E"/>
    <w:rsid w:val="003B7878"/>
    <w:rsid w:val="003C08B5"/>
    <w:rsid w:val="003C1FB0"/>
    <w:rsid w:val="003C28C2"/>
    <w:rsid w:val="003C2D51"/>
    <w:rsid w:val="003C2DAF"/>
    <w:rsid w:val="003C3ED9"/>
    <w:rsid w:val="003C4392"/>
    <w:rsid w:val="003C4929"/>
    <w:rsid w:val="003C4AFB"/>
    <w:rsid w:val="003C705E"/>
    <w:rsid w:val="003C70A5"/>
    <w:rsid w:val="003C7321"/>
    <w:rsid w:val="003C73F7"/>
    <w:rsid w:val="003D00DD"/>
    <w:rsid w:val="003D0E5C"/>
    <w:rsid w:val="003D1152"/>
    <w:rsid w:val="003D11BC"/>
    <w:rsid w:val="003D187F"/>
    <w:rsid w:val="003D3A0B"/>
    <w:rsid w:val="003D4396"/>
    <w:rsid w:val="003D4CAC"/>
    <w:rsid w:val="003D515C"/>
    <w:rsid w:val="003D6052"/>
    <w:rsid w:val="003D7134"/>
    <w:rsid w:val="003D74DD"/>
    <w:rsid w:val="003E0CEB"/>
    <w:rsid w:val="003E177F"/>
    <w:rsid w:val="003E2012"/>
    <w:rsid w:val="003E233E"/>
    <w:rsid w:val="003E2C6D"/>
    <w:rsid w:val="003E2E33"/>
    <w:rsid w:val="003E2E78"/>
    <w:rsid w:val="003E6281"/>
    <w:rsid w:val="003E6F9B"/>
    <w:rsid w:val="003E72B5"/>
    <w:rsid w:val="003E7555"/>
    <w:rsid w:val="003E7DE0"/>
    <w:rsid w:val="003F1C6A"/>
    <w:rsid w:val="003F33CD"/>
    <w:rsid w:val="003F3570"/>
    <w:rsid w:val="003F41AA"/>
    <w:rsid w:val="003F4DF6"/>
    <w:rsid w:val="003F59C1"/>
    <w:rsid w:val="003F5A29"/>
    <w:rsid w:val="003F5AD9"/>
    <w:rsid w:val="003F5C1D"/>
    <w:rsid w:val="003F65AD"/>
    <w:rsid w:val="003F6D11"/>
    <w:rsid w:val="00400DE0"/>
    <w:rsid w:val="00401764"/>
    <w:rsid w:val="00401AC4"/>
    <w:rsid w:val="00402624"/>
    <w:rsid w:val="004026C9"/>
    <w:rsid w:val="00402DE3"/>
    <w:rsid w:val="00402F1F"/>
    <w:rsid w:val="00404049"/>
    <w:rsid w:val="0040459A"/>
    <w:rsid w:val="00404782"/>
    <w:rsid w:val="00404F67"/>
    <w:rsid w:val="00405A95"/>
    <w:rsid w:val="00405AF0"/>
    <w:rsid w:val="0040705B"/>
    <w:rsid w:val="00407733"/>
    <w:rsid w:val="00407C5E"/>
    <w:rsid w:val="0041082F"/>
    <w:rsid w:val="00410D56"/>
    <w:rsid w:val="00410EB7"/>
    <w:rsid w:val="00413C81"/>
    <w:rsid w:val="004148DB"/>
    <w:rsid w:val="00414DDE"/>
    <w:rsid w:val="00415449"/>
    <w:rsid w:val="004169D1"/>
    <w:rsid w:val="004179BE"/>
    <w:rsid w:val="00417A22"/>
    <w:rsid w:val="00417EF1"/>
    <w:rsid w:val="004200F0"/>
    <w:rsid w:val="00420A8B"/>
    <w:rsid w:val="00420F16"/>
    <w:rsid w:val="0042161C"/>
    <w:rsid w:val="00421923"/>
    <w:rsid w:val="004219CD"/>
    <w:rsid w:val="004220C1"/>
    <w:rsid w:val="00424D67"/>
    <w:rsid w:val="00424DCA"/>
    <w:rsid w:val="00425426"/>
    <w:rsid w:val="00425789"/>
    <w:rsid w:val="004262CA"/>
    <w:rsid w:val="004300FC"/>
    <w:rsid w:val="00430537"/>
    <w:rsid w:val="00430BA4"/>
    <w:rsid w:val="00430FB6"/>
    <w:rsid w:val="00432359"/>
    <w:rsid w:val="0043329B"/>
    <w:rsid w:val="0043425E"/>
    <w:rsid w:val="0043443F"/>
    <w:rsid w:val="00434F6A"/>
    <w:rsid w:val="0043534C"/>
    <w:rsid w:val="0043561A"/>
    <w:rsid w:val="004362E8"/>
    <w:rsid w:val="00436783"/>
    <w:rsid w:val="004368CB"/>
    <w:rsid w:val="004420C3"/>
    <w:rsid w:val="00442F16"/>
    <w:rsid w:val="004438F3"/>
    <w:rsid w:val="00443E8A"/>
    <w:rsid w:val="00444F02"/>
    <w:rsid w:val="004450F9"/>
    <w:rsid w:val="00445328"/>
    <w:rsid w:val="004458C8"/>
    <w:rsid w:val="0044678B"/>
    <w:rsid w:val="0044685B"/>
    <w:rsid w:val="00446ED2"/>
    <w:rsid w:val="00447246"/>
    <w:rsid w:val="00447845"/>
    <w:rsid w:val="004478E2"/>
    <w:rsid w:val="00447DD4"/>
    <w:rsid w:val="00450399"/>
    <w:rsid w:val="004510F0"/>
    <w:rsid w:val="00451223"/>
    <w:rsid w:val="0045242F"/>
    <w:rsid w:val="00452C9D"/>
    <w:rsid w:val="00453314"/>
    <w:rsid w:val="00453F40"/>
    <w:rsid w:val="00454880"/>
    <w:rsid w:val="00455E98"/>
    <w:rsid w:val="00455EEA"/>
    <w:rsid w:val="004570E6"/>
    <w:rsid w:val="004579E1"/>
    <w:rsid w:val="00460A32"/>
    <w:rsid w:val="004623AD"/>
    <w:rsid w:val="0046312A"/>
    <w:rsid w:val="00463B39"/>
    <w:rsid w:val="00463DAA"/>
    <w:rsid w:val="004647A8"/>
    <w:rsid w:val="004678FF"/>
    <w:rsid w:val="00467DCC"/>
    <w:rsid w:val="00470C67"/>
    <w:rsid w:val="0047175B"/>
    <w:rsid w:val="00472073"/>
    <w:rsid w:val="00472C65"/>
    <w:rsid w:val="00472F3E"/>
    <w:rsid w:val="00473527"/>
    <w:rsid w:val="004756AE"/>
    <w:rsid w:val="00477B7B"/>
    <w:rsid w:val="00481AB1"/>
    <w:rsid w:val="00481D6E"/>
    <w:rsid w:val="00481DB9"/>
    <w:rsid w:val="00481DDD"/>
    <w:rsid w:val="004821BC"/>
    <w:rsid w:val="00483233"/>
    <w:rsid w:val="0048395C"/>
    <w:rsid w:val="00483FEA"/>
    <w:rsid w:val="004849DE"/>
    <w:rsid w:val="00485172"/>
    <w:rsid w:val="0048518F"/>
    <w:rsid w:val="004860C3"/>
    <w:rsid w:val="00486EEA"/>
    <w:rsid w:val="00490361"/>
    <w:rsid w:val="004908A7"/>
    <w:rsid w:val="004914FD"/>
    <w:rsid w:val="00492800"/>
    <w:rsid w:val="00492D79"/>
    <w:rsid w:val="004934C2"/>
    <w:rsid w:val="004937BB"/>
    <w:rsid w:val="0049392A"/>
    <w:rsid w:val="00494680"/>
    <w:rsid w:val="00494819"/>
    <w:rsid w:val="00495001"/>
    <w:rsid w:val="0049641A"/>
    <w:rsid w:val="00497BF9"/>
    <w:rsid w:val="004A01C3"/>
    <w:rsid w:val="004A04DB"/>
    <w:rsid w:val="004A09C3"/>
    <w:rsid w:val="004A1341"/>
    <w:rsid w:val="004A1767"/>
    <w:rsid w:val="004A21E5"/>
    <w:rsid w:val="004A23E7"/>
    <w:rsid w:val="004A370C"/>
    <w:rsid w:val="004A4985"/>
    <w:rsid w:val="004A49B2"/>
    <w:rsid w:val="004A547D"/>
    <w:rsid w:val="004A636B"/>
    <w:rsid w:val="004A707B"/>
    <w:rsid w:val="004A7520"/>
    <w:rsid w:val="004B13FF"/>
    <w:rsid w:val="004B1C74"/>
    <w:rsid w:val="004B2771"/>
    <w:rsid w:val="004B3F8D"/>
    <w:rsid w:val="004B45E9"/>
    <w:rsid w:val="004B5A87"/>
    <w:rsid w:val="004B606D"/>
    <w:rsid w:val="004B6893"/>
    <w:rsid w:val="004C0235"/>
    <w:rsid w:val="004C08F4"/>
    <w:rsid w:val="004C0D79"/>
    <w:rsid w:val="004C17BA"/>
    <w:rsid w:val="004C18B9"/>
    <w:rsid w:val="004C1D34"/>
    <w:rsid w:val="004C24E1"/>
    <w:rsid w:val="004C2994"/>
    <w:rsid w:val="004C43C0"/>
    <w:rsid w:val="004C4AEA"/>
    <w:rsid w:val="004C5DE8"/>
    <w:rsid w:val="004C606B"/>
    <w:rsid w:val="004C7C57"/>
    <w:rsid w:val="004D166A"/>
    <w:rsid w:val="004D24D5"/>
    <w:rsid w:val="004D283B"/>
    <w:rsid w:val="004D308B"/>
    <w:rsid w:val="004D343C"/>
    <w:rsid w:val="004D37A7"/>
    <w:rsid w:val="004D4667"/>
    <w:rsid w:val="004D5F7F"/>
    <w:rsid w:val="004D6440"/>
    <w:rsid w:val="004E022B"/>
    <w:rsid w:val="004E0DA3"/>
    <w:rsid w:val="004E1131"/>
    <w:rsid w:val="004E1DF3"/>
    <w:rsid w:val="004E2469"/>
    <w:rsid w:val="004E28AC"/>
    <w:rsid w:val="004E3716"/>
    <w:rsid w:val="004E403F"/>
    <w:rsid w:val="004E43AA"/>
    <w:rsid w:val="004E4817"/>
    <w:rsid w:val="004E56F1"/>
    <w:rsid w:val="004E5776"/>
    <w:rsid w:val="004E5DE7"/>
    <w:rsid w:val="004E62A0"/>
    <w:rsid w:val="004E7C5B"/>
    <w:rsid w:val="004F032C"/>
    <w:rsid w:val="004F0DA3"/>
    <w:rsid w:val="004F1E40"/>
    <w:rsid w:val="004F25DC"/>
    <w:rsid w:val="004F30B8"/>
    <w:rsid w:val="004F31FA"/>
    <w:rsid w:val="004F3CB3"/>
    <w:rsid w:val="004F4C23"/>
    <w:rsid w:val="004F4FF3"/>
    <w:rsid w:val="004F5966"/>
    <w:rsid w:val="004F5FE7"/>
    <w:rsid w:val="004F7880"/>
    <w:rsid w:val="005015C6"/>
    <w:rsid w:val="0050225C"/>
    <w:rsid w:val="005026C0"/>
    <w:rsid w:val="00502E1C"/>
    <w:rsid w:val="00502ED6"/>
    <w:rsid w:val="005045A8"/>
    <w:rsid w:val="00505924"/>
    <w:rsid w:val="00505D15"/>
    <w:rsid w:val="005066B5"/>
    <w:rsid w:val="00506A8A"/>
    <w:rsid w:val="00506F43"/>
    <w:rsid w:val="00507F25"/>
    <w:rsid w:val="00511BF1"/>
    <w:rsid w:val="00511CCD"/>
    <w:rsid w:val="00511E7D"/>
    <w:rsid w:val="00512F27"/>
    <w:rsid w:val="00513085"/>
    <w:rsid w:val="005135CB"/>
    <w:rsid w:val="005141AC"/>
    <w:rsid w:val="00515A82"/>
    <w:rsid w:val="00516342"/>
    <w:rsid w:val="005164AA"/>
    <w:rsid w:val="00517033"/>
    <w:rsid w:val="005170EE"/>
    <w:rsid w:val="0051744B"/>
    <w:rsid w:val="00517482"/>
    <w:rsid w:val="00520FE6"/>
    <w:rsid w:val="00521448"/>
    <w:rsid w:val="00521818"/>
    <w:rsid w:val="00521A7D"/>
    <w:rsid w:val="00521EFD"/>
    <w:rsid w:val="00523053"/>
    <w:rsid w:val="005235BF"/>
    <w:rsid w:val="005235CE"/>
    <w:rsid w:val="00523902"/>
    <w:rsid w:val="00524598"/>
    <w:rsid w:val="0052583C"/>
    <w:rsid w:val="005261DE"/>
    <w:rsid w:val="00527738"/>
    <w:rsid w:val="005300C2"/>
    <w:rsid w:val="005306D2"/>
    <w:rsid w:val="0053095E"/>
    <w:rsid w:val="00531463"/>
    <w:rsid w:val="00532290"/>
    <w:rsid w:val="00532351"/>
    <w:rsid w:val="00532653"/>
    <w:rsid w:val="005332FE"/>
    <w:rsid w:val="00533C38"/>
    <w:rsid w:val="00533C8F"/>
    <w:rsid w:val="00534399"/>
    <w:rsid w:val="005347D4"/>
    <w:rsid w:val="00534D95"/>
    <w:rsid w:val="005350DB"/>
    <w:rsid w:val="00535843"/>
    <w:rsid w:val="00535B16"/>
    <w:rsid w:val="00536D65"/>
    <w:rsid w:val="00542111"/>
    <w:rsid w:val="00544410"/>
    <w:rsid w:val="005445BE"/>
    <w:rsid w:val="0054463F"/>
    <w:rsid w:val="00544899"/>
    <w:rsid w:val="0054541B"/>
    <w:rsid w:val="005467AF"/>
    <w:rsid w:val="00546A1C"/>
    <w:rsid w:val="00547BF7"/>
    <w:rsid w:val="00550533"/>
    <w:rsid w:val="005509EE"/>
    <w:rsid w:val="005511D7"/>
    <w:rsid w:val="005515DF"/>
    <w:rsid w:val="00553961"/>
    <w:rsid w:val="00555C79"/>
    <w:rsid w:val="00557E92"/>
    <w:rsid w:val="00557F07"/>
    <w:rsid w:val="005604B6"/>
    <w:rsid w:val="005605E8"/>
    <w:rsid w:val="005607F7"/>
    <w:rsid w:val="00561BC0"/>
    <w:rsid w:val="00562F37"/>
    <w:rsid w:val="005632C2"/>
    <w:rsid w:val="0056373E"/>
    <w:rsid w:val="005638AA"/>
    <w:rsid w:val="0056428F"/>
    <w:rsid w:val="0056471C"/>
    <w:rsid w:val="0056476E"/>
    <w:rsid w:val="00565D19"/>
    <w:rsid w:val="00565DF1"/>
    <w:rsid w:val="00565E72"/>
    <w:rsid w:val="005661B3"/>
    <w:rsid w:val="005669C8"/>
    <w:rsid w:val="00566F6B"/>
    <w:rsid w:val="005702B0"/>
    <w:rsid w:val="00570731"/>
    <w:rsid w:val="0057185D"/>
    <w:rsid w:val="00572AA1"/>
    <w:rsid w:val="00573367"/>
    <w:rsid w:val="005733C2"/>
    <w:rsid w:val="0057374A"/>
    <w:rsid w:val="00574930"/>
    <w:rsid w:val="00574AF2"/>
    <w:rsid w:val="005754FE"/>
    <w:rsid w:val="00575A65"/>
    <w:rsid w:val="0057609B"/>
    <w:rsid w:val="00580E01"/>
    <w:rsid w:val="00580F8D"/>
    <w:rsid w:val="005813D1"/>
    <w:rsid w:val="005816A6"/>
    <w:rsid w:val="00581D08"/>
    <w:rsid w:val="00582080"/>
    <w:rsid w:val="00583471"/>
    <w:rsid w:val="005849FB"/>
    <w:rsid w:val="005857B5"/>
    <w:rsid w:val="00585AAE"/>
    <w:rsid w:val="00586144"/>
    <w:rsid w:val="0058662B"/>
    <w:rsid w:val="00586C89"/>
    <w:rsid w:val="005877FF"/>
    <w:rsid w:val="00587AAE"/>
    <w:rsid w:val="00587C26"/>
    <w:rsid w:val="005909A6"/>
    <w:rsid w:val="0059297D"/>
    <w:rsid w:val="00593E71"/>
    <w:rsid w:val="005942DC"/>
    <w:rsid w:val="00594326"/>
    <w:rsid w:val="00594F65"/>
    <w:rsid w:val="005967B7"/>
    <w:rsid w:val="00596845"/>
    <w:rsid w:val="00596938"/>
    <w:rsid w:val="00596ACB"/>
    <w:rsid w:val="005971DF"/>
    <w:rsid w:val="00597E59"/>
    <w:rsid w:val="005A0859"/>
    <w:rsid w:val="005A12F7"/>
    <w:rsid w:val="005A2592"/>
    <w:rsid w:val="005A305D"/>
    <w:rsid w:val="005A3419"/>
    <w:rsid w:val="005A3EC6"/>
    <w:rsid w:val="005A3F70"/>
    <w:rsid w:val="005A40D1"/>
    <w:rsid w:val="005A4E1F"/>
    <w:rsid w:val="005A53D1"/>
    <w:rsid w:val="005B0ACA"/>
    <w:rsid w:val="005B257C"/>
    <w:rsid w:val="005B3078"/>
    <w:rsid w:val="005B399F"/>
    <w:rsid w:val="005B4B5E"/>
    <w:rsid w:val="005B72FF"/>
    <w:rsid w:val="005B7749"/>
    <w:rsid w:val="005C2031"/>
    <w:rsid w:val="005C4E6B"/>
    <w:rsid w:val="005C7AB3"/>
    <w:rsid w:val="005D058C"/>
    <w:rsid w:val="005D0B4F"/>
    <w:rsid w:val="005D221A"/>
    <w:rsid w:val="005D2453"/>
    <w:rsid w:val="005D2592"/>
    <w:rsid w:val="005D301E"/>
    <w:rsid w:val="005D390A"/>
    <w:rsid w:val="005D3D7C"/>
    <w:rsid w:val="005D46CE"/>
    <w:rsid w:val="005D5A17"/>
    <w:rsid w:val="005D5EC6"/>
    <w:rsid w:val="005D6D06"/>
    <w:rsid w:val="005D6F7F"/>
    <w:rsid w:val="005D797A"/>
    <w:rsid w:val="005E004B"/>
    <w:rsid w:val="005E0D5F"/>
    <w:rsid w:val="005E0FC5"/>
    <w:rsid w:val="005E10D3"/>
    <w:rsid w:val="005E29F7"/>
    <w:rsid w:val="005E2FD6"/>
    <w:rsid w:val="005E3114"/>
    <w:rsid w:val="005E336C"/>
    <w:rsid w:val="005E34CC"/>
    <w:rsid w:val="005E37EA"/>
    <w:rsid w:val="005E391B"/>
    <w:rsid w:val="005E3B16"/>
    <w:rsid w:val="005E4627"/>
    <w:rsid w:val="005E4F52"/>
    <w:rsid w:val="005E509D"/>
    <w:rsid w:val="005E512D"/>
    <w:rsid w:val="005E5533"/>
    <w:rsid w:val="005E6207"/>
    <w:rsid w:val="005E78FC"/>
    <w:rsid w:val="005F0AC3"/>
    <w:rsid w:val="005F0E4B"/>
    <w:rsid w:val="005F1D89"/>
    <w:rsid w:val="005F2D98"/>
    <w:rsid w:val="005F4091"/>
    <w:rsid w:val="005F4518"/>
    <w:rsid w:val="005F4A60"/>
    <w:rsid w:val="005F4FC8"/>
    <w:rsid w:val="005F510D"/>
    <w:rsid w:val="005F5614"/>
    <w:rsid w:val="005F5707"/>
    <w:rsid w:val="005F5A20"/>
    <w:rsid w:val="005F6816"/>
    <w:rsid w:val="005F6F3F"/>
    <w:rsid w:val="005F7930"/>
    <w:rsid w:val="005F7C66"/>
    <w:rsid w:val="0060165D"/>
    <w:rsid w:val="00601A12"/>
    <w:rsid w:val="00601D37"/>
    <w:rsid w:val="0060377D"/>
    <w:rsid w:val="00603C49"/>
    <w:rsid w:val="00604022"/>
    <w:rsid w:val="0060469A"/>
    <w:rsid w:val="006047AE"/>
    <w:rsid w:val="00604AA7"/>
    <w:rsid w:val="006051BE"/>
    <w:rsid w:val="0060643A"/>
    <w:rsid w:val="006075FA"/>
    <w:rsid w:val="0060794B"/>
    <w:rsid w:val="00610581"/>
    <w:rsid w:val="006109E9"/>
    <w:rsid w:val="006125C3"/>
    <w:rsid w:val="006129C6"/>
    <w:rsid w:val="00612EE3"/>
    <w:rsid w:val="00613CBD"/>
    <w:rsid w:val="00615439"/>
    <w:rsid w:val="00615C2D"/>
    <w:rsid w:val="00616C77"/>
    <w:rsid w:val="00617E50"/>
    <w:rsid w:val="00617F99"/>
    <w:rsid w:val="00620461"/>
    <w:rsid w:val="00621136"/>
    <w:rsid w:val="00621A2B"/>
    <w:rsid w:val="006224F7"/>
    <w:rsid w:val="00622EAC"/>
    <w:rsid w:val="006255D1"/>
    <w:rsid w:val="00625B69"/>
    <w:rsid w:val="00625E40"/>
    <w:rsid w:val="00626BB1"/>
    <w:rsid w:val="0062732E"/>
    <w:rsid w:val="00627469"/>
    <w:rsid w:val="0062791F"/>
    <w:rsid w:val="00632FE5"/>
    <w:rsid w:val="00633785"/>
    <w:rsid w:val="00633A35"/>
    <w:rsid w:val="006340CA"/>
    <w:rsid w:val="0063413C"/>
    <w:rsid w:val="00634AB0"/>
    <w:rsid w:val="00635299"/>
    <w:rsid w:val="00635475"/>
    <w:rsid w:val="006363D6"/>
    <w:rsid w:val="0063762C"/>
    <w:rsid w:val="00637DC2"/>
    <w:rsid w:val="00640013"/>
    <w:rsid w:val="006407DA"/>
    <w:rsid w:val="00640929"/>
    <w:rsid w:val="00641F23"/>
    <w:rsid w:val="00644711"/>
    <w:rsid w:val="0064518B"/>
    <w:rsid w:val="00645CC4"/>
    <w:rsid w:val="00645E54"/>
    <w:rsid w:val="006462C2"/>
    <w:rsid w:val="006462EF"/>
    <w:rsid w:val="006464D5"/>
    <w:rsid w:val="006470DA"/>
    <w:rsid w:val="00650B19"/>
    <w:rsid w:val="006512F9"/>
    <w:rsid w:val="006516D1"/>
    <w:rsid w:val="00651C2B"/>
    <w:rsid w:val="00651FD3"/>
    <w:rsid w:val="006524C7"/>
    <w:rsid w:val="0065264B"/>
    <w:rsid w:val="00652BBC"/>
    <w:rsid w:val="00652DB6"/>
    <w:rsid w:val="006530FF"/>
    <w:rsid w:val="00653609"/>
    <w:rsid w:val="00654902"/>
    <w:rsid w:val="006549D5"/>
    <w:rsid w:val="00657084"/>
    <w:rsid w:val="00657758"/>
    <w:rsid w:val="00660BD5"/>
    <w:rsid w:val="00660FEC"/>
    <w:rsid w:val="00663FF8"/>
    <w:rsid w:val="006646DC"/>
    <w:rsid w:val="00664A0F"/>
    <w:rsid w:val="00664B25"/>
    <w:rsid w:val="00665D1D"/>
    <w:rsid w:val="006664D2"/>
    <w:rsid w:val="006668CF"/>
    <w:rsid w:val="00667801"/>
    <w:rsid w:val="00670DEC"/>
    <w:rsid w:val="006722E3"/>
    <w:rsid w:val="00673439"/>
    <w:rsid w:val="006738C9"/>
    <w:rsid w:val="006753D3"/>
    <w:rsid w:val="00675C11"/>
    <w:rsid w:val="006763DD"/>
    <w:rsid w:val="0067676B"/>
    <w:rsid w:val="00676EE0"/>
    <w:rsid w:val="0068161E"/>
    <w:rsid w:val="006824E2"/>
    <w:rsid w:val="00684C68"/>
    <w:rsid w:val="006850FC"/>
    <w:rsid w:val="00687E84"/>
    <w:rsid w:val="00690109"/>
    <w:rsid w:val="0069021B"/>
    <w:rsid w:val="00690EFE"/>
    <w:rsid w:val="00691804"/>
    <w:rsid w:val="00692525"/>
    <w:rsid w:val="00694088"/>
    <w:rsid w:val="00696DBF"/>
    <w:rsid w:val="006A029D"/>
    <w:rsid w:val="006A0FC6"/>
    <w:rsid w:val="006A1E58"/>
    <w:rsid w:val="006A1E81"/>
    <w:rsid w:val="006A318D"/>
    <w:rsid w:val="006A356A"/>
    <w:rsid w:val="006A4420"/>
    <w:rsid w:val="006A453C"/>
    <w:rsid w:val="006A49D8"/>
    <w:rsid w:val="006A655E"/>
    <w:rsid w:val="006B0237"/>
    <w:rsid w:val="006B0238"/>
    <w:rsid w:val="006B08FD"/>
    <w:rsid w:val="006B0A38"/>
    <w:rsid w:val="006B1304"/>
    <w:rsid w:val="006B19AA"/>
    <w:rsid w:val="006B2009"/>
    <w:rsid w:val="006B370D"/>
    <w:rsid w:val="006B3950"/>
    <w:rsid w:val="006B408D"/>
    <w:rsid w:val="006B45E2"/>
    <w:rsid w:val="006B58F0"/>
    <w:rsid w:val="006B5994"/>
    <w:rsid w:val="006C0556"/>
    <w:rsid w:val="006C0C26"/>
    <w:rsid w:val="006C1155"/>
    <w:rsid w:val="006C232A"/>
    <w:rsid w:val="006C2828"/>
    <w:rsid w:val="006C2900"/>
    <w:rsid w:val="006C4723"/>
    <w:rsid w:val="006C4771"/>
    <w:rsid w:val="006C574E"/>
    <w:rsid w:val="006C5A2D"/>
    <w:rsid w:val="006C6C20"/>
    <w:rsid w:val="006C7545"/>
    <w:rsid w:val="006C78ED"/>
    <w:rsid w:val="006D1D30"/>
    <w:rsid w:val="006D3081"/>
    <w:rsid w:val="006D308F"/>
    <w:rsid w:val="006D3E06"/>
    <w:rsid w:val="006D4173"/>
    <w:rsid w:val="006D4341"/>
    <w:rsid w:val="006D456B"/>
    <w:rsid w:val="006D5497"/>
    <w:rsid w:val="006D61E5"/>
    <w:rsid w:val="006D646F"/>
    <w:rsid w:val="006D7150"/>
    <w:rsid w:val="006E048E"/>
    <w:rsid w:val="006E154F"/>
    <w:rsid w:val="006E16F4"/>
    <w:rsid w:val="006E20DC"/>
    <w:rsid w:val="006E2419"/>
    <w:rsid w:val="006E3C73"/>
    <w:rsid w:val="006E5BC9"/>
    <w:rsid w:val="006E5CAD"/>
    <w:rsid w:val="006E6A8D"/>
    <w:rsid w:val="006E7711"/>
    <w:rsid w:val="006E782C"/>
    <w:rsid w:val="006F0B08"/>
    <w:rsid w:val="006F1133"/>
    <w:rsid w:val="006F133E"/>
    <w:rsid w:val="006F25AE"/>
    <w:rsid w:val="006F2C40"/>
    <w:rsid w:val="006F3871"/>
    <w:rsid w:val="006F38A8"/>
    <w:rsid w:val="006F56EB"/>
    <w:rsid w:val="006F5D57"/>
    <w:rsid w:val="006F6DF0"/>
    <w:rsid w:val="006F732D"/>
    <w:rsid w:val="006F76DA"/>
    <w:rsid w:val="006F7C7B"/>
    <w:rsid w:val="007003AB"/>
    <w:rsid w:val="007014D5"/>
    <w:rsid w:val="0070402C"/>
    <w:rsid w:val="00704A0B"/>
    <w:rsid w:val="00706007"/>
    <w:rsid w:val="00707D95"/>
    <w:rsid w:val="00710238"/>
    <w:rsid w:val="007104F6"/>
    <w:rsid w:val="00710690"/>
    <w:rsid w:val="007110A5"/>
    <w:rsid w:val="00711838"/>
    <w:rsid w:val="00711F01"/>
    <w:rsid w:val="00712296"/>
    <w:rsid w:val="00713601"/>
    <w:rsid w:val="00714144"/>
    <w:rsid w:val="007141D9"/>
    <w:rsid w:val="00714DC8"/>
    <w:rsid w:val="00714E13"/>
    <w:rsid w:val="007150B5"/>
    <w:rsid w:val="0071531A"/>
    <w:rsid w:val="00715E8B"/>
    <w:rsid w:val="007165E2"/>
    <w:rsid w:val="00716B54"/>
    <w:rsid w:val="007210B2"/>
    <w:rsid w:val="00721C83"/>
    <w:rsid w:val="0072208E"/>
    <w:rsid w:val="007222EB"/>
    <w:rsid w:val="00722F78"/>
    <w:rsid w:val="0072348B"/>
    <w:rsid w:val="00723884"/>
    <w:rsid w:val="00723954"/>
    <w:rsid w:val="00724A9C"/>
    <w:rsid w:val="00724C2A"/>
    <w:rsid w:val="00725920"/>
    <w:rsid w:val="00725DBF"/>
    <w:rsid w:val="00726AC6"/>
    <w:rsid w:val="00727FFE"/>
    <w:rsid w:val="00730B21"/>
    <w:rsid w:val="00732200"/>
    <w:rsid w:val="007322D1"/>
    <w:rsid w:val="00732A0B"/>
    <w:rsid w:val="0073348A"/>
    <w:rsid w:val="007335D7"/>
    <w:rsid w:val="007337B9"/>
    <w:rsid w:val="00733AD8"/>
    <w:rsid w:val="00733DC4"/>
    <w:rsid w:val="00736BA3"/>
    <w:rsid w:val="00737AAB"/>
    <w:rsid w:val="00737DBD"/>
    <w:rsid w:val="00740A87"/>
    <w:rsid w:val="0074114A"/>
    <w:rsid w:val="0074171D"/>
    <w:rsid w:val="00741CD7"/>
    <w:rsid w:val="00743253"/>
    <w:rsid w:val="007437CB"/>
    <w:rsid w:val="007440EF"/>
    <w:rsid w:val="00744159"/>
    <w:rsid w:val="00744559"/>
    <w:rsid w:val="007447B1"/>
    <w:rsid w:val="00744B52"/>
    <w:rsid w:val="007474D1"/>
    <w:rsid w:val="0075010C"/>
    <w:rsid w:val="00750244"/>
    <w:rsid w:val="00750CBF"/>
    <w:rsid w:val="00750EE9"/>
    <w:rsid w:val="00750EFE"/>
    <w:rsid w:val="00750F60"/>
    <w:rsid w:val="007512F4"/>
    <w:rsid w:val="007524F1"/>
    <w:rsid w:val="00752B0A"/>
    <w:rsid w:val="007531CD"/>
    <w:rsid w:val="00753B53"/>
    <w:rsid w:val="007543E2"/>
    <w:rsid w:val="007565D3"/>
    <w:rsid w:val="0075704A"/>
    <w:rsid w:val="007570AE"/>
    <w:rsid w:val="00757E3C"/>
    <w:rsid w:val="007606C7"/>
    <w:rsid w:val="0076135A"/>
    <w:rsid w:val="00761BBC"/>
    <w:rsid w:val="00762709"/>
    <w:rsid w:val="00762876"/>
    <w:rsid w:val="007628A7"/>
    <w:rsid w:val="0076295B"/>
    <w:rsid w:val="00763E6D"/>
    <w:rsid w:val="00764881"/>
    <w:rsid w:val="0076529D"/>
    <w:rsid w:val="0076553B"/>
    <w:rsid w:val="00765980"/>
    <w:rsid w:val="00767F74"/>
    <w:rsid w:val="00771B1D"/>
    <w:rsid w:val="00771E2B"/>
    <w:rsid w:val="00771E4F"/>
    <w:rsid w:val="00772A61"/>
    <w:rsid w:val="00772A79"/>
    <w:rsid w:val="00773E76"/>
    <w:rsid w:val="00774A6E"/>
    <w:rsid w:val="00774F3A"/>
    <w:rsid w:val="007757DB"/>
    <w:rsid w:val="00776433"/>
    <w:rsid w:val="007769B4"/>
    <w:rsid w:val="00780291"/>
    <w:rsid w:val="007814E6"/>
    <w:rsid w:val="007824C6"/>
    <w:rsid w:val="0078250B"/>
    <w:rsid w:val="00782A4F"/>
    <w:rsid w:val="0078497E"/>
    <w:rsid w:val="007851CA"/>
    <w:rsid w:val="007856F3"/>
    <w:rsid w:val="00785B70"/>
    <w:rsid w:val="00786007"/>
    <w:rsid w:val="00786295"/>
    <w:rsid w:val="007866B2"/>
    <w:rsid w:val="00787CD0"/>
    <w:rsid w:val="00790F13"/>
    <w:rsid w:val="00791117"/>
    <w:rsid w:val="00792F86"/>
    <w:rsid w:val="00793962"/>
    <w:rsid w:val="007939A7"/>
    <w:rsid w:val="00794F78"/>
    <w:rsid w:val="00795347"/>
    <w:rsid w:val="00797A5D"/>
    <w:rsid w:val="007A0E17"/>
    <w:rsid w:val="007A27A4"/>
    <w:rsid w:val="007A2948"/>
    <w:rsid w:val="007A2D69"/>
    <w:rsid w:val="007A4EBD"/>
    <w:rsid w:val="007A4F86"/>
    <w:rsid w:val="007A5BF5"/>
    <w:rsid w:val="007A64D1"/>
    <w:rsid w:val="007A75E5"/>
    <w:rsid w:val="007B05C2"/>
    <w:rsid w:val="007B14E6"/>
    <w:rsid w:val="007B2AC5"/>
    <w:rsid w:val="007B2CBF"/>
    <w:rsid w:val="007B3031"/>
    <w:rsid w:val="007B37F9"/>
    <w:rsid w:val="007B3C2D"/>
    <w:rsid w:val="007B5611"/>
    <w:rsid w:val="007B5AF5"/>
    <w:rsid w:val="007B6A2F"/>
    <w:rsid w:val="007B6EFE"/>
    <w:rsid w:val="007B6FB3"/>
    <w:rsid w:val="007B7DAB"/>
    <w:rsid w:val="007C0A32"/>
    <w:rsid w:val="007C134D"/>
    <w:rsid w:val="007C19B1"/>
    <w:rsid w:val="007C1FFA"/>
    <w:rsid w:val="007C2063"/>
    <w:rsid w:val="007C21A7"/>
    <w:rsid w:val="007C2F77"/>
    <w:rsid w:val="007C39FC"/>
    <w:rsid w:val="007C3E75"/>
    <w:rsid w:val="007C53DB"/>
    <w:rsid w:val="007C6F3C"/>
    <w:rsid w:val="007C7862"/>
    <w:rsid w:val="007C7C32"/>
    <w:rsid w:val="007D0835"/>
    <w:rsid w:val="007D11EC"/>
    <w:rsid w:val="007D15F7"/>
    <w:rsid w:val="007D2B87"/>
    <w:rsid w:val="007D39ED"/>
    <w:rsid w:val="007D40CA"/>
    <w:rsid w:val="007D4953"/>
    <w:rsid w:val="007D5421"/>
    <w:rsid w:val="007D66C8"/>
    <w:rsid w:val="007D6C0B"/>
    <w:rsid w:val="007D7366"/>
    <w:rsid w:val="007D7FE1"/>
    <w:rsid w:val="007E0278"/>
    <w:rsid w:val="007E1F76"/>
    <w:rsid w:val="007E22E3"/>
    <w:rsid w:val="007E3ABA"/>
    <w:rsid w:val="007E431C"/>
    <w:rsid w:val="007E6C2C"/>
    <w:rsid w:val="007E6EBF"/>
    <w:rsid w:val="007E74D0"/>
    <w:rsid w:val="007F02D5"/>
    <w:rsid w:val="007F26F2"/>
    <w:rsid w:val="007F33C7"/>
    <w:rsid w:val="007F346B"/>
    <w:rsid w:val="007F4E72"/>
    <w:rsid w:val="007F5A8E"/>
    <w:rsid w:val="007F5D0D"/>
    <w:rsid w:val="007F6F5B"/>
    <w:rsid w:val="007F713A"/>
    <w:rsid w:val="00800331"/>
    <w:rsid w:val="00801AA6"/>
    <w:rsid w:val="00802385"/>
    <w:rsid w:val="008026BD"/>
    <w:rsid w:val="00802F14"/>
    <w:rsid w:val="00803056"/>
    <w:rsid w:val="00803AA8"/>
    <w:rsid w:val="00803AAE"/>
    <w:rsid w:val="008043AD"/>
    <w:rsid w:val="00804D7A"/>
    <w:rsid w:val="0080546D"/>
    <w:rsid w:val="008055AC"/>
    <w:rsid w:val="00806977"/>
    <w:rsid w:val="00807085"/>
    <w:rsid w:val="00807C40"/>
    <w:rsid w:val="00807DAE"/>
    <w:rsid w:val="00807FF7"/>
    <w:rsid w:val="008102F5"/>
    <w:rsid w:val="00812D4F"/>
    <w:rsid w:val="00812F0B"/>
    <w:rsid w:val="008132E9"/>
    <w:rsid w:val="0081346A"/>
    <w:rsid w:val="00813E3C"/>
    <w:rsid w:val="008152FF"/>
    <w:rsid w:val="0081600F"/>
    <w:rsid w:val="00816402"/>
    <w:rsid w:val="00816716"/>
    <w:rsid w:val="0081721A"/>
    <w:rsid w:val="0081779F"/>
    <w:rsid w:val="008177CE"/>
    <w:rsid w:val="00822004"/>
    <w:rsid w:val="00822363"/>
    <w:rsid w:val="00822856"/>
    <w:rsid w:val="00823352"/>
    <w:rsid w:val="008248E1"/>
    <w:rsid w:val="00826E1A"/>
    <w:rsid w:val="00826F6B"/>
    <w:rsid w:val="00827818"/>
    <w:rsid w:val="0082798E"/>
    <w:rsid w:val="00830789"/>
    <w:rsid w:val="00832058"/>
    <w:rsid w:val="008325D4"/>
    <w:rsid w:val="00833B20"/>
    <w:rsid w:val="008349A7"/>
    <w:rsid w:val="00834B8F"/>
    <w:rsid w:val="00835E7C"/>
    <w:rsid w:val="00840448"/>
    <w:rsid w:val="00841163"/>
    <w:rsid w:val="00841B04"/>
    <w:rsid w:val="00843034"/>
    <w:rsid w:val="0084585A"/>
    <w:rsid w:val="00845AA3"/>
    <w:rsid w:val="008463F8"/>
    <w:rsid w:val="008468EA"/>
    <w:rsid w:val="00847172"/>
    <w:rsid w:val="00847AF6"/>
    <w:rsid w:val="008510AB"/>
    <w:rsid w:val="00851208"/>
    <w:rsid w:val="00851920"/>
    <w:rsid w:val="00851ECA"/>
    <w:rsid w:val="0085251F"/>
    <w:rsid w:val="00852D5B"/>
    <w:rsid w:val="0085358E"/>
    <w:rsid w:val="00853E94"/>
    <w:rsid w:val="00854A51"/>
    <w:rsid w:val="00855194"/>
    <w:rsid w:val="00855BF9"/>
    <w:rsid w:val="00857B59"/>
    <w:rsid w:val="00857ED9"/>
    <w:rsid w:val="008604CC"/>
    <w:rsid w:val="008608BC"/>
    <w:rsid w:val="00860BC0"/>
    <w:rsid w:val="00860F93"/>
    <w:rsid w:val="00861A01"/>
    <w:rsid w:val="00864297"/>
    <w:rsid w:val="0086597B"/>
    <w:rsid w:val="00866393"/>
    <w:rsid w:val="0086664B"/>
    <w:rsid w:val="00867817"/>
    <w:rsid w:val="00870095"/>
    <w:rsid w:val="008715C8"/>
    <w:rsid w:val="008718B6"/>
    <w:rsid w:val="00871B35"/>
    <w:rsid w:val="00873617"/>
    <w:rsid w:val="0087442D"/>
    <w:rsid w:val="00874EDC"/>
    <w:rsid w:val="00875233"/>
    <w:rsid w:val="008752B6"/>
    <w:rsid w:val="0087593F"/>
    <w:rsid w:val="00875B73"/>
    <w:rsid w:val="0087662E"/>
    <w:rsid w:val="00876C1E"/>
    <w:rsid w:val="00877025"/>
    <w:rsid w:val="00877F2D"/>
    <w:rsid w:val="00880439"/>
    <w:rsid w:val="008809DC"/>
    <w:rsid w:val="008813B8"/>
    <w:rsid w:val="00881851"/>
    <w:rsid w:val="008819C4"/>
    <w:rsid w:val="00882BE9"/>
    <w:rsid w:val="00882DBB"/>
    <w:rsid w:val="00885E34"/>
    <w:rsid w:val="00886C89"/>
    <w:rsid w:val="00886EC9"/>
    <w:rsid w:val="00886F19"/>
    <w:rsid w:val="008874EF"/>
    <w:rsid w:val="008876A9"/>
    <w:rsid w:val="00891C08"/>
    <w:rsid w:val="0089310C"/>
    <w:rsid w:val="0089404E"/>
    <w:rsid w:val="00895436"/>
    <w:rsid w:val="0089591C"/>
    <w:rsid w:val="008960F8"/>
    <w:rsid w:val="0089635E"/>
    <w:rsid w:val="00896DE4"/>
    <w:rsid w:val="0089728D"/>
    <w:rsid w:val="008972A8"/>
    <w:rsid w:val="00897522"/>
    <w:rsid w:val="00897525"/>
    <w:rsid w:val="00897F67"/>
    <w:rsid w:val="008A01D3"/>
    <w:rsid w:val="008A0D29"/>
    <w:rsid w:val="008A1179"/>
    <w:rsid w:val="008A1F3A"/>
    <w:rsid w:val="008A225B"/>
    <w:rsid w:val="008A37A4"/>
    <w:rsid w:val="008A58E4"/>
    <w:rsid w:val="008A5F92"/>
    <w:rsid w:val="008A75FA"/>
    <w:rsid w:val="008A7955"/>
    <w:rsid w:val="008A7A19"/>
    <w:rsid w:val="008B0B19"/>
    <w:rsid w:val="008B151E"/>
    <w:rsid w:val="008B16B7"/>
    <w:rsid w:val="008B2ADD"/>
    <w:rsid w:val="008B2C94"/>
    <w:rsid w:val="008B2D46"/>
    <w:rsid w:val="008B329A"/>
    <w:rsid w:val="008B3738"/>
    <w:rsid w:val="008B3838"/>
    <w:rsid w:val="008B3D29"/>
    <w:rsid w:val="008B3E4C"/>
    <w:rsid w:val="008B41A3"/>
    <w:rsid w:val="008B49DF"/>
    <w:rsid w:val="008B532E"/>
    <w:rsid w:val="008B57A0"/>
    <w:rsid w:val="008B7383"/>
    <w:rsid w:val="008B7EC9"/>
    <w:rsid w:val="008C1881"/>
    <w:rsid w:val="008C20F5"/>
    <w:rsid w:val="008C2DB8"/>
    <w:rsid w:val="008C521C"/>
    <w:rsid w:val="008C6249"/>
    <w:rsid w:val="008C6322"/>
    <w:rsid w:val="008C684C"/>
    <w:rsid w:val="008C694D"/>
    <w:rsid w:val="008C6D36"/>
    <w:rsid w:val="008C766B"/>
    <w:rsid w:val="008C7B79"/>
    <w:rsid w:val="008C7CAA"/>
    <w:rsid w:val="008C7E85"/>
    <w:rsid w:val="008D0C77"/>
    <w:rsid w:val="008D1215"/>
    <w:rsid w:val="008D56A9"/>
    <w:rsid w:val="008D6760"/>
    <w:rsid w:val="008D7A04"/>
    <w:rsid w:val="008E02C4"/>
    <w:rsid w:val="008E1E92"/>
    <w:rsid w:val="008E3370"/>
    <w:rsid w:val="008E393D"/>
    <w:rsid w:val="008E3ECB"/>
    <w:rsid w:val="008E4B31"/>
    <w:rsid w:val="008E5071"/>
    <w:rsid w:val="008E5662"/>
    <w:rsid w:val="008E5B6F"/>
    <w:rsid w:val="008E5E4F"/>
    <w:rsid w:val="008E6048"/>
    <w:rsid w:val="008E681A"/>
    <w:rsid w:val="008E70E1"/>
    <w:rsid w:val="008F1FF4"/>
    <w:rsid w:val="008F2AD9"/>
    <w:rsid w:val="008F3126"/>
    <w:rsid w:val="008F3348"/>
    <w:rsid w:val="008F383A"/>
    <w:rsid w:val="008F4092"/>
    <w:rsid w:val="008F5F8F"/>
    <w:rsid w:val="008F61DA"/>
    <w:rsid w:val="008F6B9E"/>
    <w:rsid w:val="008F6D48"/>
    <w:rsid w:val="008F75C6"/>
    <w:rsid w:val="008F7F6D"/>
    <w:rsid w:val="00901482"/>
    <w:rsid w:val="00901CF3"/>
    <w:rsid w:val="00901D11"/>
    <w:rsid w:val="00904727"/>
    <w:rsid w:val="00904C6A"/>
    <w:rsid w:val="00905AB4"/>
    <w:rsid w:val="00905BC2"/>
    <w:rsid w:val="00906EE4"/>
    <w:rsid w:val="0090792F"/>
    <w:rsid w:val="009107D4"/>
    <w:rsid w:val="00910AEA"/>
    <w:rsid w:val="00910CE0"/>
    <w:rsid w:val="00912236"/>
    <w:rsid w:val="00912ACA"/>
    <w:rsid w:val="00913349"/>
    <w:rsid w:val="009137CA"/>
    <w:rsid w:val="009153C2"/>
    <w:rsid w:val="009159AD"/>
    <w:rsid w:val="00920C8B"/>
    <w:rsid w:val="00921241"/>
    <w:rsid w:val="00921665"/>
    <w:rsid w:val="00921FA9"/>
    <w:rsid w:val="009220B3"/>
    <w:rsid w:val="00922703"/>
    <w:rsid w:val="009234A9"/>
    <w:rsid w:val="00925BCD"/>
    <w:rsid w:val="00925C9A"/>
    <w:rsid w:val="00927BBC"/>
    <w:rsid w:val="0093323C"/>
    <w:rsid w:val="00934D11"/>
    <w:rsid w:val="00935947"/>
    <w:rsid w:val="00935FF2"/>
    <w:rsid w:val="009369A0"/>
    <w:rsid w:val="00936F8F"/>
    <w:rsid w:val="00937DB3"/>
    <w:rsid w:val="00937E77"/>
    <w:rsid w:val="00940EDD"/>
    <w:rsid w:val="00941AE3"/>
    <w:rsid w:val="0094269B"/>
    <w:rsid w:val="009426F1"/>
    <w:rsid w:val="00943551"/>
    <w:rsid w:val="009439D5"/>
    <w:rsid w:val="00944E84"/>
    <w:rsid w:val="009452E0"/>
    <w:rsid w:val="009472AA"/>
    <w:rsid w:val="0094778A"/>
    <w:rsid w:val="009502E8"/>
    <w:rsid w:val="00950E23"/>
    <w:rsid w:val="00953787"/>
    <w:rsid w:val="0095392C"/>
    <w:rsid w:val="00953B2F"/>
    <w:rsid w:val="009555B2"/>
    <w:rsid w:val="00955813"/>
    <w:rsid w:val="0095601E"/>
    <w:rsid w:val="00956159"/>
    <w:rsid w:val="009571ED"/>
    <w:rsid w:val="00960740"/>
    <w:rsid w:val="00961BEB"/>
    <w:rsid w:val="009621AF"/>
    <w:rsid w:val="00962312"/>
    <w:rsid w:val="0096423B"/>
    <w:rsid w:val="00965171"/>
    <w:rsid w:val="009664C0"/>
    <w:rsid w:val="0096791D"/>
    <w:rsid w:val="009679A0"/>
    <w:rsid w:val="00970352"/>
    <w:rsid w:val="00971B1E"/>
    <w:rsid w:val="009727A8"/>
    <w:rsid w:val="00972AB5"/>
    <w:rsid w:val="00972CD7"/>
    <w:rsid w:val="009732A1"/>
    <w:rsid w:val="00973BD9"/>
    <w:rsid w:val="00977C98"/>
    <w:rsid w:val="00980271"/>
    <w:rsid w:val="00980764"/>
    <w:rsid w:val="009811A5"/>
    <w:rsid w:val="009837B4"/>
    <w:rsid w:val="009848C9"/>
    <w:rsid w:val="00985584"/>
    <w:rsid w:val="009865C1"/>
    <w:rsid w:val="00987891"/>
    <w:rsid w:val="009901CB"/>
    <w:rsid w:val="00990D8B"/>
    <w:rsid w:val="0099131F"/>
    <w:rsid w:val="00991723"/>
    <w:rsid w:val="00992A6B"/>
    <w:rsid w:val="00993A9F"/>
    <w:rsid w:val="009941E3"/>
    <w:rsid w:val="00994492"/>
    <w:rsid w:val="00995C95"/>
    <w:rsid w:val="00996919"/>
    <w:rsid w:val="00996B14"/>
    <w:rsid w:val="00996BA6"/>
    <w:rsid w:val="009975FD"/>
    <w:rsid w:val="00997E5B"/>
    <w:rsid w:val="009A0745"/>
    <w:rsid w:val="009A3796"/>
    <w:rsid w:val="009A38F9"/>
    <w:rsid w:val="009A3AF0"/>
    <w:rsid w:val="009A496E"/>
    <w:rsid w:val="009A52A2"/>
    <w:rsid w:val="009A5AA4"/>
    <w:rsid w:val="009B0530"/>
    <w:rsid w:val="009B0585"/>
    <w:rsid w:val="009B0882"/>
    <w:rsid w:val="009B1F09"/>
    <w:rsid w:val="009B2454"/>
    <w:rsid w:val="009B38E9"/>
    <w:rsid w:val="009B3B72"/>
    <w:rsid w:val="009B3ECB"/>
    <w:rsid w:val="009B3F86"/>
    <w:rsid w:val="009B4092"/>
    <w:rsid w:val="009B42AB"/>
    <w:rsid w:val="009B455C"/>
    <w:rsid w:val="009B4BD3"/>
    <w:rsid w:val="009B57E0"/>
    <w:rsid w:val="009B5BDA"/>
    <w:rsid w:val="009B7208"/>
    <w:rsid w:val="009B75C6"/>
    <w:rsid w:val="009B77EF"/>
    <w:rsid w:val="009C0235"/>
    <w:rsid w:val="009C02BF"/>
    <w:rsid w:val="009C03FF"/>
    <w:rsid w:val="009C10E9"/>
    <w:rsid w:val="009C127F"/>
    <w:rsid w:val="009C2AB6"/>
    <w:rsid w:val="009C34D8"/>
    <w:rsid w:val="009C4ECB"/>
    <w:rsid w:val="009C5312"/>
    <w:rsid w:val="009C59FD"/>
    <w:rsid w:val="009C6F59"/>
    <w:rsid w:val="009C7B7A"/>
    <w:rsid w:val="009C7F3C"/>
    <w:rsid w:val="009D0648"/>
    <w:rsid w:val="009D065F"/>
    <w:rsid w:val="009D0754"/>
    <w:rsid w:val="009D0FCC"/>
    <w:rsid w:val="009D19D1"/>
    <w:rsid w:val="009D20A2"/>
    <w:rsid w:val="009D21DC"/>
    <w:rsid w:val="009D3353"/>
    <w:rsid w:val="009D33A6"/>
    <w:rsid w:val="009D7921"/>
    <w:rsid w:val="009E1EC7"/>
    <w:rsid w:val="009E34C0"/>
    <w:rsid w:val="009E358D"/>
    <w:rsid w:val="009E3F47"/>
    <w:rsid w:val="009E5912"/>
    <w:rsid w:val="009E6B3B"/>
    <w:rsid w:val="009F0218"/>
    <w:rsid w:val="009F0B39"/>
    <w:rsid w:val="009F0F8C"/>
    <w:rsid w:val="009F136A"/>
    <w:rsid w:val="009F2AAC"/>
    <w:rsid w:val="009F3B06"/>
    <w:rsid w:val="009F3E83"/>
    <w:rsid w:val="009F4154"/>
    <w:rsid w:val="009F4EBD"/>
    <w:rsid w:val="009F5230"/>
    <w:rsid w:val="009F6075"/>
    <w:rsid w:val="009F70D8"/>
    <w:rsid w:val="00A000EC"/>
    <w:rsid w:val="00A002EF"/>
    <w:rsid w:val="00A00A1A"/>
    <w:rsid w:val="00A01047"/>
    <w:rsid w:val="00A02310"/>
    <w:rsid w:val="00A0276A"/>
    <w:rsid w:val="00A05508"/>
    <w:rsid w:val="00A0559B"/>
    <w:rsid w:val="00A05AB0"/>
    <w:rsid w:val="00A0617D"/>
    <w:rsid w:val="00A0625C"/>
    <w:rsid w:val="00A07B2A"/>
    <w:rsid w:val="00A07EF1"/>
    <w:rsid w:val="00A10DBC"/>
    <w:rsid w:val="00A11119"/>
    <w:rsid w:val="00A121E1"/>
    <w:rsid w:val="00A1314F"/>
    <w:rsid w:val="00A13755"/>
    <w:rsid w:val="00A1445E"/>
    <w:rsid w:val="00A14E23"/>
    <w:rsid w:val="00A15261"/>
    <w:rsid w:val="00A16004"/>
    <w:rsid w:val="00A1705C"/>
    <w:rsid w:val="00A17119"/>
    <w:rsid w:val="00A1791C"/>
    <w:rsid w:val="00A17959"/>
    <w:rsid w:val="00A17EB9"/>
    <w:rsid w:val="00A2042D"/>
    <w:rsid w:val="00A205FD"/>
    <w:rsid w:val="00A20B2A"/>
    <w:rsid w:val="00A20E17"/>
    <w:rsid w:val="00A21471"/>
    <w:rsid w:val="00A214D1"/>
    <w:rsid w:val="00A21892"/>
    <w:rsid w:val="00A2283C"/>
    <w:rsid w:val="00A236AF"/>
    <w:rsid w:val="00A237D3"/>
    <w:rsid w:val="00A239C5"/>
    <w:rsid w:val="00A25731"/>
    <w:rsid w:val="00A259AA"/>
    <w:rsid w:val="00A2752C"/>
    <w:rsid w:val="00A2773F"/>
    <w:rsid w:val="00A27C39"/>
    <w:rsid w:val="00A300D9"/>
    <w:rsid w:val="00A3037B"/>
    <w:rsid w:val="00A319FE"/>
    <w:rsid w:val="00A31BA4"/>
    <w:rsid w:val="00A31DFC"/>
    <w:rsid w:val="00A32110"/>
    <w:rsid w:val="00A3375D"/>
    <w:rsid w:val="00A33ABE"/>
    <w:rsid w:val="00A33AF1"/>
    <w:rsid w:val="00A342A7"/>
    <w:rsid w:val="00A34BCC"/>
    <w:rsid w:val="00A354EC"/>
    <w:rsid w:val="00A358AF"/>
    <w:rsid w:val="00A35B0E"/>
    <w:rsid w:val="00A363F8"/>
    <w:rsid w:val="00A3701D"/>
    <w:rsid w:val="00A403E9"/>
    <w:rsid w:val="00A405AE"/>
    <w:rsid w:val="00A40B0F"/>
    <w:rsid w:val="00A41FE3"/>
    <w:rsid w:val="00A43699"/>
    <w:rsid w:val="00A43B9E"/>
    <w:rsid w:val="00A4749B"/>
    <w:rsid w:val="00A47E99"/>
    <w:rsid w:val="00A501AA"/>
    <w:rsid w:val="00A501BD"/>
    <w:rsid w:val="00A50A04"/>
    <w:rsid w:val="00A50CDD"/>
    <w:rsid w:val="00A5100B"/>
    <w:rsid w:val="00A5130A"/>
    <w:rsid w:val="00A5279B"/>
    <w:rsid w:val="00A52FBA"/>
    <w:rsid w:val="00A533BA"/>
    <w:rsid w:val="00A53FEB"/>
    <w:rsid w:val="00A5448A"/>
    <w:rsid w:val="00A55537"/>
    <w:rsid w:val="00A560AB"/>
    <w:rsid w:val="00A5703B"/>
    <w:rsid w:val="00A613BC"/>
    <w:rsid w:val="00A61439"/>
    <w:rsid w:val="00A62606"/>
    <w:rsid w:val="00A62F5E"/>
    <w:rsid w:val="00A62FD2"/>
    <w:rsid w:val="00A63593"/>
    <w:rsid w:val="00A64499"/>
    <w:rsid w:val="00A64555"/>
    <w:rsid w:val="00A645EC"/>
    <w:rsid w:val="00A64C76"/>
    <w:rsid w:val="00A653C0"/>
    <w:rsid w:val="00A65410"/>
    <w:rsid w:val="00A65625"/>
    <w:rsid w:val="00A6640D"/>
    <w:rsid w:val="00A67536"/>
    <w:rsid w:val="00A675E3"/>
    <w:rsid w:val="00A6761E"/>
    <w:rsid w:val="00A67A70"/>
    <w:rsid w:val="00A71575"/>
    <w:rsid w:val="00A7175A"/>
    <w:rsid w:val="00A73E55"/>
    <w:rsid w:val="00A74302"/>
    <w:rsid w:val="00A750D8"/>
    <w:rsid w:val="00A76616"/>
    <w:rsid w:val="00A772AC"/>
    <w:rsid w:val="00A773CC"/>
    <w:rsid w:val="00A77437"/>
    <w:rsid w:val="00A81516"/>
    <w:rsid w:val="00A81CAB"/>
    <w:rsid w:val="00A8202B"/>
    <w:rsid w:val="00A8237B"/>
    <w:rsid w:val="00A8277D"/>
    <w:rsid w:val="00A82E96"/>
    <w:rsid w:val="00A83279"/>
    <w:rsid w:val="00A83312"/>
    <w:rsid w:val="00A842FD"/>
    <w:rsid w:val="00A848EC"/>
    <w:rsid w:val="00A84F0F"/>
    <w:rsid w:val="00A8518C"/>
    <w:rsid w:val="00A86B79"/>
    <w:rsid w:val="00A86D63"/>
    <w:rsid w:val="00A87557"/>
    <w:rsid w:val="00A87675"/>
    <w:rsid w:val="00A876F6"/>
    <w:rsid w:val="00A87C26"/>
    <w:rsid w:val="00A9013B"/>
    <w:rsid w:val="00A905AB"/>
    <w:rsid w:val="00A917DC"/>
    <w:rsid w:val="00A921E2"/>
    <w:rsid w:val="00A92B09"/>
    <w:rsid w:val="00A9399B"/>
    <w:rsid w:val="00A9479E"/>
    <w:rsid w:val="00A95666"/>
    <w:rsid w:val="00A96439"/>
    <w:rsid w:val="00A965C3"/>
    <w:rsid w:val="00A96F41"/>
    <w:rsid w:val="00A975DD"/>
    <w:rsid w:val="00A977A7"/>
    <w:rsid w:val="00A97A1D"/>
    <w:rsid w:val="00AA03CF"/>
    <w:rsid w:val="00AA0692"/>
    <w:rsid w:val="00AA0BA3"/>
    <w:rsid w:val="00AA1454"/>
    <w:rsid w:val="00AA14B3"/>
    <w:rsid w:val="00AA2A0A"/>
    <w:rsid w:val="00AA4404"/>
    <w:rsid w:val="00AA504E"/>
    <w:rsid w:val="00AA538B"/>
    <w:rsid w:val="00AA5B2C"/>
    <w:rsid w:val="00AA6A57"/>
    <w:rsid w:val="00AA6CDB"/>
    <w:rsid w:val="00AB0EA3"/>
    <w:rsid w:val="00AB1D3A"/>
    <w:rsid w:val="00AB27C0"/>
    <w:rsid w:val="00AB3CE6"/>
    <w:rsid w:val="00AB45DC"/>
    <w:rsid w:val="00AB534B"/>
    <w:rsid w:val="00AB54CC"/>
    <w:rsid w:val="00AB649A"/>
    <w:rsid w:val="00AB671B"/>
    <w:rsid w:val="00AC093B"/>
    <w:rsid w:val="00AC0A2A"/>
    <w:rsid w:val="00AC0A96"/>
    <w:rsid w:val="00AC1936"/>
    <w:rsid w:val="00AC20D9"/>
    <w:rsid w:val="00AC2ABF"/>
    <w:rsid w:val="00AC2D65"/>
    <w:rsid w:val="00AC4CEE"/>
    <w:rsid w:val="00AC594E"/>
    <w:rsid w:val="00AC7685"/>
    <w:rsid w:val="00AC7A7C"/>
    <w:rsid w:val="00AD06FD"/>
    <w:rsid w:val="00AD074E"/>
    <w:rsid w:val="00AD28AA"/>
    <w:rsid w:val="00AD2B3E"/>
    <w:rsid w:val="00AD2F63"/>
    <w:rsid w:val="00AD3D8F"/>
    <w:rsid w:val="00AD4BC9"/>
    <w:rsid w:val="00AD5265"/>
    <w:rsid w:val="00AD5D1A"/>
    <w:rsid w:val="00AD5EAF"/>
    <w:rsid w:val="00AD7E59"/>
    <w:rsid w:val="00AE01F0"/>
    <w:rsid w:val="00AE1379"/>
    <w:rsid w:val="00AE3CCE"/>
    <w:rsid w:val="00AE494D"/>
    <w:rsid w:val="00AE59EB"/>
    <w:rsid w:val="00AE6895"/>
    <w:rsid w:val="00AE6D86"/>
    <w:rsid w:val="00AE758D"/>
    <w:rsid w:val="00AE76C0"/>
    <w:rsid w:val="00AF0ADF"/>
    <w:rsid w:val="00AF13DC"/>
    <w:rsid w:val="00AF15C5"/>
    <w:rsid w:val="00AF1B13"/>
    <w:rsid w:val="00AF4A02"/>
    <w:rsid w:val="00AF5954"/>
    <w:rsid w:val="00AF5E8D"/>
    <w:rsid w:val="00AF73BF"/>
    <w:rsid w:val="00AF773F"/>
    <w:rsid w:val="00B00035"/>
    <w:rsid w:val="00B00991"/>
    <w:rsid w:val="00B00E3A"/>
    <w:rsid w:val="00B02D82"/>
    <w:rsid w:val="00B0453D"/>
    <w:rsid w:val="00B046C3"/>
    <w:rsid w:val="00B067EC"/>
    <w:rsid w:val="00B07384"/>
    <w:rsid w:val="00B0755A"/>
    <w:rsid w:val="00B075F3"/>
    <w:rsid w:val="00B07A39"/>
    <w:rsid w:val="00B1043B"/>
    <w:rsid w:val="00B105EE"/>
    <w:rsid w:val="00B10826"/>
    <w:rsid w:val="00B108D5"/>
    <w:rsid w:val="00B110EF"/>
    <w:rsid w:val="00B124A2"/>
    <w:rsid w:val="00B131E6"/>
    <w:rsid w:val="00B1335E"/>
    <w:rsid w:val="00B139F4"/>
    <w:rsid w:val="00B14428"/>
    <w:rsid w:val="00B14AF5"/>
    <w:rsid w:val="00B1650C"/>
    <w:rsid w:val="00B16E80"/>
    <w:rsid w:val="00B171E7"/>
    <w:rsid w:val="00B17DAC"/>
    <w:rsid w:val="00B20451"/>
    <w:rsid w:val="00B2286C"/>
    <w:rsid w:val="00B230E9"/>
    <w:rsid w:val="00B23F6F"/>
    <w:rsid w:val="00B23FB2"/>
    <w:rsid w:val="00B24301"/>
    <w:rsid w:val="00B2430A"/>
    <w:rsid w:val="00B24E10"/>
    <w:rsid w:val="00B2627B"/>
    <w:rsid w:val="00B26309"/>
    <w:rsid w:val="00B2660F"/>
    <w:rsid w:val="00B26FBF"/>
    <w:rsid w:val="00B27CD5"/>
    <w:rsid w:val="00B27FE9"/>
    <w:rsid w:val="00B3061A"/>
    <w:rsid w:val="00B3153A"/>
    <w:rsid w:val="00B31767"/>
    <w:rsid w:val="00B3226E"/>
    <w:rsid w:val="00B32E15"/>
    <w:rsid w:val="00B3335B"/>
    <w:rsid w:val="00B33E53"/>
    <w:rsid w:val="00B34BB9"/>
    <w:rsid w:val="00B35F41"/>
    <w:rsid w:val="00B37F50"/>
    <w:rsid w:val="00B40473"/>
    <w:rsid w:val="00B40925"/>
    <w:rsid w:val="00B4291C"/>
    <w:rsid w:val="00B42E97"/>
    <w:rsid w:val="00B43018"/>
    <w:rsid w:val="00B431F0"/>
    <w:rsid w:val="00B43490"/>
    <w:rsid w:val="00B43C00"/>
    <w:rsid w:val="00B44447"/>
    <w:rsid w:val="00B44C93"/>
    <w:rsid w:val="00B465E6"/>
    <w:rsid w:val="00B4665E"/>
    <w:rsid w:val="00B46B00"/>
    <w:rsid w:val="00B46BD3"/>
    <w:rsid w:val="00B512AF"/>
    <w:rsid w:val="00B53D2A"/>
    <w:rsid w:val="00B53E55"/>
    <w:rsid w:val="00B543B3"/>
    <w:rsid w:val="00B54CB3"/>
    <w:rsid w:val="00B54D9A"/>
    <w:rsid w:val="00B5570A"/>
    <w:rsid w:val="00B56C2A"/>
    <w:rsid w:val="00B5723A"/>
    <w:rsid w:val="00B57935"/>
    <w:rsid w:val="00B617A2"/>
    <w:rsid w:val="00B621A0"/>
    <w:rsid w:val="00B62498"/>
    <w:rsid w:val="00B630C1"/>
    <w:rsid w:val="00B64902"/>
    <w:rsid w:val="00B650C6"/>
    <w:rsid w:val="00B65B4A"/>
    <w:rsid w:val="00B66DE5"/>
    <w:rsid w:val="00B67C85"/>
    <w:rsid w:val="00B70BBE"/>
    <w:rsid w:val="00B7178D"/>
    <w:rsid w:val="00B71A9D"/>
    <w:rsid w:val="00B73B85"/>
    <w:rsid w:val="00B74C6D"/>
    <w:rsid w:val="00B75570"/>
    <w:rsid w:val="00B75D13"/>
    <w:rsid w:val="00B7619D"/>
    <w:rsid w:val="00B76CE2"/>
    <w:rsid w:val="00B7751B"/>
    <w:rsid w:val="00B7781F"/>
    <w:rsid w:val="00B778C6"/>
    <w:rsid w:val="00B77967"/>
    <w:rsid w:val="00B77FE7"/>
    <w:rsid w:val="00B8065A"/>
    <w:rsid w:val="00B80B0D"/>
    <w:rsid w:val="00B83B83"/>
    <w:rsid w:val="00B83C1D"/>
    <w:rsid w:val="00B8497F"/>
    <w:rsid w:val="00B84D1D"/>
    <w:rsid w:val="00B85773"/>
    <w:rsid w:val="00B8675E"/>
    <w:rsid w:val="00B87D97"/>
    <w:rsid w:val="00B90A0B"/>
    <w:rsid w:val="00B912BC"/>
    <w:rsid w:val="00B91AA7"/>
    <w:rsid w:val="00B925AA"/>
    <w:rsid w:val="00B943DC"/>
    <w:rsid w:val="00B94AE6"/>
    <w:rsid w:val="00B959AE"/>
    <w:rsid w:val="00B95A40"/>
    <w:rsid w:val="00B97D14"/>
    <w:rsid w:val="00BA05AC"/>
    <w:rsid w:val="00BA1621"/>
    <w:rsid w:val="00BA1B89"/>
    <w:rsid w:val="00BA2BC9"/>
    <w:rsid w:val="00BA2DCD"/>
    <w:rsid w:val="00BA2FBE"/>
    <w:rsid w:val="00BA37D9"/>
    <w:rsid w:val="00BA3936"/>
    <w:rsid w:val="00BA4637"/>
    <w:rsid w:val="00BA4686"/>
    <w:rsid w:val="00BA60B7"/>
    <w:rsid w:val="00BA611A"/>
    <w:rsid w:val="00BA655A"/>
    <w:rsid w:val="00BA79D2"/>
    <w:rsid w:val="00BB28A0"/>
    <w:rsid w:val="00BB2A5C"/>
    <w:rsid w:val="00BB2EA9"/>
    <w:rsid w:val="00BB2EC1"/>
    <w:rsid w:val="00BB2F27"/>
    <w:rsid w:val="00BB3E9A"/>
    <w:rsid w:val="00BB4D32"/>
    <w:rsid w:val="00BB5237"/>
    <w:rsid w:val="00BB5684"/>
    <w:rsid w:val="00BB63C1"/>
    <w:rsid w:val="00BB6CF7"/>
    <w:rsid w:val="00BC1323"/>
    <w:rsid w:val="00BC18A4"/>
    <w:rsid w:val="00BC1A55"/>
    <w:rsid w:val="00BC2450"/>
    <w:rsid w:val="00BC4C97"/>
    <w:rsid w:val="00BD0CBC"/>
    <w:rsid w:val="00BD101A"/>
    <w:rsid w:val="00BD1866"/>
    <w:rsid w:val="00BD23CE"/>
    <w:rsid w:val="00BD2891"/>
    <w:rsid w:val="00BD3E0C"/>
    <w:rsid w:val="00BD4EC9"/>
    <w:rsid w:val="00BD5FBB"/>
    <w:rsid w:val="00BD630A"/>
    <w:rsid w:val="00BD63B8"/>
    <w:rsid w:val="00BD6E71"/>
    <w:rsid w:val="00BD71BD"/>
    <w:rsid w:val="00BD7503"/>
    <w:rsid w:val="00BE0E0E"/>
    <w:rsid w:val="00BE1355"/>
    <w:rsid w:val="00BE1CE9"/>
    <w:rsid w:val="00BE1E21"/>
    <w:rsid w:val="00BE2E45"/>
    <w:rsid w:val="00BE36A1"/>
    <w:rsid w:val="00BE3A17"/>
    <w:rsid w:val="00BE6ED0"/>
    <w:rsid w:val="00BE74FD"/>
    <w:rsid w:val="00BE7A13"/>
    <w:rsid w:val="00BE7C02"/>
    <w:rsid w:val="00BF05E4"/>
    <w:rsid w:val="00BF1364"/>
    <w:rsid w:val="00BF142D"/>
    <w:rsid w:val="00BF1F12"/>
    <w:rsid w:val="00BF3D37"/>
    <w:rsid w:val="00BF3DEF"/>
    <w:rsid w:val="00BF46F2"/>
    <w:rsid w:val="00BF50D2"/>
    <w:rsid w:val="00BF579B"/>
    <w:rsid w:val="00BF5E2E"/>
    <w:rsid w:val="00BF6082"/>
    <w:rsid w:val="00BF6133"/>
    <w:rsid w:val="00BF698E"/>
    <w:rsid w:val="00BF7548"/>
    <w:rsid w:val="00BF7967"/>
    <w:rsid w:val="00BF7F80"/>
    <w:rsid w:val="00C0080C"/>
    <w:rsid w:val="00C00F06"/>
    <w:rsid w:val="00C01E81"/>
    <w:rsid w:val="00C01F98"/>
    <w:rsid w:val="00C02574"/>
    <w:rsid w:val="00C02719"/>
    <w:rsid w:val="00C03711"/>
    <w:rsid w:val="00C03D4A"/>
    <w:rsid w:val="00C04AF3"/>
    <w:rsid w:val="00C05D8B"/>
    <w:rsid w:val="00C05EF2"/>
    <w:rsid w:val="00C06C30"/>
    <w:rsid w:val="00C06F92"/>
    <w:rsid w:val="00C07265"/>
    <w:rsid w:val="00C07385"/>
    <w:rsid w:val="00C07CD6"/>
    <w:rsid w:val="00C102A5"/>
    <w:rsid w:val="00C10731"/>
    <w:rsid w:val="00C1142E"/>
    <w:rsid w:val="00C126AE"/>
    <w:rsid w:val="00C13612"/>
    <w:rsid w:val="00C13DEE"/>
    <w:rsid w:val="00C14594"/>
    <w:rsid w:val="00C14671"/>
    <w:rsid w:val="00C146B6"/>
    <w:rsid w:val="00C14BE8"/>
    <w:rsid w:val="00C15C3E"/>
    <w:rsid w:val="00C16260"/>
    <w:rsid w:val="00C169A1"/>
    <w:rsid w:val="00C17666"/>
    <w:rsid w:val="00C20A0E"/>
    <w:rsid w:val="00C2109B"/>
    <w:rsid w:val="00C21E0A"/>
    <w:rsid w:val="00C22113"/>
    <w:rsid w:val="00C23185"/>
    <w:rsid w:val="00C241BA"/>
    <w:rsid w:val="00C24304"/>
    <w:rsid w:val="00C2570A"/>
    <w:rsid w:val="00C25BAD"/>
    <w:rsid w:val="00C26540"/>
    <w:rsid w:val="00C27818"/>
    <w:rsid w:val="00C3018B"/>
    <w:rsid w:val="00C30F84"/>
    <w:rsid w:val="00C31D0E"/>
    <w:rsid w:val="00C328B5"/>
    <w:rsid w:val="00C33599"/>
    <w:rsid w:val="00C33A4D"/>
    <w:rsid w:val="00C34C7D"/>
    <w:rsid w:val="00C3566B"/>
    <w:rsid w:val="00C35D79"/>
    <w:rsid w:val="00C365CF"/>
    <w:rsid w:val="00C374B6"/>
    <w:rsid w:val="00C40791"/>
    <w:rsid w:val="00C4120D"/>
    <w:rsid w:val="00C436AE"/>
    <w:rsid w:val="00C43F69"/>
    <w:rsid w:val="00C44720"/>
    <w:rsid w:val="00C44B9D"/>
    <w:rsid w:val="00C45428"/>
    <w:rsid w:val="00C46640"/>
    <w:rsid w:val="00C466DF"/>
    <w:rsid w:val="00C4786F"/>
    <w:rsid w:val="00C50025"/>
    <w:rsid w:val="00C519A1"/>
    <w:rsid w:val="00C51AD6"/>
    <w:rsid w:val="00C520F7"/>
    <w:rsid w:val="00C5270B"/>
    <w:rsid w:val="00C52C4E"/>
    <w:rsid w:val="00C52CC3"/>
    <w:rsid w:val="00C54497"/>
    <w:rsid w:val="00C5577E"/>
    <w:rsid w:val="00C55C35"/>
    <w:rsid w:val="00C561B2"/>
    <w:rsid w:val="00C56353"/>
    <w:rsid w:val="00C566E1"/>
    <w:rsid w:val="00C5767D"/>
    <w:rsid w:val="00C57896"/>
    <w:rsid w:val="00C579CF"/>
    <w:rsid w:val="00C601D7"/>
    <w:rsid w:val="00C60565"/>
    <w:rsid w:val="00C623F5"/>
    <w:rsid w:val="00C629A7"/>
    <w:rsid w:val="00C63166"/>
    <w:rsid w:val="00C649F5"/>
    <w:rsid w:val="00C64A26"/>
    <w:rsid w:val="00C65166"/>
    <w:rsid w:val="00C65578"/>
    <w:rsid w:val="00C6716C"/>
    <w:rsid w:val="00C674EF"/>
    <w:rsid w:val="00C70252"/>
    <w:rsid w:val="00C71481"/>
    <w:rsid w:val="00C714A5"/>
    <w:rsid w:val="00C71BAC"/>
    <w:rsid w:val="00C71D5A"/>
    <w:rsid w:val="00C7299F"/>
    <w:rsid w:val="00C72A40"/>
    <w:rsid w:val="00C72E7B"/>
    <w:rsid w:val="00C73D18"/>
    <w:rsid w:val="00C743DD"/>
    <w:rsid w:val="00C7477B"/>
    <w:rsid w:val="00C75506"/>
    <w:rsid w:val="00C76063"/>
    <w:rsid w:val="00C77575"/>
    <w:rsid w:val="00C77C0E"/>
    <w:rsid w:val="00C83AAE"/>
    <w:rsid w:val="00C85B9E"/>
    <w:rsid w:val="00C870E9"/>
    <w:rsid w:val="00C87DCC"/>
    <w:rsid w:val="00C87F4E"/>
    <w:rsid w:val="00C910D7"/>
    <w:rsid w:val="00C910F0"/>
    <w:rsid w:val="00C91801"/>
    <w:rsid w:val="00C9221F"/>
    <w:rsid w:val="00C922F5"/>
    <w:rsid w:val="00C92B56"/>
    <w:rsid w:val="00C92C97"/>
    <w:rsid w:val="00C930B6"/>
    <w:rsid w:val="00C93FA7"/>
    <w:rsid w:val="00C9423B"/>
    <w:rsid w:val="00C9513B"/>
    <w:rsid w:val="00C952C3"/>
    <w:rsid w:val="00C95C7A"/>
    <w:rsid w:val="00C96008"/>
    <w:rsid w:val="00C962BB"/>
    <w:rsid w:val="00C96C2E"/>
    <w:rsid w:val="00C970EA"/>
    <w:rsid w:val="00C9737A"/>
    <w:rsid w:val="00C97889"/>
    <w:rsid w:val="00C97CC8"/>
    <w:rsid w:val="00C97F23"/>
    <w:rsid w:val="00CA025B"/>
    <w:rsid w:val="00CA19AD"/>
    <w:rsid w:val="00CA283E"/>
    <w:rsid w:val="00CA2BDE"/>
    <w:rsid w:val="00CA2E3F"/>
    <w:rsid w:val="00CA3B99"/>
    <w:rsid w:val="00CA3D6B"/>
    <w:rsid w:val="00CA410E"/>
    <w:rsid w:val="00CA4157"/>
    <w:rsid w:val="00CA44EE"/>
    <w:rsid w:val="00CA4696"/>
    <w:rsid w:val="00CA4E2A"/>
    <w:rsid w:val="00CA5561"/>
    <w:rsid w:val="00CA5B73"/>
    <w:rsid w:val="00CA5C0B"/>
    <w:rsid w:val="00CA5C2C"/>
    <w:rsid w:val="00CA66EF"/>
    <w:rsid w:val="00CA7701"/>
    <w:rsid w:val="00CA7F5B"/>
    <w:rsid w:val="00CB1F65"/>
    <w:rsid w:val="00CB2064"/>
    <w:rsid w:val="00CB35CD"/>
    <w:rsid w:val="00CB3668"/>
    <w:rsid w:val="00CB385B"/>
    <w:rsid w:val="00CB5E2E"/>
    <w:rsid w:val="00CB6393"/>
    <w:rsid w:val="00CB6422"/>
    <w:rsid w:val="00CB64C7"/>
    <w:rsid w:val="00CB6D06"/>
    <w:rsid w:val="00CB73E8"/>
    <w:rsid w:val="00CC027E"/>
    <w:rsid w:val="00CC078F"/>
    <w:rsid w:val="00CC279F"/>
    <w:rsid w:val="00CC32F3"/>
    <w:rsid w:val="00CC4983"/>
    <w:rsid w:val="00CC5DFC"/>
    <w:rsid w:val="00CC6271"/>
    <w:rsid w:val="00CC79AB"/>
    <w:rsid w:val="00CD011C"/>
    <w:rsid w:val="00CD0934"/>
    <w:rsid w:val="00CD1242"/>
    <w:rsid w:val="00CD395A"/>
    <w:rsid w:val="00CD4BAF"/>
    <w:rsid w:val="00CD567A"/>
    <w:rsid w:val="00CD5A0C"/>
    <w:rsid w:val="00CD5EF9"/>
    <w:rsid w:val="00CD5F53"/>
    <w:rsid w:val="00CD602C"/>
    <w:rsid w:val="00CD695A"/>
    <w:rsid w:val="00CD7CD2"/>
    <w:rsid w:val="00CE002B"/>
    <w:rsid w:val="00CE064D"/>
    <w:rsid w:val="00CE2571"/>
    <w:rsid w:val="00CE6313"/>
    <w:rsid w:val="00CE6E6E"/>
    <w:rsid w:val="00CE6F04"/>
    <w:rsid w:val="00CE7058"/>
    <w:rsid w:val="00CE7855"/>
    <w:rsid w:val="00CE7A02"/>
    <w:rsid w:val="00CE7A8F"/>
    <w:rsid w:val="00CE7CD3"/>
    <w:rsid w:val="00CE7CF0"/>
    <w:rsid w:val="00CF0082"/>
    <w:rsid w:val="00CF054A"/>
    <w:rsid w:val="00CF124E"/>
    <w:rsid w:val="00CF1B33"/>
    <w:rsid w:val="00CF2198"/>
    <w:rsid w:val="00CF29CA"/>
    <w:rsid w:val="00CF2FDF"/>
    <w:rsid w:val="00CF4481"/>
    <w:rsid w:val="00CF4B15"/>
    <w:rsid w:val="00CF4E09"/>
    <w:rsid w:val="00CF56E2"/>
    <w:rsid w:val="00CF6F63"/>
    <w:rsid w:val="00CF7E96"/>
    <w:rsid w:val="00D030CF"/>
    <w:rsid w:val="00D03691"/>
    <w:rsid w:val="00D041C0"/>
    <w:rsid w:val="00D043DB"/>
    <w:rsid w:val="00D051F3"/>
    <w:rsid w:val="00D05230"/>
    <w:rsid w:val="00D05483"/>
    <w:rsid w:val="00D07DF5"/>
    <w:rsid w:val="00D1095E"/>
    <w:rsid w:val="00D11586"/>
    <w:rsid w:val="00D11F89"/>
    <w:rsid w:val="00D121DF"/>
    <w:rsid w:val="00D1332E"/>
    <w:rsid w:val="00D139BE"/>
    <w:rsid w:val="00D13E0D"/>
    <w:rsid w:val="00D16494"/>
    <w:rsid w:val="00D167CE"/>
    <w:rsid w:val="00D16F90"/>
    <w:rsid w:val="00D20C4D"/>
    <w:rsid w:val="00D23179"/>
    <w:rsid w:val="00D2494D"/>
    <w:rsid w:val="00D25022"/>
    <w:rsid w:val="00D2520F"/>
    <w:rsid w:val="00D257EC"/>
    <w:rsid w:val="00D25C07"/>
    <w:rsid w:val="00D25F0C"/>
    <w:rsid w:val="00D260C8"/>
    <w:rsid w:val="00D261FC"/>
    <w:rsid w:val="00D265A8"/>
    <w:rsid w:val="00D26DEB"/>
    <w:rsid w:val="00D272A2"/>
    <w:rsid w:val="00D2763E"/>
    <w:rsid w:val="00D300A0"/>
    <w:rsid w:val="00D308C4"/>
    <w:rsid w:val="00D30A2C"/>
    <w:rsid w:val="00D30DBB"/>
    <w:rsid w:val="00D317B5"/>
    <w:rsid w:val="00D32699"/>
    <w:rsid w:val="00D32A8F"/>
    <w:rsid w:val="00D32DE1"/>
    <w:rsid w:val="00D3303E"/>
    <w:rsid w:val="00D330CA"/>
    <w:rsid w:val="00D341C8"/>
    <w:rsid w:val="00D3442C"/>
    <w:rsid w:val="00D34670"/>
    <w:rsid w:val="00D34D37"/>
    <w:rsid w:val="00D35CDC"/>
    <w:rsid w:val="00D36EA7"/>
    <w:rsid w:val="00D37225"/>
    <w:rsid w:val="00D40062"/>
    <w:rsid w:val="00D402BE"/>
    <w:rsid w:val="00D40656"/>
    <w:rsid w:val="00D406E9"/>
    <w:rsid w:val="00D40E7B"/>
    <w:rsid w:val="00D41054"/>
    <w:rsid w:val="00D41AE5"/>
    <w:rsid w:val="00D440D0"/>
    <w:rsid w:val="00D4448C"/>
    <w:rsid w:val="00D4499C"/>
    <w:rsid w:val="00D44E93"/>
    <w:rsid w:val="00D45000"/>
    <w:rsid w:val="00D4557B"/>
    <w:rsid w:val="00D45943"/>
    <w:rsid w:val="00D465BF"/>
    <w:rsid w:val="00D46923"/>
    <w:rsid w:val="00D46A04"/>
    <w:rsid w:val="00D46CF6"/>
    <w:rsid w:val="00D4760C"/>
    <w:rsid w:val="00D515EF"/>
    <w:rsid w:val="00D53055"/>
    <w:rsid w:val="00D5308A"/>
    <w:rsid w:val="00D5577E"/>
    <w:rsid w:val="00D55B55"/>
    <w:rsid w:val="00D5694F"/>
    <w:rsid w:val="00D60F59"/>
    <w:rsid w:val="00D63263"/>
    <w:rsid w:val="00D63714"/>
    <w:rsid w:val="00D63AAB"/>
    <w:rsid w:val="00D63B4D"/>
    <w:rsid w:val="00D64693"/>
    <w:rsid w:val="00D65312"/>
    <w:rsid w:val="00D6559E"/>
    <w:rsid w:val="00D655D4"/>
    <w:rsid w:val="00D672BD"/>
    <w:rsid w:val="00D67738"/>
    <w:rsid w:val="00D67E82"/>
    <w:rsid w:val="00D70200"/>
    <w:rsid w:val="00D70E8A"/>
    <w:rsid w:val="00D7167A"/>
    <w:rsid w:val="00D71994"/>
    <w:rsid w:val="00D72D91"/>
    <w:rsid w:val="00D72E31"/>
    <w:rsid w:val="00D72EF7"/>
    <w:rsid w:val="00D74348"/>
    <w:rsid w:val="00D74BFE"/>
    <w:rsid w:val="00D75D8A"/>
    <w:rsid w:val="00D76443"/>
    <w:rsid w:val="00D77B6B"/>
    <w:rsid w:val="00D77FDC"/>
    <w:rsid w:val="00D800FE"/>
    <w:rsid w:val="00D806FB"/>
    <w:rsid w:val="00D80D2E"/>
    <w:rsid w:val="00D810F3"/>
    <w:rsid w:val="00D81530"/>
    <w:rsid w:val="00D829FC"/>
    <w:rsid w:val="00D8409F"/>
    <w:rsid w:val="00D8548F"/>
    <w:rsid w:val="00D86C0C"/>
    <w:rsid w:val="00D86D2F"/>
    <w:rsid w:val="00D90460"/>
    <w:rsid w:val="00D9100C"/>
    <w:rsid w:val="00D91036"/>
    <w:rsid w:val="00D910C2"/>
    <w:rsid w:val="00D916BD"/>
    <w:rsid w:val="00D917A9"/>
    <w:rsid w:val="00D91A79"/>
    <w:rsid w:val="00D91B60"/>
    <w:rsid w:val="00D94081"/>
    <w:rsid w:val="00D94084"/>
    <w:rsid w:val="00D94159"/>
    <w:rsid w:val="00D94AC9"/>
    <w:rsid w:val="00D94EF1"/>
    <w:rsid w:val="00D9597F"/>
    <w:rsid w:val="00D95B2B"/>
    <w:rsid w:val="00D97C44"/>
    <w:rsid w:val="00D97EC3"/>
    <w:rsid w:val="00D97FC0"/>
    <w:rsid w:val="00DA05C6"/>
    <w:rsid w:val="00DA0C17"/>
    <w:rsid w:val="00DA217D"/>
    <w:rsid w:val="00DA483E"/>
    <w:rsid w:val="00DA4C6A"/>
    <w:rsid w:val="00DA54F4"/>
    <w:rsid w:val="00DA5F5A"/>
    <w:rsid w:val="00DA72ED"/>
    <w:rsid w:val="00DB0332"/>
    <w:rsid w:val="00DB0CBE"/>
    <w:rsid w:val="00DB11F5"/>
    <w:rsid w:val="00DB15EB"/>
    <w:rsid w:val="00DB27CE"/>
    <w:rsid w:val="00DB398B"/>
    <w:rsid w:val="00DB4503"/>
    <w:rsid w:val="00DB50A2"/>
    <w:rsid w:val="00DB588B"/>
    <w:rsid w:val="00DB62B4"/>
    <w:rsid w:val="00DB66EF"/>
    <w:rsid w:val="00DC07AD"/>
    <w:rsid w:val="00DC148C"/>
    <w:rsid w:val="00DC152D"/>
    <w:rsid w:val="00DC222D"/>
    <w:rsid w:val="00DC2CB8"/>
    <w:rsid w:val="00DC3817"/>
    <w:rsid w:val="00DC3F8B"/>
    <w:rsid w:val="00DC4412"/>
    <w:rsid w:val="00DC48AF"/>
    <w:rsid w:val="00DC4F3B"/>
    <w:rsid w:val="00DC569F"/>
    <w:rsid w:val="00DC5942"/>
    <w:rsid w:val="00DC5CAC"/>
    <w:rsid w:val="00DC6EA1"/>
    <w:rsid w:val="00DC71EF"/>
    <w:rsid w:val="00DC74DD"/>
    <w:rsid w:val="00DC74F9"/>
    <w:rsid w:val="00DC77CE"/>
    <w:rsid w:val="00DC7ACF"/>
    <w:rsid w:val="00DC7E4D"/>
    <w:rsid w:val="00DD0731"/>
    <w:rsid w:val="00DD1B0F"/>
    <w:rsid w:val="00DD1D76"/>
    <w:rsid w:val="00DD239B"/>
    <w:rsid w:val="00DD2872"/>
    <w:rsid w:val="00DD4212"/>
    <w:rsid w:val="00DD5220"/>
    <w:rsid w:val="00DD7E24"/>
    <w:rsid w:val="00DE0286"/>
    <w:rsid w:val="00DE1591"/>
    <w:rsid w:val="00DE2282"/>
    <w:rsid w:val="00DE26F9"/>
    <w:rsid w:val="00DE413A"/>
    <w:rsid w:val="00DE44FE"/>
    <w:rsid w:val="00DE4E95"/>
    <w:rsid w:val="00DE524C"/>
    <w:rsid w:val="00DE7BB2"/>
    <w:rsid w:val="00DE7D1D"/>
    <w:rsid w:val="00DF0987"/>
    <w:rsid w:val="00DF0E3D"/>
    <w:rsid w:val="00DF1616"/>
    <w:rsid w:val="00DF2ADE"/>
    <w:rsid w:val="00DF391F"/>
    <w:rsid w:val="00DF4672"/>
    <w:rsid w:val="00DF6C50"/>
    <w:rsid w:val="00DF7916"/>
    <w:rsid w:val="00DF7E3E"/>
    <w:rsid w:val="00DF7EF5"/>
    <w:rsid w:val="00DF7F27"/>
    <w:rsid w:val="00E004C0"/>
    <w:rsid w:val="00E02654"/>
    <w:rsid w:val="00E02B0D"/>
    <w:rsid w:val="00E0318F"/>
    <w:rsid w:val="00E0381E"/>
    <w:rsid w:val="00E03AED"/>
    <w:rsid w:val="00E03B1C"/>
    <w:rsid w:val="00E0436D"/>
    <w:rsid w:val="00E0493F"/>
    <w:rsid w:val="00E05076"/>
    <w:rsid w:val="00E06F82"/>
    <w:rsid w:val="00E10C83"/>
    <w:rsid w:val="00E1268E"/>
    <w:rsid w:val="00E12E0A"/>
    <w:rsid w:val="00E13D1F"/>
    <w:rsid w:val="00E13E9E"/>
    <w:rsid w:val="00E146B9"/>
    <w:rsid w:val="00E146EB"/>
    <w:rsid w:val="00E14CF0"/>
    <w:rsid w:val="00E1574C"/>
    <w:rsid w:val="00E1669B"/>
    <w:rsid w:val="00E16802"/>
    <w:rsid w:val="00E1703D"/>
    <w:rsid w:val="00E21074"/>
    <w:rsid w:val="00E21283"/>
    <w:rsid w:val="00E22F85"/>
    <w:rsid w:val="00E238F0"/>
    <w:rsid w:val="00E23BB7"/>
    <w:rsid w:val="00E2416E"/>
    <w:rsid w:val="00E244AB"/>
    <w:rsid w:val="00E24649"/>
    <w:rsid w:val="00E255B0"/>
    <w:rsid w:val="00E256F3"/>
    <w:rsid w:val="00E25CEF"/>
    <w:rsid w:val="00E26ECB"/>
    <w:rsid w:val="00E270F0"/>
    <w:rsid w:val="00E27378"/>
    <w:rsid w:val="00E3170E"/>
    <w:rsid w:val="00E320BE"/>
    <w:rsid w:val="00E330CC"/>
    <w:rsid w:val="00E332A2"/>
    <w:rsid w:val="00E333C2"/>
    <w:rsid w:val="00E34439"/>
    <w:rsid w:val="00E35552"/>
    <w:rsid w:val="00E36478"/>
    <w:rsid w:val="00E37F06"/>
    <w:rsid w:val="00E4045C"/>
    <w:rsid w:val="00E40553"/>
    <w:rsid w:val="00E436EE"/>
    <w:rsid w:val="00E43A58"/>
    <w:rsid w:val="00E43D44"/>
    <w:rsid w:val="00E44E93"/>
    <w:rsid w:val="00E44F81"/>
    <w:rsid w:val="00E45149"/>
    <w:rsid w:val="00E45500"/>
    <w:rsid w:val="00E459BB"/>
    <w:rsid w:val="00E46212"/>
    <w:rsid w:val="00E500F8"/>
    <w:rsid w:val="00E506A8"/>
    <w:rsid w:val="00E50AB3"/>
    <w:rsid w:val="00E50FB5"/>
    <w:rsid w:val="00E5118C"/>
    <w:rsid w:val="00E51450"/>
    <w:rsid w:val="00E52902"/>
    <w:rsid w:val="00E52C61"/>
    <w:rsid w:val="00E52C70"/>
    <w:rsid w:val="00E538B1"/>
    <w:rsid w:val="00E5438C"/>
    <w:rsid w:val="00E54725"/>
    <w:rsid w:val="00E552F6"/>
    <w:rsid w:val="00E5544E"/>
    <w:rsid w:val="00E560D4"/>
    <w:rsid w:val="00E5626C"/>
    <w:rsid w:val="00E56951"/>
    <w:rsid w:val="00E570F6"/>
    <w:rsid w:val="00E57857"/>
    <w:rsid w:val="00E61398"/>
    <w:rsid w:val="00E62D85"/>
    <w:rsid w:val="00E63550"/>
    <w:rsid w:val="00E63942"/>
    <w:rsid w:val="00E64D08"/>
    <w:rsid w:val="00E66866"/>
    <w:rsid w:val="00E66A79"/>
    <w:rsid w:val="00E67BD1"/>
    <w:rsid w:val="00E73FEE"/>
    <w:rsid w:val="00E74097"/>
    <w:rsid w:val="00E760CA"/>
    <w:rsid w:val="00E763C5"/>
    <w:rsid w:val="00E76B18"/>
    <w:rsid w:val="00E8005E"/>
    <w:rsid w:val="00E8051C"/>
    <w:rsid w:val="00E80598"/>
    <w:rsid w:val="00E80E30"/>
    <w:rsid w:val="00E811C3"/>
    <w:rsid w:val="00E8176D"/>
    <w:rsid w:val="00E8305A"/>
    <w:rsid w:val="00E83896"/>
    <w:rsid w:val="00E83AAF"/>
    <w:rsid w:val="00E84120"/>
    <w:rsid w:val="00E8429E"/>
    <w:rsid w:val="00E854EB"/>
    <w:rsid w:val="00E8586E"/>
    <w:rsid w:val="00E904D9"/>
    <w:rsid w:val="00E90B33"/>
    <w:rsid w:val="00E91DE5"/>
    <w:rsid w:val="00E92418"/>
    <w:rsid w:val="00E925D5"/>
    <w:rsid w:val="00E93535"/>
    <w:rsid w:val="00E947D0"/>
    <w:rsid w:val="00E9528D"/>
    <w:rsid w:val="00E95B98"/>
    <w:rsid w:val="00E95ED9"/>
    <w:rsid w:val="00E95FEC"/>
    <w:rsid w:val="00E97386"/>
    <w:rsid w:val="00E97A02"/>
    <w:rsid w:val="00E97C86"/>
    <w:rsid w:val="00EA0199"/>
    <w:rsid w:val="00EA048D"/>
    <w:rsid w:val="00EA109D"/>
    <w:rsid w:val="00EA1380"/>
    <w:rsid w:val="00EA45A4"/>
    <w:rsid w:val="00EA4725"/>
    <w:rsid w:val="00EA4787"/>
    <w:rsid w:val="00EA5F44"/>
    <w:rsid w:val="00EA7144"/>
    <w:rsid w:val="00EA7943"/>
    <w:rsid w:val="00EB083D"/>
    <w:rsid w:val="00EB0D9F"/>
    <w:rsid w:val="00EB2D35"/>
    <w:rsid w:val="00EB4B5D"/>
    <w:rsid w:val="00EB67D1"/>
    <w:rsid w:val="00EB6AA4"/>
    <w:rsid w:val="00EB7F51"/>
    <w:rsid w:val="00EC0466"/>
    <w:rsid w:val="00EC1267"/>
    <w:rsid w:val="00EC1374"/>
    <w:rsid w:val="00EC1AEC"/>
    <w:rsid w:val="00EC2BAD"/>
    <w:rsid w:val="00EC2F01"/>
    <w:rsid w:val="00EC379A"/>
    <w:rsid w:val="00EC523A"/>
    <w:rsid w:val="00EC59A5"/>
    <w:rsid w:val="00EC7639"/>
    <w:rsid w:val="00ED07A6"/>
    <w:rsid w:val="00ED17AC"/>
    <w:rsid w:val="00ED19A8"/>
    <w:rsid w:val="00ED318F"/>
    <w:rsid w:val="00ED485B"/>
    <w:rsid w:val="00ED4DBC"/>
    <w:rsid w:val="00ED65D4"/>
    <w:rsid w:val="00ED6E99"/>
    <w:rsid w:val="00EE087C"/>
    <w:rsid w:val="00EE214F"/>
    <w:rsid w:val="00EE21C5"/>
    <w:rsid w:val="00EE2676"/>
    <w:rsid w:val="00EE372A"/>
    <w:rsid w:val="00EE3E04"/>
    <w:rsid w:val="00EE4054"/>
    <w:rsid w:val="00EE4516"/>
    <w:rsid w:val="00EF0D30"/>
    <w:rsid w:val="00EF3004"/>
    <w:rsid w:val="00EF50C8"/>
    <w:rsid w:val="00EF6867"/>
    <w:rsid w:val="00EF70EE"/>
    <w:rsid w:val="00F000F4"/>
    <w:rsid w:val="00F00437"/>
    <w:rsid w:val="00F006D5"/>
    <w:rsid w:val="00F02192"/>
    <w:rsid w:val="00F0313E"/>
    <w:rsid w:val="00F03DE7"/>
    <w:rsid w:val="00F0409D"/>
    <w:rsid w:val="00F046BB"/>
    <w:rsid w:val="00F06EA2"/>
    <w:rsid w:val="00F06F48"/>
    <w:rsid w:val="00F0749D"/>
    <w:rsid w:val="00F07C2F"/>
    <w:rsid w:val="00F100E8"/>
    <w:rsid w:val="00F11EE8"/>
    <w:rsid w:val="00F12255"/>
    <w:rsid w:val="00F1269B"/>
    <w:rsid w:val="00F13B50"/>
    <w:rsid w:val="00F141FB"/>
    <w:rsid w:val="00F158E8"/>
    <w:rsid w:val="00F164BC"/>
    <w:rsid w:val="00F16910"/>
    <w:rsid w:val="00F17435"/>
    <w:rsid w:val="00F2022A"/>
    <w:rsid w:val="00F21430"/>
    <w:rsid w:val="00F21782"/>
    <w:rsid w:val="00F21C76"/>
    <w:rsid w:val="00F22CD0"/>
    <w:rsid w:val="00F22E27"/>
    <w:rsid w:val="00F23FC7"/>
    <w:rsid w:val="00F24A22"/>
    <w:rsid w:val="00F26A66"/>
    <w:rsid w:val="00F27416"/>
    <w:rsid w:val="00F27DD8"/>
    <w:rsid w:val="00F31716"/>
    <w:rsid w:val="00F368E1"/>
    <w:rsid w:val="00F37DEF"/>
    <w:rsid w:val="00F40B85"/>
    <w:rsid w:val="00F41267"/>
    <w:rsid w:val="00F41E03"/>
    <w:rsid w:val="00F420B2"/>
    <w:rsid w:val="00F4225A"/>
    <w:rsid w:val="00F42506"/>
    <w:rsid w:val="00F42AA3"/>
    <w:rsid w:val="00F42B3E"/>
    <w:rsid w:val="00F43ACD"/>
    <w:rsid w:val="00F442C7"/>
    <w:rsid w:val="00F4481B"/>
    <w:rsid w:val="00F474D5"/>
    <w:rsid w:val="00F47CCE"/>
    <w:rsid w:val="00F5134C"/>
    <w:rsid w:val="00F51780"/>
    <w:rsid w:val="00F51A6F"/>
    <w:rsid w:val="00F52CB7"/>
    <w:rsid w:val="00F5317D"/>
    <w:rsid w:val="00F53DCA"/>
    <w:rsid w:val="00F53F7E"/>
    <w:rsid w:val="00F5574F"/>
    <w:rsid w:val="00F55E0E"/>
    <w:rsid w:val="00F562EE"/>
    <w:rsid w:val="00F57E0E"/>
    <w:rsid w:val="00F610B5"/>
    <w:rsid w:val="00F61826"/>
    <w:rsid w:val="00F6453F"/>
    <w:rsid w:val="00F64BB0"/>
    <w:rsid w:val="00F6555B"/>
    <w:rsid w:val="00F656CE"/>
    <w:rsid w:val="00F673CD"/>
    <w:rsid w:val="00F6778F"/>
    <w:rsid w:val="00F6788E"/>
    <w:rsid w:val="00F710C4"/>
    <w:rsid w:val="00F71FA0"/>
    <w:rsid w:val="00F72822"/>
    <w:rsid w:val="00F73073"/>
    <w:rsid w:val="00F73BA5"/>
    <w:rsid w:val="00F74662"/>
    <w:rsid w:val="00F77AEF"/>
    <w:rsid w:val="00F77B1B"/>
    <w:rsid w:val="00F77CAB"/>
    <w:rsid w:val="00F801E0"/>
    <w:rsid w:val="00F80402"/>
    <w:rsid w:val="00F808DA"/>
    <w:rsid w:val="00F8105D"/>
    <w:rsid w:val="00F8234B"/>
    <w:rsid w:val="00F830D9"/>
    <w:rsid w:val="00F830E8"/>
    <w:rsid w:val="00F841F4"/>
    <w:rsid w:val="00F852FB"/>
    <w:rsid w:val="00F87514"/>
    <w:rsid w:val="00F877DD"/>
    <w:rsid w:val="00F87D3A"/>
    <w:rsid w:val="00F908B7"/>
    <w:rsid w:val="00F90D98"/>
    <w:rsid w:val="00F912D8"/>
    <w:rsid w:val="00F921B6"/>
    <w:rsid w:val="00F924A0"/>
    <w:rsid w:val="00F927A1"/>
    <w:rsid w:val="00F92F3E"/>
    <w:rsid w:val="00F92FFC"/>
    <w:rsid w:val="00F93E6A"/>
    <w:rsid w:val="00F9459D"/>
    <w:rsid w:val="00F9534E"/>
    <w:rsid w:val="00F969AF"/>
    <w:rsid w:val="00F974DD"/>
    <w:rsid w:val="00FA0424"/>
    <w:rsid w:val="00FA063A"/>
    <w:rsid w:val="00FA202B"/>
    <w:rsid w:val="00FA2048"/>
    <w:rsid w:val="00FA2364"/>
    <w:rsid w:val="00FA26B8"/>
    <w:rsid w:val="00FA2BD7"/>
    <w:rsid w:val="00FA33CA"/>
    <w:rsid w:val="00FA3913"/>
    <w:rsid w:val="00FA3A7C"/>
    <w:rsid w:val="00FA3D58"/>
    <w:rsid w:val="00FA42C3"/>
    <w:rsid w:val="00FA44AE"/>
    <w:rsid w:val="00FA504C"/>
    <w:rsid w:val="00FA5565"/>
    <w:rsid w:val="00FA6C8C"/>
    <w:rsid w:val="00FA6CA8"/>
    <w:rsid w:val="00FA6D28"/>
    <w:rsid w:val="00FA7521"/>
    <w:rsid w:val="00FB002C"/>
    <w:rsid w:val="00FB17AE"/>
    <w:rsid w:val="00FB2122"/>
    <w:rsid w:val="00FB2C13"/>
    <w:rsid w:val="00FB2E85"/>
    <w:rsid w:val="00FB3380"/>
    <w:rsid w:val="00FB351D"/>
    <w:rsid w:val="00FB3602"/>
    <w:rsid w:val="00FB3CA3"/>
    <w:rsid w:val="00FB402B"/>
    <w:rsid w:val="00FB4A76"/>
    <w:rsid w:val="00FB5690"/>
    <w:rsid w:val="00FB5BC0"/>
    <w:rsid w:val="00FB6559"/>
    <w:rsid w:val="00FC02AB"/>
    <w:rsid w:val="00FC03EE"/>
    <w:rsid w:val="00FC104C"/>
    <w:rsid w:val="00FC329B"/>
    <w:rsid w:val="00FC3C85"/>
    <w:rsid w:val="00FC4894"/>
    <w:rsid w:val="00FC51E5"/>
    <w:rsid w:val="00FC5F42"/>
    <w:rsid w:val="00FC68E6"/>
    <w:rsid w:val="00FC7A9D"/>
    <w:rsid w:val="00FC7CC2"/>
    <w:rsid w:val="00FC7FA0"/>
    <w:rsid w:val="00FD0691"/>
    <w:rsid w:val="00FD164C"/>
    <w:rsid w:val="00FD4211"/>
    <w:rsid w:val="00FD7160"/>
    <w:rsid w:val="00FE0C1F"/>
    <w:rsid w:val="00FE16B2"/>
    <w:rsid w:val="00FE1DC4"/>
    <w:rsid w:val="00FE1F8F"/>
    <w:rsid w:val="00FE260C"/>
    <w:rsid w:val="00FE3533"/>
    <w:rsid w:val="00FE3D95"/>
    <w:rsid w:val="00FE424D"/>
    <w:rsid w:val="00FE5D57"/>
    <w:rsid w:val="00FE5D99"/>
    <w:rsid w:val="00FE61FA"/>
    <w:rsid w:val="00FE6585"/>
    <w:rsid w:val="00FE694D"/>
    <w:rsid w:val="00FE702D"/>
    <w:rsid w:val="00FE7F25"/>
    <w:rsid w:val="00FE7F78"/>
    <w:rsid w:val="00FF0AB0"/>
    <w:rsid w:val="00FF12C5"/>
    <w:rsid w:val="00FF2E95"/>
    <w:rsid w:val="00FF38A8"/>
    <w:rsid w:val="00FF4CB7"/>
    <w:rsid w:val="00FF543E"/>
    <w:rsid w:val="00FF59C0"/>
    <w:rsid w:val="00FF60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4C373"/>
  <w15:docId w15:val="{4DBBA730-C200-4E1C-B2DD-E449449B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768B"/>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qFormat/>
    <w:rsid w:val="00A4133B"/>
    <w:pPr>
      <w:keepNext/>
      <w:widowControl w:val="0"/>
      <w:spacing w:before="240" w:after="240" w:line="240" w:lineRule="auto"/>
      <w:outlineLvl w:val="0"/>
    </w:pPr>
    <w:rPr>
      <w:rFonts w:ascii="Arial" w:eastAsia="Times New Roman" w:hAnsi="Arial" w:cs="Arial"/>
      <w:b/>
      <w:bCs/>
      <w:i/>
      <w:kern w:val="2"/>
      <w:sz w:val="20"/>
      <w:szCs w:val="20"/>
      <w:lang w:eastAsia="pl-PL"/>
    </w:rPr>
  </w:style>
  <w:style w:type="paragraph" w:styleId="Nagwek2">
    <w:name w:val="heading 2"/>
    <w:basedOn w:val="Normalny"/>
    <w:next w:val="Normalny"/>
    <w:link w:val="Nagwek2Znak"/>
    <w:qFormat/>
    <w:rsid w:val="00A4133B"/>
    <w:pPr>
      <w:keepNext/>
      <w:widowControl w:val="0"/>
      <w:spacing w:before="240" w:after="240" w:line="240" w:lineRule="auto"/>
      <w:outlineLvl w:val="1"/>
    </w:pPr>
    <w:rPr>
      <w:rFonts w:ascii="Arial" w:eastAsia="Times New Roman" w:hAnsi="Arial" w:cs="Arial"/>
      <w:b/>
      <w:bCs/>
      <w:i/>
      <w:iCs/>
      <w:lang w:eastAsia="pl-PL"/>
    </w:rPr>
  </w:style>
  <w:style w:type="paragraph" w:styleId="Nagwek3">
    <w:name w:val="heading 3"/>
    <w:basedOn w:val="Normalny"/>
    <w:next w:val="Normalny"/>
    <w:link w:val="Nagwek3Znak"/>
    <w:qFormat/>
    <w:rsid w:val="00A4133B"/>
    <w:pPr>
      <w:keepNext/>
      <w:widowControl w:val="0"/>
      <w:numPr>
        <w:numId w:val="1"/>
      </w:numPr>
      <w:spacing w:before="240" w:after="60" w:line="240" w:lineRule="auto"/>
      <w:outlineLvl w:val="2"/>
    </w:pPr>
    <w:rPr>
      <w:rFonts w:ascii="Arial" w:eastAsia="Times New Roman" w:hAnsi="Arial" w:cs="Arial"/>
      <w:b/>
      <w:bCs/>
      <w:i/>
      <w:szCs w:val="26"/>
      <w:lang w:eastAsia="pl-PL"/>
    </w:rPr>
  </w:style>
  <w:style w:type="paragraph" w:styleId="Nagwek4">
    <w:name w:val="heading 4"/>
    <w:basedOn w:val="Nagwek3"/>
    <w:next w:val="Normalny"/>
    <w:link w:val="Nagwek4Znak"/>
    <w:qFormat/>
    <w:rsid w:val="00A4133B"/>
    <w:pPr>
      <w:numPr>
        <w:ilvl w:val="1"/>
      </w:numPr>
      <w:outlineLvl w:val="3"/>
    </w:pPr>
  </w:style>
  <w:style w:type="paragraph" w:styleId="Nagwek5">
    <w:name w:val="heading 5"/>
    <w:basedOn w:val="Normalny"/>
    <w:next w:val="Normalny"/>
    <w:link w:val="Nagwek5Znak"/>
    <w:qFormat/>
    <w:rsid w:val="003D2A8E"/>
    <w:pPr>
      <w:widowControl w:val="0"/>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locked/>
    <w:rsid w:val="00ED07A6"/>
    <w:pPr>
      <w:keepNext/>
      <w:spacing w:after="0" w:line="240" w:lineRule="auto"/>
      <w:jc w:val="center"/>
      <w:outlineLvl w:val="5"/>
    </w:pPr>
    <w:rPr>
      <w:rFonts w:ascii="Times New Roman" w:eastAsia="Times New Roman" w:hAnsi="Times New Roman" w:cs="Times New Roman"/>
      <w:b/>
      <w:szCs w:val="20"/>
      <w:lang w:eastAsia="pl-PL"/>
    </w:rPr>
  </w:style>
  <w:style w:type="paragraph" w:styleId="Nagwek7">
    <w:name w:val="heading 7"/>
    <w:basedOn w:val="Normalny"/>
    <w:next w:val="Normalny"/>
    <w:link w:val="Nagwek7Znak"/>
    <w:qFormat/>
    <w:locked/>
    <w:rsid w:val="00ED07A6"/>
    <w:pPr>
      <w:keepNext/>
      <w:spacing w:after="0" w:line="240" w:lineRule="auto"/>
      <w:jc w:val="center"/>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semiHidden/>
    <w:unhideWhenUsed/>
    <w:qFormat/>
    <w:locked/>
    <w:rsid w:val="0016482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qFormat/>
    <w:locked/>
    <w:rsid w:val="00ED07A6"/>
    <w:pPr>
      <w:keepNext/>
      <w:spacing w:after="0" w:line="240" w:lineRule="auto"/>
      <w:ind w:left="284"/>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42B53"/>
    <w:rPr>
      <w:rFonts w:ascii="Cambria" w:hAnsi="Cambria" w:cs="Times New Roman"/>
      <w:b/>
      <w:bCs/>
      <w:kern w:val="2"/>
      <w:sz w:val="32"/>
      <w:szCs w:val="32"/>
    </w:rPr>
  </w:style>
  <w:style w:type="character" w:customStyle="1" w:styleId="Nagwek2Znak">
    <w:name w:val="Nagłówek 2 Znak"/>
    <w:link w:val="Nagwek2"/>
    <w:uiPriority w:val="99"/>
    <w:semiHidden/>
    <w:qFormat/>
    <w:locked/>
    <w:rsid w:val="00B42B53"/>
    <w:rPr>
      <w:rFonts w:ascii="Cambria" w:hAnsi="Cambria" w:cs="Times New Roman"/>
      <w:b/>
      <w:bCs/>
      <w:i/>
      <w:iCs/>
      <w:sz w:val="28"/>
      <w:szCs w:val="28"/>
    </w:rPr>
  </w:style>
  <w:style w:type="character" w:customStyle="1" w:styleId="Nagwek3Znak">
    <w:name w:val="Nagłówek 3 Znak"/>
    <w:link w:val="Nagwek3"/>
    <w:qFormat/>
    <w:locked/>
    <w:rsid w:val="00B42B53"/>
    <w:rPr>
      <w:rFonts w:ascii="Arial" w:hAnsi="Arial" w:cs="Arial"/>
      <w:b/>
      <w:bCs/>
      <w:i/>
      <w:sz w:val="22"/>
      <w:szCs w:val="26"/>
    </w:rPr>
  </w:style>
  <w:style w:type="character" w:customStyle="1" w:styleId="Nagwek4Znak">
    <w:name w:val="Nagłówek 4 Znak"/>
    <w:link w:val="Nagwek4"/>
    <w:qFormat/>
    <w:locked/>
    <w:rsid w:val="00A4133B"/>
    <w:rPr>
      <w:rFonts w:ascii="Arial" w:hAnsi="Arial" w:cs="Arial"/>
      <w:b/>
      <w:bCs/>
      <w:i/>
      <w:sz w:val="22"/>
      <w:szCs w:val="26"/>
    </w:rPr>
  </w:style>
  <w:style w:type="character" w:customStyle="1" w:styleId="Nagwek5Znak">
    <w:name w:val="Nagłówek 5 Znak"/>
    <w:link w:val="Nagwek5"/>
    <w:uiPriority w:val="99"/>
    <w:semiHidden/>
    <w:qFormat/>
    <w:locked/>
    <w:rsid w:val="00B42B53"/>
    <w:rPr>
      <w:rFonts w:ascii="Calibri" w:hAnsi="Calibri" w:cs="Times New Roman"/>
      <w:b/>
      <w:bCs/>
      <w:i/>
      <w:iCs/>
      <w:sz w:val="26"/>
      <w:szCs w:val="26"/>
    </w:rPr>
  </w:style>
  <w:style w:type="character" w:customStyle="1" w:styleId="NagwekZnak">
    <w:name w:val="Nagłówek Znak"/>
    <w:link w:val="Nagwek"/>
    <w:uiPriority w:val="99"/>
    <w:qFormat/>
    <w:locked/>
    <w:rsid w:val="00566AE1"/>
    <w:rPr>
      <w:rFonts w:cs="Times New Roman"/>
      <w:lang w:val="pl-PL" w:eastAsia="pl-PL"/>
    </w:rPr>
  </w:style>
  <w:style w:type="character" w:customStyle="1" w:styleId="napakapitZnak">
    <w:name w:val="nap_akapit Znak"/>
    <w:uiPriority w:val="99"/>
    <w:qFormat/>
    <w:locked/>
    <w:rsid w:val="00D21058"/>
    <w:rPr>
      <w:rFonts w:ascii="Arial" w:hAnsi="Arial"/>
      <w:lang w:val="pl-PL" w:eastAsia="pl-PL"/>
    </w:rPr>
  </w:style>
  <w:style w:type="character" w:styleId="Odwoaniedokomentarza">
    <w:name w:val="annotation reference"/>
    <w:uiPriority w:val="99"/>
    <w:semiHidden/>
    <w:qFormat/>
    <w:rsid w:val="00F158D3"/>
    <w:rPr>
      <w:rFonts w:cs="Times New Roman"/>
      <w:sz w:val="16"/>
    </w:rPr>
  </w:style>
  <w:style w:type="character" w:customStyle="1" w:styleId="TekstkomentarzaZnak">
    <w:name w:val="Tekst komentarza Znak"/>
    <w:link w:val="Tekstkomentarza"/>
    <w:uiPriority w:val="99"/>
    <w:semiHidden/>
    <w:qFormat/>
    <w:locked/>
    <w:rsid w:val="00F158D3"/>
    <w:rPr>
      <w:rFonts w:cs="Times New Roman"/>
      <w:lang w:val="pl-PL" w:eastAsia="pl-PL"/>
    </w:rPr>
  </w:style>
  <w:style w:type="character" w:customStyle="1" w:styleId="TekstdymkaZnak">
    <w:name w:val="Tekst dymka Znak"/>
    <w:link w:val="Tekstdymka"/>
    <w:uiPriority w:val="99"/>
    <w:semiHidden/>
    <w:qFormat/>
    <w:locked/>
    <w:rsid w:val="00B42B53"/>
    <w:rPr>
      <w:rFonts w:cs="Times New Roman"/>
      <w:sz w:val="2"/>
    </w:rPr>
  </w:style>
  <w:style w:type="character" w:customStyle="1" w:styleId="Wyrnienie">
    <w:name w:val="Wyróżnienie"/>
    <w:uiPriority w:val="99"/>
    <w:qFormat/>
    <w:rsid w:val="006D5C2C"/>
    <w:rPr>
      <w:rFonts w:cs="Times New Roman"/>
      <w:i/>
    </w:rPr>
  </w:style>
  <w:style w:type="character" w:customStyle="1" w:styleId="TekstpodstawowyZnak">
    <w:name w:val="Tekst podstawowy Znak"/>
    <w:link w:val="Tekstpodstawowy"/>
    <w:uiPriority w:val="99"/>
    <w:qFormat/>
    <w:locked/>
    <w:rsid w:val="006D5C2C"/>
    <w:rPr>
      <w:rFonts w:cs="Times New Roman"/>
      <w:sz w:val="24"/>
      <w:lang w:val="pl-PL" w:eastAsia="pl-PL"/>
    </w:rPr>
  </w:style>
  <w:style w:type="character" w:customStyle="1" w:styleId="StopkaZnak">
    <w:name w:val="Stopka Znak"/>
    <w:link w:val="Stopka"/>
    <w:uiPriority w:val="99"/>
    <w:qFormat/>
    <w:locked/>
    <w:rsid w:val="00B42B53"/>
    <w:rPr>
      <w:rFonts w:cs="Times New Roman"/>
      <w:sz w:val="24"/>
      <w:szCs w:val="24"/>
    </w:rPr>
  </w:style>
  <w:style w:type="character" w:styleId="Numerstrony">
    <w:name w:val="page number"/>
    <w:uiPriority w:val="99"/>
    <w:qFormat/>
    <w:rsid w:val="00AF59DE"/>
    <w:rPr>
      <w:rFonts w:cs="Times New Roman"/>
    </w:rPr>
  </w:style>
  <w:style w:type="character" w:customStyle="1" w:styleId="czeinternetowe">
    <w:name w:val="Łącze internetowe"/>
    <w:basedOn w:val="Domylnaczcionkaakapitu"/>
    <w:uiPriority w:val="99"/>
    <w:unhideWhenUsed/>
    <w:rsid w:val="00256EAC"/>
    <w:rPr>
      <w:color w:val="0000FF" w:themeColor="hyperlink"/>
      <w:u w:val="single"/>
    </w:rPr>
  </w:style>
  <w:style w:type="character" w:customStyle="1" w:styleId="1naglowekZnak">
    <w:name w:val="1 naglowek Znak"/>
    <w:link w:val="1naglowek"/>
    <w:uiPriority w:val="99"/>
    <w:qFormat/>
    <w:locked/>
    <w:rsid w:val="0035176C"/>
    <w:rPr>
      <w:rFonts w:ascii="Arial" w:hAnsi="Arial"/>
      <w:b/>
      <w:caps/>
      <w:sz w:val="24"/>
    </w:rPr>
  </w:style>
  <w:style w:type="character" w:customStyle="1" w:styleId="TematkomentarzaZnak">
    <w:name w:val="Temat komentarza Znak"/>
    <w:link w:val="Tematkomentarza"/>
    <w:uiPriority w:val="99"/>
    <w:semiHidden/>
    <w:qFormat/>
    <w:locked/>
    <w:rsid w:val="00B42B53"/>
    <w:rPr>
      <w:rFonts w:cs="Times New Roman"/>
      <w:b/>
      <w:bCs/>
      <w:sz w:val="20"/>
      <w:szCs w:val="20"/>
      <w:lang w:val="pl-PL" w:eastAsia="pl-PL"/>
    </w:rPr>
  </w:style>
  <w:style w:type="character" w:customStyle="1" w:styleId="MapadokumentuZnak">
    <w:name w:val="Mapa dokumentu Znak"/>
    <w:link w:val="Mapadokumentu"/>
    <w:uiPriority w:val="99"/>
    <w:semiHidden/>
    <w:qFormat/>
    <w:locked/>
    <w:rsid w:val="00B42B53"/>
    <w:rPr>
      <w:rFonts w:cs="Times New Roman"/>
      <w:sz w:val="2"/>
    </w:rPr>
  </w:style>
  <w:style w:type="character" w:customStyle="1" w:styleId="TekstprzypisukocowegoZnak">
    <w:name w:val="Tekst przypisu końcowego Znak"/>
    <w:basedOn w:val="Domylnaczcionkaakapitu"/>
    <w:link w:val="Tekstprzypisukocowego"/>
    <w:uiPriority w:val="99"/>
    <w:semiHidden/>
    <w:qFormat/>
    <w:rsid w:val="0030252F"/>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30252F"/>
    <w:rPr>
      <w:vertAlign w:val="superscript"/>
    </w:rPr>
  </w:style>
  <w:style w:type="character" w:customStyle="1" w:styleId="Nagwek8Znak">
    <w:name w:val="Nagłówek 8 Znak"/>
    <w:basedOn w:val="Domylnaczcionkaakapitu"/>
    <w:link w:val="Nagwek8"/>
    <w:semiHidden/>
    <w:qFormat/>
    <w:rsid w:val="0016482F"/>
    <w:rPr>
      <w:rFonts w:asciiTheme="majorHAnsi" w:eastAsiaTheme="majorEastAsia" w:hAnsiTheme="majorHAnsi" w:cstheme="majorBidi"/>
      <w:color w:val="272727" w:themeColor="text1" w:themeTint="D8"/>
      <w:sz w:val="21"/>
      <w:szCs w:val="21"/>
    </w:rPr>
  </w:style>
  <w:style w:type="character" w:customStyle="1" w:styleId="Odwiedzoneczeinternetowe">
    <w:name w:val="Odwiedzone łącze internetowe"/>
    <w:basedOn w:val="Domylnaczcionkaakapitu"/>
    <w:uiPriority w:val="99"/>
    <w:semiHidden/>
    <w:unhideWhenUsed/>
    <w:rsid w:val="006C60D4"/>
    <w:rPr>
      <w:color w:val="800080" w:themeColor="followedHyperlink"/>
      <w:u w:val="single"/>
    </w:rPr>
  </w:style>
  <w:style w:type="character" w:customStyle="1" w:styleId="TekstprzypisudolnegoZnak">
    <w:name w:val="Tekst przypisu dolnego Znak"/>
    <w:basedOn w:val="Domylnaczcionkaakapitu"/>
    <w:link w:val="Tekstprzypisudolnego"/>
    <w:uiPriority w:val="99"/>
    <w:qFormat/>
    <w:rsid w:val="004F5F22"/>
    <w:rPr>
      <w:rFonts w:eastAsia="Calibri"/>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qFormat/>
    <w:rsid w:val="004F5F22"/>
    <w:rPr>
      <w:rFonts w:cs="Times New Roman"/>
      <w:vertAlign w:val="superscript"/>
    </w:rPr>
  </w:style>
  <w:style w:type="character" w:customStyle="1" w:styleId="Tekstpodstawowy2Znak">
    <w:name w:val="Tekst podstawowy 2 Znak"/>
    <w:basedOn w:val="Domylnaczcionkaakapitu"/>
    <w:link w:val="Tekstpodstawowy2"/>
    <w:uiPriority w:val="99"/>
    <w:semiHidden/>
    <w:qFormat/>
    <w:rsid w:val="003B20B9"/>
  </w:style>
  <w:style w:type="character" w:customStyle="1" w:styleId="h2">
    <w:name w:val="h2"/>
    <w:qFormat/>
    <w:rsid w:val="00BB66AD"/>
  </w:style>
  <w:style w:type="character" w:customStyle="1" w:styleId="czeindeksu">
    <w:name w:val="Łącze indeksu"/>
    <w:qFormat/>
  </w:style>
  <w:style w:type="character" w:customStyle="1" w:styleId="st">
    <w:name w:val="st"/>
    <w:qFormat/>
  </w:style>
  <w:style w:type="character" w:customStyle="1" w:styleId="PlandokumentuZnak">
    <w:name w:val="Plan dokumentu Znak"/>
    <w:qFormat/>
    <w:rPr>
      <w:rFonts w:eastAsia="Times New Roman"/>
      <w:szCs w:val="2"/>
    </w:rPr>
  </w:style>
  <w:style w:type="character" w:customStyle="1" w:styleId="WW8Num2z0">
    <w:name w:val="WW8Num2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0">
    <w:name w:val="WW8Num1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Nierozpoznanawzmianka1">
    <w:name w:val="Nierozpoznana wzmianka1"/>
    <w:qFormat/>
    <w:rPr>
      <w:color w:val="605E5C"/>
      <w:shd w:val="clear" w:color="auto" w:fill="E1DFDD"/>
    </w:rPr>
  </w:style>
  <w:style w:type="character" w:customStyle="1" w:styleId="apple-converted-space">
    <w:name w:val="apple-converted-space"/>
    <w:qFormat/>
  </w:style>
  <w:style w:type="character" w:styleId="Pogrubienie">
    <w:name w:val="Strong"/>
    <w:qFormat/>
    <w:rPr>
      <w:b/>
    </w:rPr>
  </w:style>
  <w:style w:type="paragraph" w:styleId="Nagwek">
    <w:name w:val="header"/>
    <w:basedOn w:val="Normalny"/>
    <w:next w:val="Tekstpodstawowy"/>
    <w:link w:val="NagwekZnak"/>
    <w:uiPriority w:val="99"/>
    <w:rsid w:val="00566AE1"/>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iPriority w:val="99"/>
    <w:rsid w:val="006D5C2C"/>
    <w:pPr>
      <w:widowControl w:val="0"/>
      <w:spacing w:after="120" w:line="240" w:lineRule="auto"/>
    </w:pPr>
    <w:rPr>
      <w:rFonts w:ascii="Times New Roman" w:eastAsia="Times New Roman" w:hAnsi="Times New Roman" w:cs="Times New Roman"/>
      <w:sz w:val="20"/>
      <w:szCs w:val="20"/>
      <w:lang w:eastAsia="pl-PL"/>
    </w:rPr>
  </w:style>
  <w:style w:type="paragraph" w:styleId="Lista">
    <w:name w:val="List"/>
    <w:basedOn w:val="Tekstpodstawowy"/>
    <w:rPr>
      <w:rFonts w:cs="Lucida Sans"/>
    </w:rPr>
  </w:style>
  <w:style w:type="paragraph" w:styleId="Legenda">
    <w:name w:val="caption"/>
    <w:basedOn w:val="Normalny"/>
    <w:next w:val="Normalny"/>
    <w:uiPriority w:val="99"/>
    <w:qFormat/>
    <w:rsid w:val="005C7587"/>
    <w:pPr>
      <w:widowControl w:val="0"/>
      <w:spacing w:line="240" w:lineRule="auto"/>
      <w:jc w:val="both"/>
    </w:pPr>
    <w:rPr>
      <w:rFonts w:ascii="Arial" w:eastAsia="Times New Roman" w:hAnsi="Arial" w:cs="Arial"/>
      <w:b/>
      <w:bCs/>
      <w:sz w:val="20"/>
      <w:szCs w:val="18"/>
      <w:lang w:eastAsia="pl-PL"/>
    </w:rPr>
  </w:style>
  <w:style w:type="paragraph" w:customStyle="1" w:styleId="Indeks">
    <w:name w:val="Indeks"/>
    <w:basedOn w:val="Normalny"/>
    <w:qFormat/>
    <w:pPr>
      <w:widowControl w:val="0"/>
      <w:suppressLineNumbers/>
      <w:spacing w:after="0" w:line="240" w:lineRule="auto"/>
    </w:pPr>
    <w:rPr>
      <w:rFonts w:ascii="Times New Roman" w:eastAsia="Times New Roman" w:hAnsi="Times New Roman" w:cs="Lucida Sans"/>
      <w:sz w:val="20"/>
      <w:szCs w:val="20"/>
      <w:lang w:eastAsia="pl-PL"/>
    </w:rPr>
  </w:style>
  <w:style w:type="paragraph" w:customStyle="1" w:styleId="Gwkaistopka">
    <w:name w:val="Główka i stopka"/>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napakapit">
    <w:name w:val="nap_akapit"/>
    <w:basedOn w:val="Nagwek"/>
    <w:qFormat/>
    <w:rsid w:val="00D21058"/>
    <w:pPr>
      <w:spacing w:before="120" w:after="120" w:line="360" w:lineRule="auto"/>
      <w:ind w:firstLine="360"/>
      <w:jc w:val="both"/>
    </w:pPr>
    <w:rPr>
      <w:rFonts w:ascii="Arial" w:hAnsi="Arial"/>
    </w:rPr>
  </w:style>
  <w:style w:type="paragraph" w:customStyle="1" w:styleId="Nag5ten">
    <w:name w:val="Nagł 5_ten"/>
    <w:basedOn w:val="Nagwek4"/>
    <w:uiPriority w:val="99"/>
    <w:qFormat/>
    <w:rsid w:val="005C1E5E"/>
    <w:pPr>
      <w:numPr>
        <w:ilvl w:val="0"/>
        <w:numId w:val="0"/>
      </w:numPr>
    </w:pPr>
  </w:style>
  <w:style w:type="paragraph" w:styleId="Tekstkomentarza">
    <w:name w:val="annotation text"/>
    <w:basedOn w:val="Normalny"/>
    <w:link w:val="TekstkomentarzaZnak"/>
    <w:uiPriority w:val="99"/>
    <w:semiHidden/>
    <w:qFormat/>
    <w:rsid w:val="00F158D3"/>
  </w:style>
  <w:style w:type="paragraph" w:styleId="Tekstdymka">
    <w:name w:val="Balloon Text"/>
    <w:basedOn w:val="Normalny"/>
    <w:link w:val="TekstdymkaZnak"/>
    <w:semiHidden/>
    <w:qFormat/>
    <w:rsid w:val="00F158D3"/>
    <w:pPr>
      <w:widowControl w:val="0"/>
      <w:spacing w:after="0" w:line="240" w:lineRule="auto"/>
    </w:pPr>
    <w:rPr>
      <w:rFonts w:ascii="Tahoma" w:eastAsia="Times New Roman" w:hAnsi="Tahoma" w:cs="Tahoma"/>
      <w:sz w:val="16"/>
      <w:szCs w:val="16"/>
      <w:lang w:eastAsia="pl-PL"/>
    </w:rPr>
  </w:style>
  <w:style w:type="paragraph" w:styleId="Stopka">
    <w:name w:val="footer"/>
    <w:basedOn w:val="Normalny"/>
    <w:link w:val="StopkaZnak"/>
    <w:uiPriority w:val="99"/>
    <w:rsid w:val="00AF59DE"/>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1naglowek">
    <w:name w:val="1 naglowek"/>
    <w:basedOn w:val="Nagwek"/>
    <w:link w:val="1naglowekZnak"/>
    <w:uiPriority w:val="99"/>
    <w:qFormat/>
    <w:rsid w:val="0035176C"/>
    <w:pPr>
      <w:tabs>
        <w:tab w:val="clear" w:pos="4536"/>
        <w:tab w:val="clear" w:pos="9072"/>
      </w:tabs>
      <w:spacing w:line="360" w:lineRule="auto"/>
      <w:jc w:val="both"/>
      <w:outlineLvl w:val="0"/>
    </w:pPr>
    <w:rPr>
      <w:rFonts w:ascii="Arial" w:hAnsi="Arial"/>
      <w:b/>
      <w:caps/>
      <w:sz w:val="24"/>
    </w:rPr>
  </w:style>
  <w:style w:type="paragraph" w:customStyle="1" w:styleId="2naglowek">
    <w:name w:val="2 naglowek"/>
    <w:basedOn w:val="1naglowek"/>
    <w:uiPriority w:val="99"/>
    <w:qFormat/>
    <w:rsid w:val="0035176C"/>
    <w:pPr>
      <w:tabs>
        <w:tab w:val="left" w:pos="1500"/>
      </w:tabs>
      <w:ind w:left="1500"/>
    </w:pPr>
    <w:rPr>
      <w:caps w:val="0"/>
    </w:rPr>
  </w:style>
  <w:style w:type="paragraph" w:customStyle="1" w:styleId="3naglowek">
    <w:name w:val="3 naglowek"/>
    <w:basedOn w:val="2naglowek"/>
    <w:uiPriority w:val="99"/>
    <w:qFormat/>
    <w:rsid w:val="0035176C"/>
    <w:pPr>
      <w:tabs>
        <w:tab w:val="left" w:pos="2220"/>
      </w:tabs>
      <w:spacing w:before="240" w:after="240"/>
      <w:ind w:left="2220"/>
    </w:pPr>
    <w:rPr>
      <w:b w:val="0"/>
    </w:rPr>
  </w:style>
  <w:style w:type="paragraph" w:customStyle="1" w:styleId="4naglowek">
    <w:name w:val="4 naglowek"/>
    <w:basedOn w:val="3naglowek"/>
    <w:uiPriority w:val="99"/>
    <w:qFormat/>
    <w:rsid w:val="0035176C"/>
    <w:pPr>
      <w:tabs>
        <w:tab w:val="left" w:pos="2940"/>
      </w:tabs>
      <w:ind w:left="2940"/>
    </w:pPr>
  </w:style>
  <w:style w:type="paragraph" w:styleId="NormalnyWeb">
    <w:name w:val="Normal (Web)"/>
    <w:basedOn w:val="Normalny"/>
    <w:uiPriority w:val="99"/>
    <w:qFormat/>
    <w:rsid w:val="0035176C"/>
    <w:pPr>
      <w:widowControl w:val="0"/>
      <w:spacing w:beforeAutospacing="1" w:after="0" w:afterAutospacing="1" w:line="240" w:lineRule="auto"/>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6D308F"/>
    <w:pPr>
      <w:widowControl w:val="0"/>
      <w:tabs>
        <w:tab w:val="left" w:pos="709"/>
        <w:tab w:val="right" w:leader="dot" w:pos="9062"/>
      </w:tabs>
      <w:spacing w:after="0" w:line="240" w:lineRule="auto"/>
      <w:ind w:left="709" w:hanging="425"/>
    </w:pPr>
    <w:rPr>
      <w:rFonts w:ascii="Times New Roman" w:eastAsia="Times New Roman" w:hAnsi="Times New Roman" w:cs="Times New Roman"/>
      <w:b/>
      <w:bCs/>
      <w:caps/>
      <w:sz w:val="20"/>
      <w:szCs w:val="20"/>
      <w:lang w:eastAsia="pl-PL"/>
    </w:rPr>
  </w:style>
  <w:style w:type="paragraph" w:styleId="Spistreci2">
    <w:name w:val="toc 2"/>
    <w:basedOn w:val="Normalny"/>
    <w:next w:val="Normalny"/>
    <w:autoRedefine/>
    <w:uiPriority w:val="39"/>
    <w:rsid w:val="00816E94"/>
    <w:pPr>
      <w:widowControl w:val="0"/>
      <w:tabs>
        <w:tab w:val="right" w:leader="dot" w:pos="9062"/>
      </w:tabs>
      <w:spacing w:after="0" w:line="240" w:lineRule="auto"/>
      <w:ind w:left="709"/>
    </w:pPr>
    <w:rPr>
      <w:rFonts w:ascii="Times New Roman" w:eastAsia="Times New Roman" w:hAnsi="Times New Roman" w:cs="Times New Roman"/>
      <w:smallCaps/>
      <w:sz w:val="18"/>
      <w:szCs w:val="18"/>
      <w:lang w:eastAsia="pl-PL"/>
    </w:rPr>
  </w:style>
  <w:style w:type="paragraph" w:styleId="Spistreci3">
    <w:name w:val="toc 3"/>
    <w:basedOn w:val="Normalny"/>
    <w:next w:val="Normalny"/>
    <w:autoRedefine/>
    <w:uiPriority w:val="39"/>
    <w:rsid w:val="009F2865"/>
    <w:pPr>
      <w:widowControl w:val="0"/>
      <w:tabs>
        <w:tab w:val="right" w:leader="dot" w:pos="9062"/>
      </w:tabs>
      <w:spacing w:after="0" w:line="240" w:lineRule="auto"/>
      <w:ind w:left="993"/>
    </w:pPr>
    <w:rPr>
      <w:rFonts w:ascii="Times New Roman" w:eastAsia="Times New Roman" w:hAnsi="Times New Roman" w:cs="Times New Roman"/>
      <w:iCs/>
      <w:sz w:val="20"/>
      <w:szCs w:val="20"/>
      <w:lang w:eastAsia="pl-PL"/>
    </w:rPr>
  </w:style>
  <w:style w:type="paragraph" w:styleId="Spistreci4">
    <w:name w:val="toc 4"/>
    <w:basedOn w:val="Normalny"/>
    <w:next w:val="Normalny"/>
    <w:autoRedefine/>
    <w:uiPriority w:val="39"/>
    <w:rsid w:val="00521EB7"/>
    <w:pPr>
      <w:widowControl w:val="0"/>
      <w:spacing w:after="0" w:line="240" w:lineRule="auto"/>
      <w:ind w:left="720"/>
    </w:pPr>
    <w:rPr>
      <w:rFonts w:ascii="Times New Roman" w:eastAsia="Times New Roman" w:hAnsi="Times New Roman" w:cs="Times New Roman"/>
      <w:sz w:val="18"/>
      <w:szCs w:val="18"/>
      <w:lang w:eastAsia="pl-PL"/>
    </w:rPr>
  </w:style>
  <w:style w:type="paragraph" w:styleId="Spistreci5">
    <w:name w:val="toc 5"/>
    <w:basedOn w:val="Normalny"/>
    <w:next w:val="Normalny"/>
    <w:autoRedefine/>
    <w:uiPriority w:val="39"/>
    <w:rsid w:val="00521EB7"/>
    <w:pPr>
      <w:widowControl w:val="0"/>
      <w:spacing w:after="0" w:line="240" w:lineRule="auto"/>
      <w:ind w:left="960"/>
    </w:pPr>
    <w:rPr>
      <w:rFonts w:ascii="Times New Roman" w:eastAsia="Times New Roman" w:hAnsi="Times New Roman" w:cs="Times New Roman"/>
      <w:sz w:val="18"/>
      <w:szCs w:val="18"/>
      <w:lang w:eastAsia="pl-PL"/>
    </w:rPr>
  </w:style>
  <w:style w:type="paragraph" w:styleId="Spistreci6">
    <w:name w:val="toc 6"/>
    <w:basedOn w:val="Normalny"/>
    <w:next w:val="Normalny"/>
    <w:autoRedefine/>
    <w:uiPriority w:val="39"/>
    <w:rsid w:val="002E2508"/>
    <w:pPr>
      <w:widowControl w:val="0"/>
      <w:spacing w:after="0" w:line="240" w:lineRule="auto"/>
      <w:ind w:left="1200"/>
    </w:pPr>
    <w:rPr>
      <w:rFonts w:ascii="Times New Roman" w:eastAsia="Times New Roman" w:hAnsi="Times New Roman" w:cs="Times New Roman"/>
      <w:sz w:val="18"/>
      <w:szCs w:val="18"/>
      <w:lang w:eastAsia="pl-PL"/>
    </w:rPr>
  </w:style>
  <w:style w:type="paragraph" w:styleId="Spistreci7">
    <w:name w:val="toc 7"/>
    <w:basedOn w:val="Normalny"/>
    <w:next w:val="Normalny"/>
    <w:autoRedefine/>
    <w:uiPriority w:val="39"/>
    <w:rsid w:val="002E2508"/>
    <w:pPr>
      <w:widowControl w:val="0"/>
      <w:spacing w:after="0" w:line="240" w:lineRule="auto"/>
      <w:ind w:left="1440"/>
    </w:pPr>
    <w:rPr>
      <w:rFonts w:ascii="Times New Roman" w:eastAsia="Times New Roman" w:hAnsi="Times New Roman" w:cs="Times New Roman"/>
      <w:sz w:val="18"/>
      <w:szCs w:val="18"/>
      <w:lang w:eastAsia="pl-PL"/>
    </w:rPr>
  </w:style>
  <w:style w:type="paragraph" w:styleId="Spistreci8">
    <w:name w:val="toc 8"/>
    <w:basedOn w:val="Normalny"/>
    <w:next w:val="Normalny"/>
    <w:autoRedefine/>
    <w:uiPriority w:val="39"/>
    <w:rsid w:val="002E2508"/>
    <w:pPr>
      <w:widowControl w:val="0"/>
      <w:spacing w:after="0" w:line="240" w:lineRule="auto"/>
      <w:ind w:left="1680"/>
    </w:pPr>
    <w:rPr>
      <w:rFonts w:ascii="Times New Roman" w:eastAsia="Times New Roman" w:hAnsi="Times New Roman" w:cs="Times New Roman"/>
      <w:sz w:val="18"/>
      <w:szCs w:val="18"/>
      <w:lang w:eastAsia="pl-PL"/>
    </w:rPr>
  </w:style>
  <w:style w:type="paragraph" w:styleId="Spistreci9">
    <w:name w:val="toc 9"/>
    <w:basedOn w:val="Normalny"/>
    <w:next w:val="Normalny"/>
    <w:autoRedefine/>
    <w:uiPriority w:val="39"/>
    <w:rsid w:val="002E2508"/>
    <w:pPr>
      <w:widowControl w:val="0"/>
      <w:spacing w:after="0" w:line="240" w:lineRule="auto"/>
      <w:ind w:left="1920"/>
    </w:pPr>
    <w:rPr>
      <w:rFonts w:ascii="Times New Roman" w:eastAsia="Times New Roman" w:hAnsi="Times New Roman" w:cs="Times New Roman"/>
      <w:sz w:val="18"/>
      <w:szCs w:val="18"/>
      <w:lang w:eastAsia="pl-PL"/>
    </w:rPr>
  </w:style>
  <w:style w:type="paragraph" w:customStyle="1" w:styleId="Default">
    <w:name w:val="Default"/>
    <w:qFormat/>
    <w:rsid w:val="00D66AB6"/>
    <w:rPr>
      <w:color w:val="000000"/>
      <w:sz w:val="24"/>
      <w:szCs w:val="24"/>
    </w:rPr>
  </w:style>
  <w:style w:type="paragraph" w:styleId="Tematkomentarza">
    <w:name w:val="annotation subject"/>
    <w:basedOn w:val="Tekstkomentarza"/>
    <w:next w:val="Tekstkomentarza"/>
    <w:link w:val="TematkomentarzaZnak"/>
    <w:uiPriority w:val="99"/>
    <w:semiHidden/>
    <w:qFormat/>
    <w:rsid w:val="00D66AB6"/>
    <w:rPr>
      <w:b/>
      <w:bCs/>
    </w:rPr>
  </w:style>
  <w:style w:type="paragraph" w:styleId="Mapadokumentu">
    <w:name w:val="Document Map"/>
    <w:basedOn w:val="Normalny"/>
    <w:link w:val="MapadokumentuZnak"/>
    <w:semiHidden/>
    <w:qFormat/>
    <w:rsid w:val="00E33F50"/>
    <w:pPr>
      <w:shd w:val="clear" w:color="auto" w:fill="000080"/>
    </w:pPr>
    <w:rPr>
      <w:rFonts w:ascii="Tahoma" w:hAnsi="Tahoma" w:cs="Tahoma"/>
    </w:rPr>
  </w:style>
  <w:style w:type="paragraph" w:customStyle="1" w:styleId="nag-5">
    <w:name w:val="nag-5"/>
    <w:basedOn w:val="Nagwek4"/>
    <w:uiPriority w:val="99"/>
    <w:qFormat/>
    <w:rsid w:val="00A4133B"/>
    <w:pPr>
      <w:numPr>
        <w:ilvl w:val="0"/>
        <w:numId w:val="0"/>
      </w:numPr>
    </w:pPr>
  </w:style>
  <w:style w:type="paragraph" w:styleId="Tekstprzypisukocowego">
    <w:name w:val="endnote text"/>
    <w:basedOn w:val="Normalny"/>
    <w:link w:val="TekstprzypisukocowegoZnak"/>
    <w:uiPriority w:val="99"/>
    <w:semiHidden/>
    <w:unhideWhenUsed/>
    <w:rsid w:val="0030252F"/>
  </w:style>
  <w:style w:type="paragraph" w:styleId="Akapitzlist">
    <w:name w:val="List Paragraph"/>
    <w:aliases w:val="Dot pt,F5 List Paragraph,Listaszerű bekezdés1,List Paragraph à moi,Numbered Para 1,No Spacing1,List Paragraph Char Char Char,Indicator Text,Bullet Points,MAIN CONTENT,IFCL - List Paragraph,List Paragraph12,OBC Bullet,LIST,List Paragraph1"/>
    <w:basedOn w:val="Normalny"/>
    <w:link w:val="AkapitzlistZnak"/>
    <w:uiPriority w:val="34"/>
    <w:qFormat/>
    <w:rsid w:val="00503112"/>
    <w:pPr>
      <w:widowControl w:val="0"/>
      <w:spacing w:after="160" w:line="259" w:lineRule="auto"/>
      <w:ind w:left="720"/>
      <w:contextualSpacing/>
    </w:pPr>
  </w:style>
  <w:style w:type="paragraph" w:styleId="Tekstprzypisudolnego">
    <w:name w:val="footnote text"/>
    <w:basedOn w:val="Normalny"/>
    <w:link w:val="TekstprzypisudolnegoZnak"/>
    <w:uiPriority w:val="99"/>
    <w:rsid w:val="004F5F22"/>
    <w:pPr>
      <w:widowControl w:val="0"/>
      <w:spacing w:after="0" w:line="240" w:lineRule="auto"/>
    </w:pPr>
    <w:rPr>
      <w:rFonts w:ascii="Times New Roman" w:eastAsia="Calibri" w:hAnsi="Times New Roman" w:cs="Times New Roman"/>
      <w:sz w:val="20"/>
      <w:szCs w:val="20"/>
      <w:lang w:eastAsia="pl-PL"/>
    </w:rPr>
  </w:style>
  <w:style w:type="paragraph" w:styleId="Poprawka">
    <w:name w:val="Revision"/>
    <w:uiPriority w:val="99"/>
    <w:semiHidden/>
    <w:qFormat/>
    <w:rsid w:val="002E1327"/>
    <w:rPr>
      <w:sz w:val="24"/>
      <w:szCs w:val="24"/>
    </w:rPr>
  </w:style>
  <w:style w:type="paragraph" w:styleId="Tekstpodstawowy2">
    <w:name w:val="Body Text 2"/>
    <w:basedOn w:val="Normalny"/>
    <w:link w:val="Tekstpodstawowy2Znak"/>
    <w:uiPriority w:val="99"/>
    <w:semiHidden/>
    <w:unhideWhenUsed/>
    <w:qFormat/>
    <w:rsid w:val="003B20B9"/>
    <w:pPr>
      <w:spacing w:after="120" w:line="480" w:lineRule="auto"/>
    </w:pPr>
  </w:style>
  <w:style w:type="paragraph" w:styleId="Indeks3">
    <w:name w:val="index 3"/>
    <w:basedOn w:val="Normalny"/>
    <w:next w:val="Normalny"/>
    <w:autoRedefine/>
    <w:semiHidden/>
    <w:qFormat/>
    <w:rsid w:val="00DF3C4F"/>
    <w:pPr>
      <w:spacing w:after="0" w:line="240" w:lineRule="auto"/>
      <w:ind w:left="720" w:hanging="240"/>
    </w:pPr>
    <w:rPr>
      <w:rFonts w:ascii="Times New Roman" w:eastAsia="Times New Roman" w:hAnsi="Times New Roman" w:cs="Times New Roman"/>
      <w:sz w:val="24"/>
      <w:szCs w:val="24"/>
      <w:lang w:eastAsia="pl-PL"/>
    </w:rPr>
  </w:style>
  <w:style w:type="paragraph" w:customStyle="1" w:styleId="Standard">
    <w:name w:val="Standard"/>
    <w:qFormat/>
    <w:rsid w:val="00606E0A"/>
    <w:pPr>
      <w:suppressAutoHyphens/>
      <w:spacing w:after="80" w:line="360" w:lineRule="auto"/>
    </w:pPr>
    <w:rPr>
      <w:rFonts w:eastAsia="Lucida Sans Unicode" w:cs="F"/>
      <w:kern w:val="2"/>
      <w:sz w:val="24"/>
      <w:szCs w:val="22"/>
      <w:lang w:eastAsia="en-US"/>
    </w:rPr>
  </w:style>
  <w:style w:type="paragraph" w:customStyle="1" w:styleId="Zawartoramki">
    <w:name w:val="Zawartość ramki"/>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Teksttreci">
    <w:name w:val="Tekst treści"/>
    <w:basedOn w:val="Normalny"/>
    <w:qFormat/>
    <w:pPr>
      <w:widowControl w:val="0"/>
      <w:spacing w:after="80" w:line="360" w:lineRule="auto"/>
      <w:ind w:firstLine="300"/>
    </w:pPr>
    <w:rPr>
      <w:rFonts w:ascii="Arial" w:eastAsia="Arial" w:hAnsi="Arial" w:cs="Arial"/>
      <w:sz w:val="20"/>
      <w:szCs w:val="20"/>
      <w:lang w:eastAsia="pl-PL"/>
    </w:rPr>
  </w:style>
  <w:style w:type="paragraph" w:customStyle="1" w:styleId="Podstawowyakapit">
    <w:name w:val="[Podstawowy akapit]"/>
    <w:basedOn w:val="Normalny"/>
    <w:qFormat/>
    <w:pPr>
      <w:widowControl w:val="0"/>
      <w:spacing w:after="0" w:line="288" w:lineRule="auto"/>
      <w:textAlignment w:val="center"/>
    </w:pPr>
    <w:rPr>
      <w:rFonts w:ascii="Arial" w:eastAsia="Arial" w:hAnsi="Arial" w:cs="Times New Roman"/>
      <w:color w:val="000000"/>
      <w:sz w:val="20"/>
      <w:szCs w:val="20"/>
      <w:lang w:eastAsia="pl-PL"/>
    </w:rPr>
  </w:style>
  <w:style w:type="numbering" w:styleId="111111">
    <w:name w:val="Outline List 2"/>
    <w:uiPriority w:val="99"/>
    <w:semiHidden/>
    <w:unhideWhenUsed/>
    <w:qFormat/>
    <w:rsid w:val="00E02F9A"/>
  </w:style>
  <w:style w:type="numbering" w:customStyle="1" w:styleId="WW8Num2">
    <w:name w:val="WW8Num2"/>
    <w:qFormat/>
  </w:style>
  <w:style w:type="numbering" w:customStyle="1" w:styleId="WW8Num1">
    <w:name w:val="WW8Num1"/>
    <w:qFormat/>
  </w:style>
  <w:style w:type="table" w:styleId="Tabela-Siatka">
    <w:name w:val="Table Grid"/>
    <w:basedOn w:val="Standardowy"/>
    <w:uiPriority w:val="39"/>
    <w:rsid w:val="0035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F37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4F67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aszerű bekezdés1 Znak,List Paragraph à moi Znak,Numbered Para 1 Znak,No Spacing1 Znak,List Paragraph Char Char Char Znak,Indicator Text Znak,Bullet Points Znak,MAIN CONTENT Znak,OBC Bullet Znak"/>
    <w:link w:val="Akapitzlist"/>
    <w:uiPriority w:val="34"/>
    <w:qFormat/>
    <w:locked/>
    <w:rsid w:val="004F4FF3"/>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8510AB"/>
    <w:rPr>
      <w:color w:val="0000FF" w:themeColor="hyperlink"/>
      <w:u w:val="single"/>
    </w:rPr>
  </w:style>
  <w:style w:type="character" w:customStyle="1" w:styleId="h11">
    <w:name w:val="h11"/>
    <w:rsid w:val="00443E8A"/>
    <w:rPr>
      <w:rFonts w:ascii="Verdana" w:hAnsi="Verdana" w:hint="default"/>
      <w:b/>
      <w:bCs/>
      <w:i w:val="0"/>
      <w:iCs w:val="0"/>
      <w:sz w:val="23"/>
      <w:szCs w:val="23"/>
    </w:rPr>
  </w:style>
  <w:style w:type="character" w:customStyle="1" w:styleId="Nierozpoznanawzmianka2">
    <w:name w:val="Nierozpoznana wzmianka2"/>
    <w:basedOn w:val="Domylnaczcionkaakapitu"/>
    <w:uiPriority w:val="99"/>
    <w:semiHidden/>
    <w:unhideWhenUsed/>
    <w:rsid w:val="00622EAC"/>
    <w:rPr>
      <w:color w:val="605E5C"/>
      <w:shd w:val="clear" w:color="auto" w:fill="E1DFDD"/>
    </w:rPr>
  </w:style>
  <w:style w:type="character" w:customStyle="1" w:styleId="Nagwek6Znak">
    <w:name w:val="Nagłówek 6 Znak"/>
    <w:basedOn w:val="Domylnaczcionkaakapitu"/>
    <w:link w:val="Nagwek6"/>
    <w:rsid w:val="00ED07A6"/>
    <w:rPr>
      <w:b/>
      <w:sz w:val="22"/>
    </w:rPr>
  </w:style>
  <w:style w:type="character" w:customStyle="1" w:styleId="Nagwek7Znak">
    <w:name w:val="Nagłówek 7 Znak"/>
    <w:basedOn w:val="Domylnaczcionkaakapitu"/>
    <w:link w:val="Nagwek7"/>
    <w:rsid w:val="00ED07A6"/>
    <w:rPr>
      <w:sz w:val="24"/>
    </w:rPr>
  </w:style>
  <w:style w:type="character" w:customStyle="1" w:styleId="Nagwek9Znak">
    <w:name w:val="Nagłówek 9 Znak"/>
    <w:basedOn w:val="Domylnaczcionkaakapitu"/>
    <w:link w:val="Nagwek9"/>
    <w:rsid w:val="00ED07A6"/>
    <w:rPr>
      <w:b/>
      <w:sz w:val="24"/>
    </w:rPr>
  </w:style>
  <w:style w:type="numbering" w:customStyle="1" w:styleId="Bezlisty1">
    <w:name w:val="Bez listy1"/>
    <w:next w:val="Bezlisty"/>
    <w:uiPriority w:val="99"/>
    <w:semiHidden/>
    <w:unhideWhenUsed/>
    <w:rsid w:val="00ED07A6"/>
  </w:style>
  <w:style w:type="character" w:customStyle="1" w:styleId="Nierozpoznanawzmianka3">
    <w:name w:val="Nierozpoznana wzmianka3"/>
    <w:basedOn w:val="Domylnaczcionkaakapitu"/>
    <w:uiPriority w:val="99"/>
    <w:semiHidden/>
    <w:unhideWhenUsed/>
    <w:rsid w:val="00C922F5"/>
    <w:rPr>
      <w:color w:val="605E5C"/>
      <w:shd w:val="clear" w:color="auto" w:fill="E1DFDD"/>
    </w:rPr>
  </w:style>
  <w:style w:type="character" w:styleId="Odwoanieprzypisudolnego">
    <w:name w:val="footnote reference"/>
    <w:basedOn w:val="Domylnaczcionkaakapitu"/>
    <w:uiPriority w:val="99"/>
    <w:semiHidden/>
    <w:unhideWhenUsed/>
    <w:rsid w:val="006763DD"/>
    <w:rPr>
      <w:vertAlign w:val="superscript"/>
    </w:rPr>
  </w:style>
  <w:style w:type="character" w:customStyle="1" w:styleId="Nierozpoznanawzmianka4">
    <w:name w:val="Nierozpoznana wzmianka4"/>
    <w:basedOn w:val="Domylnaczcionkaakapitu"/>
    <w:uiPriority w:val="99"/>
    <w:semiHidden/>
    <w:unhideWhenUsed/>
    <w:rsid w:val="00F6453F"/>
    <w:rPr>
      <w:color w:val="605E5C"/>
      <w:shd w:val="clear" w:color="auto" w:fill="E1DFDD"/>
    </w:rPr>
  </w:style>
  <w:style w:type="character" w:styleId="UyteHipercze">
    <w:name w:val="FollowedHyperlink"/>
    <w:basedOn w:val="Domylnaczcionkaakapitu"/>
    <w:uiPriority w:val="99"/>
    <w:semiHidden/>
    <w:unhideWhenUsed/>
    <w:rsid w:val="002F48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145877">
      <w:bodyDiv w:val="1"/>
      <w:marLeft w:val="0"/>
      <w:marRight w:val="0"/>
      <w:marTop w:val="0"/>
      <w:marBottom w:val="0"/>
      <w:divBdr>
        <w:top w:val="none" w:sz="0" w:space="0" w:color="auto"/>
        <w:left w:val="none" w:sz="0" w:space="0" w:color="auto"/>
        <w:bottom w:val="none" w:sz="0" w:space="0" w:color="auto"/>
        <w:right w:val="none" w:sz="0" w:space="0" w:color="auto"/>
      </w:divBdr>
    </w:div>
    <w:div w:id="156654409">
      <w:bodyDiv w:val="1"/>
      <w:marLeft w:val="0"/>
      <w:marRight w:val="0"/>
      <w:marTop w:val="0"/>
      <w:marBottom w:val="0"/>
      <w:divBdr>
        <w:top w:val="none" w:sz="0" w:space="0" w:color="auto"/>
        <w:left w:val="none" w:sz="0" w:space="0" w:color="auto"/>
        <w:bottom w:val="none" w:sz="0" w:space="0" w:color="auto"/>
        <w:right w:val="none" w:sz="0" w:space="0" w:color="auto"/>
      </w:divBdr>
    </w:div>
    <w:div w:id="271210230">
      <w:bodyDiv w:val="1"/>
      <w:marLeft w:val="0"/>
      <w:marRight w:val="0"/>
      <w:marTop w:val="0"/>
      <w:marBottom w:val="0"/>
      <w:divBdr>
        <w:top w:val="none" w:sz="0" w:space="0" w:color="auto"/>
        <w:left w:val="none" w:sz="0" w:space="0" w:color="auto"/>
        <w:bottom w:val="none" w:sz="0" w:space="0" w:color="auto"/>
        <w:right w:val="none" w:sz="0" w:space="0" w:color="auto"/>
      </w:divBdr>
    </w:div>
    <w:div w:id="273289652">
      <w:bodyDiv w:val="1"/>
      <w:marLeft w:val="0"/>
      <w:marRight w:val="0"/>
      <w:marTop w:val="0"/>
      <w:marBottom w:val="0"/>
      <w:divBdr>
        <w:top w:val="none" w:sz="0" w:space="0" w:color="auto"/>
        <w:left w:val="none" w:sz="0" w:space="0" w:color="auto"/>
        <w:bottom w:val="none" w:sz="0" w:space="0" w:color="auto"/>
        <w:right w:val="none" w:sz="0" w:space="0" w:color="auto"/>
      </w:divBdr>
    </w:div>
    <w:div w:id="300312016">
      <w:bodyDiv w:val="1"/>
      <w:marLeft w:val="0"/>
      <w:marRight w:val="0"/>
      <w:marTop w:val="0"/>
      <w:marBottom w:val="0"/>
      <w:divBdr>
        <w:top w:val="none" w:sz="0" w:space="0" w:color="auto"/>
        <w:left w:val="none" w:sz="0" w:space="0" w:color="auto"/>
        <w:bottom w:val="none" w:sz="0" w:space="0" w:color="auto"/>
        <w:right w:val="none" w:sz="0" w:space="0" w:color="auto"/>
      </w:divBdr>
    </w:div>
    <w:div w:id="437482924">
      <w:bodyDiv w:val="1"/>
      <w:marLeft w:val="0"/>
      <w:marRight w:val="0"/>
      <w:marTop w:val="0"/>
      <w:marBottom w:val="0"/>
      <w:divBdr>
        <w:top w:val="none" w:sz="0" w:space="0" w:color="auto"/>
        <w:left w:val="none" w:sz="0" w:space="0" w:color="auto"/>
        <w:bottom w:val="none" w:sz="0" w:space="0" w:color="auto"/>
        <w:right w:val="none" w:sz="0" w:space="0" w:color="auto"/>
      </w:divBdr>
    </w:div>
    <w:div w:id="454519007">
      <w:bodyDiv w:val="1"/>
      <w:marLeft w:val="0"/>
      <w:marRight w:val="0"/>
      <w:marTop w:val="0"/>
      <w:marBottom w:val="0"/>
      <w:divBdr>
        <w:top w:val="none" w:sz="0" w:space="0" w:color="auto"/>
        <w:left w:val="none" w:sz="0" w:space="0" w:color="auto"/>
        <w:bottom w:val="none" w:sz="0" w:space="0" w:color="auto"/>
        <w:right w:val="none" w:sz="0" w:space="0" w:color="auto"/>
      </w:divBdr>
    </w:div>
    <w:div w:id="463624391">
      <w:bodyDiv w:val="1"/>
      <w:marLeft w:val="0"/>
      <w:marRight w:val="0"/>
      <w:marTop w:val="0"/>
      <w:marBottom w:val="0"/>
      <w:divBdr>
        <w:top w:val="none" w:sz="0" w:space="0" w:color="auto"/>
        <w:left w:val="none" w:sz="0" w:space="0" w:color="auto"/>
        <w:bottom w:val="none" w:sz="0" w:space="0" w:color="auto"/>
        <w:right w:val="none" w:sz="0" w:space="0" w:color="auto"/>
      </w:divBdr>
    </w:div>
    <w:div w:id="472210270">
      <w:bodyDiv w:val="1"/>
      <w:marLeft w:val="0"/>
      <w:marRight w:val="0"/>
      <w:marTop w:val="0"/>
      <w:marBottom w:val="0"/>
      <w:divBdr>
        <w:top w:val="none" w:sz="0" w:space="0" w:color="auto"/>
        <w:left w:val="none" w:sz="0" w:space="0" w:color="auto"/>
        <w:bottom w:val="none" w:sz="0" w:space="0" w:color="auto"/>
        <w:right w:val="none" w:sz="0" w:space="0" w:color="auto"/>
      </w:divBdr>
    </w:div>
    <w:div w:id="480542366">
      <w:bodyDiv w:val="1"/>
      <w:marLeft w:val="0"/>
      <w:marRight w:val="0"/>
      <w:marTop w:val="0"/>
      <w:marBottom w:val="0"/>
      <w:divBdr>
        <w:top w:val="none" w:sz="0" w:space="0" w:color="auto"/>
        <w:left w:val="none" w:sz="0" w:space="0" w:color="auto"/>
        <w:bottom w:val="none" w:sz="0" w:space="0" w:color="auto"/>
        <w:right w:val="none" w:sz="0" w:space="0" w:color="auto"/>
      </w:divBdr>
    </w:div>
    <w:div w:id="709231358">
      <w:bodyDiv w:val="1"/>
      <w:marLeft w:val="0"/>
      <w:marRight w:val="0"/>
      <w:marTop w:val="0"/>
      <w:marBottom w:val="0"/>
      <w:divBdr>
        <w:top w:val="none" w:sz="0" w:space="0" w:color="auto"/>
        <w:left w:val="none" w:sz="0" w:space="0" w:color="auto"/>
        <w:bottom w:val="none" w:sz="0" w:space="0" w:color="auto"/>
        <w:right w:val="none" w:sz="0" w:space="0" w:color="auto"/>
      </w:divBdr>
      <w:divsChild>
        <w:div w:id="914513318">
          <w:marLeft w:val="0"/>
          <w:marRight w:val="0"/>
          <w:marTop w:val="0"/>
          <w:marBottom w:val="0"/>
          <w:divBdr>
            <w:top w:val="none" w:sz="0" w:space="0" w:color="auto"/>
            <w:left w:val="none" w:sz="0" w:space="0" w:color="auto"/>
            <w:bottom w:val="none" w:sz="0" w:space="0" w:color="auto"/>
            <w:right w:val="none" w:sz="0" w:space="0" w:color="auto"/>
          </w:divBdr>
          <w:divsChild>
            <w:div w:id="219561068">
              <w:marLeft w:val="0"/>
              <w:marRight w:val="0"/>
              <w:marTop w:val="0"/>
              <w:marBottom w:val="0"/>
              <w:divBdr>
                <w:top w:val="none" w:sz="0" w:space="0" w:color="auto"/>
                <w:left w:val="none" w:sz="0" w:space="0" w:color="auto"/>
                <w:bottom w:val="none" w:sz="0" w:space="0" w:color="auto"/>
                <w:right w:val="none" w:sz="0" w:space="0" w:color="auto"/>
              </w:divBdr>
            </w:div>
            <w:div w:id="516309033">
              <w:marLeft w:val="0"/>
              <w:marRight w:val="0"/>
              <w:marTop w:val="0"/>
              <w:marBottom w:val="0"/>
              <w:divBdr>
                <w:top w:val="none" w:sz="0" w:space="0" w:color="auto"/>
                <w:left w:val="none" w:sz="0" w:space="0" w:color="auto"/>
                <w:bottom w:val="none" w:sz="0" w:space="0" w:color="auto"/>
                <w:right w:val="none" w:sz="0" w:space="0" w:color="auto"/>
              </w:divBdr>
            </w:div>
            <w:div w:id="2089959867">
              <w:marLeft w:val="0"/>
              <w:marRight w:val="0"/>
              <w:marTop w:val="0"/>
              <w:marBottom w:val="0"/>
              <w:divBdr>
                <w:top w:val="none" w:sz="0" w:space="0" w:color="auto"/>
                <w:left w:val="none" w:sz="0" w:space="0" w:color="auto"/>
                <w:bottom w:val="none" w:sz="0" w:space="0" w:color="auto"/>
                <w:right w:val="none" w:sz="0" w:space="0" w:color="auto"/>
              </w:divBdr>
            </w:div>
            <w:div w:id="897983445">
              <w:marLeft w:val="0"/>
              <w:marRight w:val="0"/>
              <w:marTop w:val="0"/>
              <w:marBottom w:val="0"/>
              <w:divBdr>
                <w:top w:val="none" w:sz="0" w:space="0" w:color="auto"/>
                <w:left w:val="none" w:sz="0" w:space="0" w:color="auto"/>
                <w:bottom w:val="none" w:sz="0" w:space="0" w:color="auto"/>
                <w:right w:val="none" w:sz="0" w:space="0" w:color="auto"/>
              </w:divBdr>
            </w:div>
          </w:divsChild>
        </w:div>
        <w:div w:id="1124424047">
          <w:marLeft w:val="0"/>
          <w:marRight w:val="0"/>
          <w:marTop w:val="0"/>
          <w:marBottom w:val="0"/>
          <w:divBdr>
            <w:top w:val="none" w:sz="0" w:space="0" w:color="auto"/>
            <w:left w:val="none" w:sz="0" w:space="0" w:color="auto"/>
            <w:bottom w:val="none" w:sz="0" w:space="0" w:color="auto"/>
            <w:right w:val="none" w:sz="0" w:space="0" w:color="auto"/>
          </w:divBdr>
        </w:div>
      </w:divsChild>
    </w:div>
    <w:div w:id="762654116">
      <w:bodyDiv w:val="1"/>
      <w:marLeft w:val="0"/>
      <w:marRight w:val="0"/>
      <w:marTop w:val="0"/>
      <w:marBottom w:val="0"/>
      <w:divBdr>
        <w:top w:val="none" w:sz="0" w:space="0" w:color="auto"/>
        <w:left w:val="none" w:sz="0" w:space="0" w:color="auto"/>
        <w:bottom w:val="none" w:sz="0" w:space="0" w:color="auto"/>
        <w:right w:val="none" w:sz="0" w:space="0" w:color="auto"/>
      </w:divBdr>
    </w:div>
    <w:div w:id="802768252">
      <w:bodyDiv w:val="1"/>
      <w:marLeft w:val="0"/>
      <w:marRight w:val="0"/>
      <w:marTop w:val="0"/>
      <w:marBottom w:val="0"/>
      <w:divBdr>
        <w:top w:val="none" w:sz="0" w:space="0" w:color="auto"/>
        <w:left w:val="none" w:sz="0" w:space="0" w:color="auto"/>
        <w:bottom w:val="none" w:sz="0" w:space="0" w:color="auto"/>
        <w:right w:val="none" w:sz="0" w:space="0" w:color="auto"/>
      </w:divBdr>
    </w:div>
    <w:div w:id="833448885">
      <w:bodyDiv w:val="1"/>
      <w:marLeft w:val="0"/>
      <w:marRight w:val="0"/>
      <w:marTop w:val="0"/>
      <w:marBottom w:val="0"/>
      <w:divBdr>
        <w:top w:val="none" w:sz="0" w:space="0" w:color="auto"/>
        <w:left w:val="none" w:sz="0" w:space="0" w:color="auto"/>
        <w:bottom w:val="none" w:sz="0" w:space="0" w:color="auto"/>
        <w:right w:val="none" w:sz="0" w:space="0" w:color="auto"/>
      </w:divBdr>
    </w:div>
    <w:div w:id="861168711">
      <w:bodyDiv w:val="1"/>
      <w:marLeft w:val="0"/>
      <w:marRight w:val="0"/>
      <w:marTop w:val="0"/>
      <w:marBottom w:val="0"/>
      <w:divBdr>
        <w:top w:val="none" w:sz="0" w:space="0" w:color="auto"/>
        <w:left w:val="none" w:sz="0" w:space="0" w:color="auto"/>
        <w:bottom w:val="none" w:sz="0" w:space="0" w:color="auto"/>
        <w:right w:val="none" w:sz="0" w:space="0" w:color="auto"/>
      </w:divBdr>
    </w:div>
    <w:div w:id="868881929">
      <w:bodyDiv w:val="1"/>
      <w:marLeft w:val="0"/>
      <w:marRight w:val="0"/>
      <w:marTop w:val="0"/>
      <w:marBottom w:val="0"/>
      <w:divBdr>
        <w:top w:val="none" w:sz="0" w:space="0" w:color="auto"/>
        <w:left w:val="none" w:sz="0" w:space="0" w:color="auto"/>
        <w:bottom w:val="none" w:sz="0" w:space="0" w:color="auto"/>
        <w:right w:val="none" w:sz="0" w:space="0" w:color="auto"/>
      </w:divBdr>
    </w:div>
    <w:div w:id="881210406">
      <w:bodyDiv w:val="1"/>
      <w:marLeft w:val="0"/>
      <w:marRight w:val="0"/>
      <w:marTop w:val="0"/>
      <w:marBottom w:val="0"/>
      <w:divBdr>
        <w:top w:val="none" w:sz="0" w:space="0" w:color="auto"/>
        <w:left w:val="none" w:sz="0" w:space="0" w:color="auto"/>
        <w:bottom w:val="none" w:sz="0" w:space="0" w:color="auto"/>
        <w:right w:val="none" w:sz="0" w:space="0" w:color="auto"/>
      </w:divBdr>
    </w:div>
    <w:div w:id="985013606">
      <w:bodyDiv w:val="1"/>
      <w:marLeft w:val="0"/>
      <w:marRight w:val="0"/>
      <w:marTop w:val="0"/>
      <w:marBottom w:val="0"/>
      <w:divBdr>
        <w:top w:val="none" w:sz="0" w:space="0" w:color="auto"/>
        <w:left w:val="none" w:sz="0" w:space="0" w:color="auto"/>
        <w:bottom w:val="none" w:sz="0" w:space="0" w:color="auto"/>
        <w:right w:val="none" w:sz="0" w:space="0" w:color="auto"/>
      </w:divBdr>
    </w:div>
    <w:div w:id="1027827189">
      <w:bodyDiv w:val="1"/>
      <w:marLeft w:val="0"/>
      <w:marRight w:val="0"/>
      <w:marTop w:val="0"/>
      <w:marBottom w:val="0"/>
      <w:divBdr>
        <w:top w:val="none" w:sz="0" w:space="0" w:color="auto"/>
        <w:left w:val="none" w:sz="0" w:space="0" w:color="auto"/>
        <w:bottom w:val="none" w:sz="0" w:space="0" w:color="auto"/>
        <w:right w:val="none" w:sz="0" w:space="0" w:color="auto"/>
      </w:divBdr>
    </w:div>
    <w:div w:id="1133207759">
      <w:bodyDiv w:val="1"/>
      <w:marLeft w:val="0"/>
      <w:marRight w:val="0"/>
      <w:marTop w:val="0"/>
      <w:marBottom w:val="0"/>
      <w:divBdr>
        <w:top w:val="none" w:sz="0" w:space="0" w:color="auto"/>
        <w:left w:val="none" w:sz="0" w:space="0" w:color="auto"/>
        <w:bottom w:val="none" w:sz="0" w:space="0" w:color="auto"/>
        <w:right w:val="none" w:sz="0" w:space="0" w:color="auto"/>
      </w:divBdr>
    </w:div>
    <w:div w:id="1205364488">
      <w:bodyDiv w:val="1"/>
      <w:marLeft w:val="0"/>
      <w:marRight w:val="0"/>
      <w:marTop w:val="0"/>
      <w:marBottom w:val="0"/>
      <w:divBdr>
        <w:top w:val="none" w:sz="0" w:space="0" w:color="auto"/>
        <w:left w:val="none" w:sz="0" w:space="0" w:color="auto"/>
        <w:bottom w:val="none" w:sz="0" w:space="0" w:color="auto"/>
        <w:right w:val="none" w:sz="0" w:space="0" w:color="auto"/>
      </w:divBdr>
    </w:div>
    <w:div w:id="1220628029">
      <w:bodyDiv w:val="1"/>
      <w:marLeft w:val="0"/>
      <w:marRight w:val="0"/>
      <w:marTop w:val="0"/>
      <w:marBottom w:val="0"/>
      <w:divBdr>
        <w:top w:val="none" w:sz="0" w:space="0" w:color="auto"/>
        <w:left w:val="none" w:sz="0" w:space="0" w:color="auto"/>
        <w:bottom w:val="none" w:sz="0" w:space="0" w:color="auto"/>
        <w:right w:val="none" w:sz="0" w:space="0" w:color="auto"/>
      </w:divBdr>
    </w:div>
    <w:div w:id="1287661142">
      <w:bodyDiv w:val="1"/>
      <w:marLeft w:val="0"/>
      <w:marRight w:val="0"/>
      <w:marTop w:val="0"/>
      <w:marBottom w:val="0"/>
      <w:divBdr>
        <w:top w:val="none" w:sz="0" w:space="0" w:color="auto"/>
        <w:left w:val="none" w:sz="0" w:space="0" w:color="auto"/>
        <w:bottom w:val="none" w:sz="0" w:space="0" w:color="auto"/>
        <w:right w:val="none" w:sz="0" w:space="0" w:color="auto"/>
      </w:divBdr>
    </w:div>
    <w:div w:id="1292782998">
      <w:bodyDiv w:val="1"/>
      <w:marLeft w:val="0"/>
      <w:marRight w:val="0"/>
      <w:marTop w:val="0"/>
      <w:marBottom w:val="0"/>
      <w:divBdr>
        <w:top w:val="none" w:sz="0" w:space="0" w:color="auto"/>
        <w:left w:val="none" w:sz="0" w:space="0" w:color="auto"/>
        <w:bottom w:val="none" w:sz="0" w:space="0" w:color="auto"/>
        <w:right w:val="none" w:sz="0" w:space="0" w:color="auto"/>
      </w:divBdr>
    </w:div>
    <w:div w:id="1316643536">
      <w:bodyDiv w:val="1"/>
      <w:marLeft w:val="0"/>
      <w:marRight w:val="0"/>
      <w:marTop w:val="0"/>
      <w:marBottom w:val="0"/>
      <w:divBdr>
        <w:top w:val="none" w:sz="0" w:space="0" w:color="auto"/>
        <w:left w:val="none" w:sz="0" w:space="0" w:color="auto"/>
        <w:bottom w:val="none" w:sz="0" w:space="0" w:color="auto"/>
        <w:right w:val="none" w:sz="0" w:space="0" w:color="auto"/>
      </w:divBdr>
    </w:div>
    <w:div w:id="1366904273">
      <w:bodyDiv w:val="1"/>
      <w:marLeft w:val="0"/>
      <w:marRight w:val="0"/>
      <w:marTop w:val="0"/>
      <w:marBottom w:val="0"/>
      <w:divBdr>
        <w:top w:val="none" w:sz="0" w:space="0" w:color="auto"/>
        <w:left w:val="none" w:sz="0" w:space="0" w:color="auto"/>
        <w:bottom w:val="none" w:sz="0" w:space="0" w:color="auto"/>
        <w:right w:val="none" w:sz="0" w:space="0" w:color="auto"/>
      </w:divBdr>
    </w:div>
    <w:div w:id="1427967864">
      <w:bodyDiv w:val="1"/>
      <w:marLeft w:val="0"/>
      <w:marRight w:val="0"/>
      <w:marTop w:val="0"/>
      <w:marBottom w:val="0"/>
      <w:divBdr>
        <w:top w:val="none" w:sz="0" w:space="0" w:color="auto"/>
        <w:left w:val="none" w:sz="0" w:space="0" w:color="auto"/>
        <w:bottom w:val="none" w:sz="0" w:space="0" w:color="auto"/>
        <w:right w:val="none" w:sz="0" w:space="0" w:color="auto"/>
      </w:divBdr>
    </w:div>
    <w:div w:id="1500998397">
      <w:bodyDiv w:val="1"/>
      <w:marLeft w:val="0"/>
      <w:marRight w:val="0"/>
      <w:marTop w:val="0"/>
      <w:marBottom w:val="0"/>
      <w:divBdr>
        <w:top w:val="none" w:sz="0" w:space="0" w:color="auto"/>
        <w:left w:val="none" w:sz="0" w:space="0" w:color="auto"/>
        <w:bottom w:val="none" w:sz="0" w:space="0" w:color="auto"/>
        <w:right w:val="none" w:sz="0" w:space="0" w:color="auto"/>
      </w:divBdr>
    </w:div>
    <w:div w:id="1502968931">
      <w:bodyDiv w:val="1"/>
      <w:marLeft w:val="0"/>
      <w:marRight w:val="0"/>
      <w:marTop w:val="0"/>
      <w:marBottom w:val="0"/>
      <w:divBdr>
        <w:top w:val="none" w:sz="0" w:space="0" w:color="auto"/>
        <w:left w:val="none" w:sz="0" w:space="0" w:color="auto"/>
        <w:bottom w:val="none" w:sz="0" w:space="0" w:color="auto"/>
        <w:right w:val="none" w:sz="0" w:space="0" w:color="auto"/>
      </w:divBdr>
    </w:div>
    <w:div w:id="1533574350">
      <w:bodyDiv w:val="1"/>
      <w:marLeft w:val="0"/>
      <w:marRight w:val="0"/>
      <w:marTop w:val="0"/>
      <w:marBottom w:val="0"/>
      <w:divBdr>
        <w:top w:val="none" w:sz="0" w:space="0" w:color="auto"/>
        <w:left w:val="none" w:sz="0" w:space="0" w:color="auto"/>
        <w:bottom w:val="none" w:sz="0" w:space="0" w:color="auto"/>
        <w:right w:val="none" w:sz="0" w:space="0" w:color="auto"/>
      </w:divBdr>
    </w:div>
    <w:div w:id="1607420924">
      <w:bodyDiv w:val="1"/>
      <w:marLeft w:val="0"/>
      <w:marRight w:val="0"/>
      <w:marTop w:val="0"/>
      <w:marBottom w:val="0"/>
      <w:divBdr>
        <w:top w:val="none" w:sz="0" w:space="0" w:color="auto"/>
        <w:left w:val="none" w:sz="0" w:space="0" w:color="auto"/>
        <w:bottom w:val="none" w:sz="0" w:space="0" w:color="auto"/>
        <w:right w:val="none" w:sz="0" w:space="0" w:color="auto"/>
      </w:divBdr>
    </w:div>
    <w:div w:id="1650132641">
      <w:bodyDiv w:val="1"/>
      <w:marLeft w:val="0"/>
      <w:marRight w:val="0"/>
      <w:marTop w:val="0"/>
      <w:marBottom w:val="0"/>
      <w:divBdr>
        <w:top w:val="none" w:sz="0" w:space="0" w:color="auto"/>
        <w:left w:val="none" w:sz="0" w:space="0" w:color="auto"/>
        <w:bottom w:val="none" w:sz="0" w:space="0" w:color="auto"/>
        <w:right w:val="none" w:sz="0" w:space="0" w:color="auto"/>
      </w:divBdr>
      <w:divsChild>
        <w:div w:id="530463109">
          <w:marLeft w:val="0"/>
          <w:marRight w:val="0"/>
          <w:marTop w:val="0"/>
          <w:marBottom w:val="0"/>
          <w:divBdr>
            <w:top w:val="none" w:sz="0" w:space="0" w:color="auto"/>
            <w:left w:val="none" w:sz="0" w:space="0" w:color="auto"/>
            <w:bottom w:val="none" w:sz="0" w:space="0" w:color="auto"/>
            <w:right w:val="none" w:sz="0" w:space="0" w:color="auto"/>
          </w:divBdr>
          <w:divsChild>
            <w:div w:id="163322859">
              <w:marLeft w:val="0"/>
              <w:marRight w:val="0"/>
              <w:marTop w:val="0"/>
              <w:marBottom w:val="0"/>
              <w:divBdr>
                <w:top w:val="none" w:sz="0" w:space="0" w:color="auto"/>
                <w:left w:val="none" w:sz="0" w:space="0" w:color="auto"/>
                <w:bottom w:val="none" w:sz="0" w:space="0" w:color="auto"/>
                <w:right w:val="none" w:sz="0" w:space="0" w:color="auto"/>
              </w:divBdr>
            </w:div>
            <w:div w:id="263925624">
              <w:marLeft w:val="0"/>
              <w:marRight w:val="0"/>
              <w:marTop w:val="0"/>
              <w:marBottom w:val="0"/>
              <w:divBdr>
                <w:top w:val="none" w:sz="0" w:space="0" w:color="auto"/>
                <w:left w:val="none" w:sz="0" w:space="0" w:color="auto"/>
                <w:bottom w:val="none" w:sz="0" w:space="0" w:color="auto"/>
                <w:right w:val="none" w:sz="0" w:space="0" w:color="auto"/>
              </w:divBdr>
            </w:div>
            <w:div w:id="479274767">
              <w:marLeft w:val="0"/>
              <w:marRight w:val="0"/>
              <w:marTop w:val="0"/>
              <w:marBottom w:val="0"/>
              <w:divBdr>
                <w:top w:val="none" w:sz="0" w:space="0" w:color="auto"/>
                <w:left w:val="none" w:sz="0" w:space="0" w:color="auto"/>
                <w:bottom w:val="none" w:sz="0" w:space="0" w:color="auto"/>
                <w:right w:val="none" w:sz="0" w:space="0" w:color="auto"/>
              </w:divBdr>
            </w:div>
            <w:div w:id="1960143293">
              <w:marLeft w:val="0"/>
              <w:marRight w:val="0"/>
              <w:marTop w:val="0"/>
              <w:marBottom w:val="0"/>
              <w:divBdr>
                <w:top w:val="none" w:sz="0" w:space="0" w:color="auto"/>
                <w:left w:val="none" w:sz="0" w:space="0" w:color="auto"/>
                <w:bottom w:val="none" w:sz="0" w:space="0" w:color="auto"/>
                <w:right w:val="none" w:sz="0" w:space="0" w:color="auto"/>
              </w:divBdr>
            </w:div>
          </w:divsChild>
        </w:div>
        <w:div w:id="1272586682">
          <w:marLeft w:val="0"/>
          <w:marRight w:val="0"/>
          <w:marTop w:val="0"/>
          <w:marBottom w:val="0"/>
          <w:divBdr>
            <w:top w:val="none" w:sz="0" w:space="0" w:color="auto"/>
            <w:left w:val="none" w:sz="0" w:space="0" w:color="auto"/>
            <w:bottom w:val="none" w:sz="0" w:space="0" w:color="auto"/>
            <w:right w:val="none" w:sz="0" w:space="0" w:color="auto"/>
          </w:divBdr>
        </w:div>
      </w:divsChild>
    </w:div>
    <w:div w:id="1651590396">
      <w:bodyDiv w:val="1"/>
      <w:marLeft w:val="0"/>
      <w:marRight w:val="0"/>
      <w:marTop w:val="0"/>
      <w:marBottom w:val="0"/>
      <w:divBdr>
        <w:top w:val="none" w:sz="0" w:space="0" w:color="auto"/>
        <w:left w:val="none" w:sz="0" w:space="0" w:color="auto"/>
        <w:bottom w:val="none" w:sz="0" w:space="0" w:color="auto"/>
        <w:right w:val="none" w:sz="0" w:space="0" w:color="auto"/>
      </w:divBdr>
      <w:divsChild>
        <w:div w:id="497960413">
          <w:marLeft w:val="0"/>
          <w:marRight w:val="0"/>
          <w:marTop w:val="0"/>
          <w:marBottom w:val="0"/>
          <w:divBdr>
            <w:top w:val="none" w:sz="0" w:space="0" w:color="auto"/>
            <w:left w:val="none" w:sz="0" w:space="0" w:color="auto"/>
            <w:bottom w:val="none" w:sz="0" w:space="0" w:color="auto"/>
            <w:right w:val="none" w:sz="0" w:space="0" w:color="auto"/>
          </w:divBdr>
          <w:divsChild>
            <w:div w:id="2132161979">
              <w:marLeft w:val="0"/>
              <w:marRight w:val="0"/>
              <w:marTop w:val="0"/>
              <w:marBottom w:val="0"/>
              <w:divBdr>
                <w:top w:val="none" w:sz="0" w:space="0" w:color="auto"/>
                <w:left w:val="none" w:sz="0" w:space="0" w:color="auto"/>
                <w:bottom w:val="none" w:sz="0" w:space="0" w:color="auto"/>
                <w:right w:val="none" w:sz="0" w:space="0" w:color="auto"/>
              </w:divBdr>
            </w:div>
            <w:div w:id="1840193457">
              <w:marLeft w:val="0"/>
              <w:marRight w:val="0"/>
              <w:marTop w:val="0"/>
              <w:marBottom w:val="0"/>
              <w:divBdr>
                <w:top w:val="none" w:sz="0" w:space="0" w:color="auto"/>
                <w:left w:val="none" w:sz="0" w:space="0" w:color="auto"/>
                <w:bottom w:val="none" w:sz="0" w:space="0" w:color="auto"/>
                <w:right w:val="none" w:sz="0" w:space="0" w:color="auto"/>
              </w:divBdr>
            </w:div>
            <w:div w:id="1203783263">
              <w:marLeft w:val="0"/>
              <w:marRight w:val="0"/>
              <w:marTop w:val="0"/>
              <w:marBottom w:val="0"/>
              <w:divBdr>
                <w:top w:val="none" w:sz="0" w:space="0" w:color="auto"/>
                <w:left w:val="none" w:sz="0" w:space="0" w:color="auto"/>
                <w:bottom w:val="none" w:sz="0" w:space="0" w:color="auto"/>
                <w:right w:val="none" w:sz="0" w:space="0" w:color="auto"/>
              </w:divBdr>
            </w:div>
            <w:div w:id="1266882666">
              <w:marLeft w:val="0"/>
              <w:marRight w:val="0"/>
              <w:marTop w:val="0"/>
              <w:marBottom w:val="0"/>
              <w:divBdr>
                <w:top w:val="none" w:sz="0" w:space="0" w:color="auto"/>
                <w:left w:val="none" w:sz="0" w:space="0" w:color="auto"/>
                <w:bottom w:val="none" w:sz="0" w:space="0" w:color="auto"/>
                <w:right w:val="none" w:sz="0" w:space="0" w:color="auto"/>
              </w:divBdr>
            </w:div>
          </w:divsChild>
        </w:div>
        <w:div w:id="1546524783">
          <w:marLeft w:val="0"/>
          <w:marRight w:val="0"/>
          <w:marTop w:val="0"/>
          <w:marBottom w:val="0"/>
          <w:divBdr>
            <w:top w:val="none" w:sz="0" w:space="0" w:color="auto"/>
            <w:left w:val="none" w:sz="0" w:space="0" w:color="auto"/>
            <w:bottom w:val="none" w:sz="0" w:space="0" w:color="auto"/>
            <w:right w:val="none" w:sz="0" w:space="0" w:color="auto"/>
          </w:divBdr>
        </w:div>
      </w:divsChild>
    </w:div>
    <w:div w:id="1711681018">
      <w:bodyDiv w:val="1"/>
      <w:marLeft w:val="0"/>
      <w:marRight w:val="0"/>
      <w:marTop w:val="0"/>
      <w:marBottom w:val="0"/>
      <w:divBdr>
        <w:top w:val="none" w:sz="0" w:space="0" w:color="auto"/>
        <w:left w:val="none" w:sz="0" w:space="0" w:color="auto"/>
        <w:bottom w:val="none" w:sz="0" w:space="0" w:color="auto"/>
        <w:right w:val="none" w:sz="0" w:space="0" w:color="auto"/>
      </w:divBdr>
    </w:div>
    <w:div w:id="1792016756">
      <w:bodyDiv w:val="1"/>
      <w:marLeft w:val="0"/>
      <w:marRight w:val="0"/>
      <w:marTop w:val="0"/>
      <w:marBottom w:val="0"/>
      <w:divBdr>
        <w:top w:val="none" w:sz="0" w:space="0" w:color="auto"/>
        <w:left w:val="none" w:sz="0" w:space="0" w:color="auto"/>
        <w:bottom w:val="none" w:sz="0" w:space="0" w:color="auto"/>
        <w:right w:val="none" w:sz="0" w:space="0" w:color="auto"/>
      </w:divBdr>
    </w:div>
    <w:div w:id="1798643472">
      <w:bodyDiv w:val="1"/>
      <w:marLeft w:val="0"/>
      <w:marRight w:val="0"/>
      <w:marTop w:val="0"/>
      <w:marBottom w:val="0"/>
      <w:divBdr>
        <w:top w:val="none" w:sz="0" w:space="0" w:color="auto"/>
        <w:left w:val="none" w:sz="0" w:space="0" w:color="auto"/>
        <w:bottom w:val="none" w:sz="0" w:space="0" w:color="auto"/>
        <w:right w:val="none" w:sz="0" w:space="0" w:color="auto"/>
      </w:divBdr>
    </w:div>
    <w:div w:id="1830487264">
      <w:bodyDiv w:val="1"/>
      <w:marLeft w:val="0"/>
      <w:marRight w:val="0"/>
      <w:marTop w:val="0"/>
      <w:marBottom w:val="0"/>
      <w:divBdr>
        <w:top w:val="none" w:sz="0" w:space="0" w:color="auto"/>
        <w:left w:val="none" w:sz="0" w:space="0" w:color="auto"/>
        <w:bottom w:val="none" w:sz="0" w:space="0" w:color="auto"/>
        <w:right w:val="none" w:sz="0" w:space="0" w:color="auto"/>
      </w:divBdr>
    </w:div>
    <w:div w:id="1834562988">
      <w:bodyDiv w:val="1"/>
      <w:marLeft w:val="0"/>
      <w:marRight w:val="0"/>
      <w:marTop w:val="0"/>
      <w:marBottom w:val="0"/>
      <w:divBdr>
        <w:top w:val="none" w:sz="0" w:space="0" w:color="auto"/>
        <w:left w:val="none" w:sz="0" w:space="0" w:color="auto"/>
        <w:bottom w:val="none" w:sz="0" w:space="0" w:color="auto"/>
        <w:right w:val="none" w:sz="0" w:space="0" w:color="auto"/>
      </w:divBdr>
    </w:div>
    <w:div w:id="1932662039">
      <w:bodyDiv w:val="1"/>
      <w:marLeft w:val="0"/>
      <w:marRight w:val="0"/>
      <w:marTop w:val="0"/>
      <w:marBottom w:val="0"/>
      <w:divBdr>
        <w:top w:val="none" w:sz="0" w:space="0" w:color="auto"/>
        <w:left w:val="none" w:sz="0" w:space="0" w:color="auto"/>
        <w:bottom w:val="none" w:sz="0" w:space="0" w:color="auto"/>
        <w:right w:val="none" w:sz="0" w:space="0" w:color="auto"/>
      </w:divBdr>
    </w:div>
    <w:div w:id="2008827047">
      <w:bodyDiv w:val="1"/>
      <w:marLeft w:val="0"/>
      <w:marRight w:val="0"/>
      <w:marTop w:val="0"/>
      <w:marBottom w:val="0"/>
      <w:divBdr>
        <w:top w:val="none" w:sz="0" w:space="0" w:color="auto"/>
        <w:left w:val="none" w:sz="0" w:space="0" w:color="auto"/>
        <w:bottom w:val="none" w:sz="0" w:space="0" w:color="auto"/>
        <w:right w:val="none" w:sz="0" w:space="0" w:color="auto"/>
      </w:divBdr>
    </w:div>
    <w:div w:id="2049644858">
      <w:bodyDiv w:val="1"/>
      <w:marLeft w:val="0"/>
      <w:marRight w:val="0"/>
      <w:marTop w:val="0"/>
      <w:marBottom w:val="0"/>
      <w:divBdr>
        <w:top w:val="none" w:sz="0" w:space="0" w:color="auto"/>
        <w:left w:val="none" w:sz="0" w:space="0" w:color="auto"/>
        <w:bottom w:val="none" w:sz="0" w:space="0" w:color="auto"/>
        <w:right w:val="none" w:sz="0" w:space="0" w:color="auto"/>
      </w:divBdr>
    </w:div>
    <w:div w:id="2077824798">
      <w:bodyDiv w:val="1"/>
      <w:marLeft w:val="0"/>
      <w:marRight w:val="0"/>
      <w:marTop w:val="0"/>
      <w:marBottom w:val="0"/>
      <w:divBdr>
        <w:top w:val="none" w:sz="0" w:space="0" w:color="auto"/>
        <w:left w:val="none" w:sz="0" w:space="0" w:color="auto"/>
        <w:bottom w:val="none" w:sz="0" w:space="0" w:color="auto"/>
        <w:right w:val="none" w:sz="0" w:space="0" w:color="auto"/>
      </w:divBdr>
    </w:div>
    <w:div w:id="2099715753">
      <w:bodyDiv w:val="1"/>
      <w:marLeft w:val="0"/>
      <w:marRight w:val="0"/>
      <w:marTop w:val="0"/>
      <w:marBottom w:val="0"/>
      <w:divBdr>
        <w:top w:val="none" w:sz="0" w:space="0" w:color="auto"/>
        <w:left w:val="none" w:sz="0" w:space="0" w:color="auto"/>
        <w:bottom w:val="none" w:sz="0" w:space="0" w:color="auto"/>
        <w:right w:val="none" w:sz="0" w:space="0" w:color="auto"/>
      </w:divBdr>
    </w:div>
    <w:div w:id="2135633443">
      <w:bodyDiv w:val="1"/>
      <w:marLeft w:val="0"/>
      <w:marRight w:val="0"/>
      <w:marTop w:val="0"/>
      <w:marBottom w:val="0"/>
      <w:divBdr>
        <w:top w:val="none" w:sz="0" w:space="0" w:color="auto"/>
        <w:left w:val="none" w:sz="0" w:space="0" w:color="auto"/>
        <w:bottom w:val="none" w:sz="0" w:space="0" w:color="auto"/>
        <w:right w:val="none" w:sz="0" w:space="0" w:color="auto"/>
      </w:divBdr>
    </w:div>
    <w:div w:id="2146698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www.coboru.gov.pl" TargetMode="External"/><Relationship Id="rId21" Type="http://schemas.openxmlformats.org/officeDocument/2006/relationships/chart" Target="charts/chart8.xml"/><Relationship Id="rId34" Type="http://schemas.openxmlformats.org/officeDocument/2006/relationships/hyperlink" Target="http://hortiochrona.inhort.pl/" TargetMode="External"/><Relationship Id="rId42" Type="http://schemas.openxmlformats.org/officeDocument/2006/relationships/image" Target="media/image20.jpeg"/><Relationship Id="rId47" Type="http://schemas.openxmlformats.org/officeDocument/2006/relationships/chart" Target="charts/chart11.xml"/><Relationship Id="rId50" Type="http://schemas.openxmlformats.org/officeDocument/2006/relationships/chart" Target="charts/chart13.xml"/><Relationship Id="rId55" Type="http://schemas.openxmlformats.org/officeDocument/2006/relationships/chart" Target="charts/chart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png"/><Relationship Id="rId11" Type="http://schemas.openxmlformats.org/officeDocument/2006/relationships/chart" Target="charts/chart3.xml"/><Relationship Id="rId24" Type="http://schemas.openxmlformats.org/officeDocument/2006/relationships/image" Target="media/image8.wmf"/><Relationship Id="rId32" Type="http://schemas.openxmlformats.org/officeDocument/2006/relationships/image" Target="media/image15.png"/><Relationship Id="rId37" Type="http://schemas.openxmlformats.org/officeDocument/2006/relationships/image" Target="media/image17.wmf"/><Relationship Id="rId40" Type="http://schemas.openxmlformats.org/officeDocument/2006/relationships/image" Target="media/image19.png"/><Relationship Id="rId45" Type="http://schemas.openxmlformats.org/officeDocument/2006/relationships/image" Target="media/image22.emf"/><Relationship Id="rId53" Type="http://schemas.openxmlformats.org/officeDocument/2006/relationships/chart" Target="charts/chart15.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hyperlink" Target="https://radiopoznan.fm/audycja/berwinskiego-5/berwinskiego-5-profesor-dr-hab-anna-tratwal"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agrofagi.com.pl/" TargetMode="External"/><Relationship Id="rId43" Type="http://schemas.openxmlformats.org/officeDocument/2006/relationships/chart" Target="charts/chart9.xml"/><Relationship Id="rId48" Type="http://schemas.openxmlformats.org/officeDocument/2006/relationships/image" Target="media/image23.png"/><Relationship Id="rId56" Type="http://schemas.openxmlformats.org/officeDocument/2006/relationships/footer" Target="footer1.xml"/><Relationship Id="rId8" Type="http://schemas.openxmlformats.org/officeDocument/2006/relationships/chart" Target="charts/chart1.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image" Target="media/image9.wmf"/><Relationship Id="rId33" Type="http://schemas.openxmlformats.org/officeDocument/2006/relationships/hyperlink" Target="https://www.agrofagi.com.pl/598,kwarantannowy-nicien-wegorek-sosnowiec" TargetMode="External"/><Relationship Id="rId38" Type="http://schemas.openxmlformats.org/officeDocument/2006/relationships/image" Target="media/image18.png"/><Relationship Id="rId46" Type="http://schemas.openxmlformats.org/officeDocument/2006/relationships/chart" Target="charts/chart10.xml"/><Relationship Id="rId20" Type="http://schemas.openxmlformats.org/officeDocument/2006/relationships/chart" Target="charts/chart7.xml"/><Relationship Id="rId41" Type="http://schemas.openxmlformats.org/officeDocument/2006/relationships/hyperlink" Target="http://piorin.gov.pl/integrowana-produkcja" TargetMode="External"/><Relationship Id="rId54"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7.wmf"/><Relationship Id="rId28" Type="http://schemas.openxmlformats.org/officeDocument/2006/relationships/image" Target="media/image12.png"/><Relationship Id="rId36" Type="http://schemas.openxmlformats.org/officeDocument/2006/relationships/image" Target="media/image16.wmf"/><Relationship Id="rId49" Type="http://schemas.openxmlformats.org/officeDocument/2006/relationships/chart" Target="charts/chart12.xml"/><Relationship Id="rId57"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hyperlink" Target="http://www.agrofagi.com.pl/" TargetMode="External"/><Relationship Id="rId44" Type="http://schemas.openxmlformats.org/officeDocument/2006/relationships/image" Target="media/image21.png"/><Relationship Id="rId52" Type="http://schemas.openxmlformats.org/officeDocument/2006/relationships/chart" Target="charts/chart1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oleObject" Target="file:///\\SERWER5\Dane\HOMES\sliwinski\PROJEKTY\PW%202023\zadanie%201.9\dane%20do%20sprawozdania\wykresy%20-%20obliczenia%20wska&#378;nik&#243;w.xlsx" TargetMode="External"/><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3" Type="http://schemas.openxmlformats.org/officeDocument/2006/relationships/oleObject" Target="file:///\\SERWER5\Dane\HOMES\sliwinski\PROJEKTY\PW%202023\zadanie%201.9\WSKA&#377;NIKI\Wska&#378;nik%20HRI1\wykresy%20do%20analizy%20-%20miernika%20HRI1.xlsx" TargetMode="External"/><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3" Type="http://schemas.openxmlformats.org/officeDocument/2006/relationships/oleObject" Target="file:///\\SERWER5\Dane\HOMES\sliwinski\PROJEKTY\PW%202023\zadanie%201.9\WSKA&#377;NIKI\Wska&#378;nik%20HRI1\wykresy%20do%20analizy%20-%20miernika%20HRI1.xlsx" TargetMode="External"/><Relationship Id="rId2" Type="http://schemas.microsoft.com/office/2011/relationships/chartColorStyle" Target="colors6.xml"/><Relationship Id="rId1" Type="http://schemas.microsoft.com/office/2011/relationships/chartStyle" Target="style6.xml"/></Relationships>
</file>

<file path=word/charts/_rels/chart14.xml.rels><?xml version="1.0" encoding="UTF-8" standalone="yes"?>
<Relationships xmlns="http://schemas.openxmlformats.org/package/2006/relationships"><Relationship Id="rId3" Type="http://schemas.openxmlformats.org/officeDocument/2006/relationships/oleObject" Target="file:///\\SERWER5\Dane\HOMES\sliwinski\PROJEKTY\PW%202023\zadanie%201.9\wsparcie%20MRiRW\kopia_aei_fm_salpest09_20230721.xlsx" TargetMode="External"/><Relationship Id="rId2" Type="http://schemas.microsoft.com/office/2011/relationships/chartColorStyle" Target="colors7.xml"/><Relationship Id="rId1" Type="http://schemas.microsoft.com/office/2011/relationships/chartStyle" Target="style7.xml"/></Relationships>
</file>

<file path=word/charts/_rels/chart15.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oleObject" Target="file:///\\SERWER5\Dane\HOMES\sliwinski\PROJEKTY\projekt_HRI1\2023\obliczenia%20HRI1%202011-2022%20klasyfikacja%202022%20WS.xlsx" TargetMode="External"/><Relationship Id="rId2" Type="http://schemas.microsoft.com/office/2011/relationships/chartColorStyle" Target="colors9.xml"/><Relationship Id="rId1" Type="http://schemas.microsoft.com/office/2011/relationships/chartStyle" Target="style9.xml"/></Relationships>
</file>

<file path=word/charts/_rels/chart17.xml.rels><?xml version="1.0" encoding="UTF-8" standalone="yes"?>
<Relationships xmlns="http://schemas.openxmlformats.org/package/2006/relationships"><Relationship Id="rId3" Type="http://schemas.openxmlformats.org/officeDocument/2006/relationships/oleObject" Target="file:///\\SERWER5\Dane\HOMES\sliwinski\PROJEKTY\projekt_HRI1\2023\HRI_2022_analizaPL.xlsm"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Liczba osób przeszkolonych</c:v>
                </c:pt>
              </c:strCache>
            </c:strRef>
          </c:tx>
          <c:spPr>
            <a:solidFill>
              <a:srgbClr val="9BBB59"/>
            </a:solidFill>
            <a:ln>
              <a:noFill/>
            </a:ln>
            <a:effectLst/>
            <a:sp3d/>
          </c:spPr>
          <c:invertIfNegative val="0"/>
          <c:dLbls>
            <c:dLbl>
              <c:idx val="0"/>
              <c:layout>
                <c:manualLayout>
                  <c:x val="0"/>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6-48A6-B105-86CB63D04299}"/>
                </c:ext>
              </c:extLst>
            </c:dLbl>
            <c:dLbl>
              <c:idx val="1"/>
              <c:layout>
                <c:manualLayout>
                  <c:x val="2.5236593059936676E-3"/>
                  <c:y val="-3.0112923462986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6-48A6-B105-86CB63D04299}"/>
                </c:ext>
              </c:extLst>
            </c:dLbl>
            <c:dLbl>
              <c:idx val="2"/>
              <c:layout>
                <c:manualLayout>
                  <c:x val="-3.9464259062638662E-17"/>
                  <c:y val="-4.247104247104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F6-48A6-B105-86CB63D04299}"/>
                </c:ext>
              </c:extLst>
            </c:dLbl>
            <c:dLbl>
              <c:idx val="4"/>
              <c:layout>
                <c:manualLayout>
                  <c:x val="0"/>
                  <c:y val="-6.7873303167420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F6-48A6-B105-86CB63D04299}"/>
                </c:ext>
              </c:extLst>
            </c:dLbl>
            <c:dLbl>
              <c:idx val="6"/>
              <c:layout>
                <c:manualLayout>
                  <c:x val="0"/>
                  <c:y val="-5.4298642533936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F6-48A6-B105-86CB63D04299}"/>
                </c:ext>
              </c:extLst>
            </c:dLbl>
            <c:dLbl>
              <c:idx val="8"/>
              <c:layout>
                <c:manualLayout>
                  <c:x val="0"/>
                  <c:y val="-3.8610038610038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F6-48A6-B105-86CB63D04299}"/>
                </c:ext>
              </c:extLst>
            </c:dLbl>
            <c:dLbl>
              <c:idx val="9"/>
              <c:layout>
                <c:manualLayout>
                  <c:x val="4.7166390385411545E-3"/>
                  <c:y val="-4.7264355113505546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3706140350877192E-2"/>
                      <c:h val="9.476631210572363E-2"/>
                    </c:manualLayout>
                  </c15:layout>
                </c:ext>
                <c:ext xmlns:c16="http://schemas.microsoft.com/office/drawing/2014/chart" uri="{C3380CC4-5D6E-409C-BE32-E72D297353CC}">
                  <c16:uniqueId val="{00000006-69F6-48A6-B105-86CB63D04299}"/>
                </c:ext>
              </c:extLst>
            </c:dLbl>
            <c:dLbl>
              <c:idx val="10"/>
              <c:layout>
                <c:manualLayout>
                  <c:x val="1.4778765557530169E-3"/>
                  <c:y val="-4.745901594115735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9.4068671743900864E-2"/>
                      <c:h val="0.1411190554230092"/>
                    </c:manualLayout>
                  </c15:layout>
                </c:ext>
                <c:ext xmlns:c16="http://schemas.microsoft.com/office/drawing/2014/chart" uri="{C3380CC4-5D6E-409C-BE32-E72D297353CC}">
                  <c16:uniqueId val="{00000007-69F6-48A6-B105-86CB63D042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Arkusz1!$A$2:$A$15</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Arkusz1!$B$2:$B$15</c:f>
              <c:numCache>
                <c:formatCode>#,##0</c:formatCode>
                <c:ptCount val="14"/>
                <c:pt idx="0">
                  <c:v>109715</c:v>
                </c:pt>
                <c:pt idx="1">
                  <c:v>59360</c:v>
                </c:pt>
                <c:pt idx="2">
                  <c:v>68083</c:v>
                </c:pt>
                <c:pt idx="3">
                  <c:v>68667</c:v>
                </c:pt>
                <c:pt idx="4">
                  <c:v>91290</c:v>
                </c:pt>
                <c:pt idx="5">
                  <c:v>140285</c:v>
                </c:pt>
                <c:pt idx="6">
                  <c:v>73088</c:v>
                </c:pt>
                <c:pt idx="7">
                  <c:v>59060</c:v>
                </c:pt>
                <c:pt idx="8">
                  <c:v>66300</c:v>
                </c:pt>
                <c:pt idx="9">
                  <c:v>76723</c:v>
                </c:pt>
                <c:pt idx="10" formatCode="General">
                  <c:v>93905</c:v>
                </c:pt>
                <c:pt idx="11" formatCode="General">
                  <c:v>62675</c:v>
                </c:pt>
                <c:pt idx="12" formatCode="General">
                  <c:v>53996</c:v>
                </c:pt>
                <c:pt idx="13" formatCode="General">
                  <c:v>66426</c:v>
                </c:pt>
              </c:numCache>
            </c:numRef>
          </c:val>
          <c:extLst>
            <c:ext xmlns:c16="http://schemas.microsoft.com/office/drawing/2014/chart" uri="{C3380CC4-5D6E-409C-BE32-E72D297353CC}">
              <c16:uniqueId val="{00000008-69F6-48A6-B105-86CB63D04299}"/>
            </c:ext>
          </c:extLst>
        </c:ser>
        <c:dLbls>
          <c:showLegendKey val="0"/>
          <c:showVal val="0"/>
          <c:showCatName val="0"/>
          <c:showSerName val="0"/>
          <c:showPercent val="0"/>
          <c:showBubbleSize val="0"/>
        </c:dLbls>
        <c:gapWidth val="150"/>
        <c:shape val="box"/>
        <c:axId val="576549760"/>
        <c:axId val="576550152"/>
        <c:axId val="0"/>
      </c:bar3DChart>
      <c:catAx>
        <c:axId val="57654976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50152"/>
        <c:crosses val="autoZero"/>
        <c:auto val="1"/>
        <c:lblAlgn val="ctr"/>
        <c:lblOffset val="100"/>
        <c:noMultiLvlLbl val="0"/>
      </c:catAx>
      <c:valAx>
        <c:axId val="5765501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4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liczba środków ochrony roślin dopuszczonych do stosowania w rolnictwie ekologicznym </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1"/>
          <c:spPr>
            <a:solidFill>
              <a:schemeClr val="accent2"/>
            </a:solidFill>
            <a:ln>
              <a:noFill/>
            </a:ln>
            <a:effectLst/>
            <a:sp3d/>
          </c:spPr>
          <c:invertIfNegative val="0"/>
          <c:cat>
            <c:numRef>
              <c:f>Arkusz1!$A$2:$A$6</c:f>
              <c:numCache>
                <c:formatCode>General</c:formatCode>
                <c:ptCount val="5"/>
                <c:pt idx="0">
                  <c:v>2018</c:v>
                </c:pt>
                <c:pt idx="1">
                  <c:v>2019</c:v>
                </c:pt>
                <c:pt idx="2">
                  <c:v>2020</c:v>
                </c:pt>
                <c:pt idx="3">
                  <c:v>2021</c:v>
                </c:pt>
                <c:pt idx="4">
                  <c:v>2022</c:v>
                </c:pt>
              </c:numCache>
            </c:numRef>
          </c:cat>
          <c:val>
            <c:numRef>
              <c:f>Arkusz1!$B$2:$B$6</c:f>
              <c:numCache>
                <c:formatCode>General</c:formatCode>
                <c:ptCount val="5"/>
                <c:pt idx="0">
                  <c:v>96</c:v>
                </c:pt>
                <c:pt idx="1">
                  <c:v>110</c:v>
                </c:pt>
                <c:pt idx="2">
                  <c:v>123</c:v>
                </c:pt>
                <c:pt idx="3">
                  <c:v>123</c:v>
                </c:pt>
                <c:pt idx="4">
                  <c:v>146</c:v>
                </c:pt>
              </c:numCache>
            </c:numRef>
          </c:val>
          <c:extLst>
            <c:ext xmlns:c16="http://schemas.microsoft.com/office/drawing/2014/chart" uri="{C3380CC4-5D6E-409C-BE32-E72D297353CC}">
              <c16:uniqueId val="{00000001-5461-43DE-9189-E33B650BA105}"/>
            </c:ext>
          </c:extLst>
        </c:ser>
        <c:dLbls>
          <c:showLegendKey val="0"/>
          <c:showVal val="0"/>
          <c:showCatName val="0"/>
          <c:showSerName val="0"/>
          <c:showPercent val="0"/>
          <c:showBubbleSize val="0"/>
        </c:dLbls>
        <c:gapWidth val="150"/>
        <c:shape val="box"/>
        <c:axId val="685609352"/>
        <c:axId val="685611320"/>
        <c:axId val="0"/>
        <c:extLst>
          <c:ext xmlns:c15="http://schemas.microsoft.com/office/drawing/2012/chart" uri="{02D57815-91ED-43cb-92C2-25804820EDAC}">
            <c15:filteredBarSeries>
              <c15:ser>
                <c:idx val="0"/>
                <c:order val="0"/>
                <c:spPr>
                  <a:solidFill>
                    <a:schemeClr val="accent1"/>
                  </a:solidFill>
                  <a:ln>
                    <a:noFill/>
                  </a:ln>
                  <a:effectLst/>
                  <a:sp3d/>
                </c:spPr>
                <c:invertIfNegative val="0"/>
                <c:cat>
                  <c:numRef>
                    <c:extLst>
                      <c:ext uri="{02D57815-91ED-43cb-92C2-25804820EDAC}">
                        <c15:formulaRef>
                          <c15:sqref>Arkusz1!$A$2:$A$6</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Arkusz1!$A$2:$A$6</c15:sqref>
                        </c15:formulaRef>
                      </c:ext>
                    </c:extLst>
                    <c:numCache>
                      <c:formatCode>General</c:formatCode>
                      <c:ptCount val="5"/>
                      <c:pt idx="0">
                        <c:v>2018</c:v>
                      </c:pt>
                      <c:pt idx="1">
                        <c:v>2019</c:v>
                      </c:pt>
                      <c:pt idx="2">
                        <c:v>2020</c:v>
                      </c:pt>
                      <c:pt idx="3">
                        <c:v>2021</c:v>
                      </c:pt>
                      <c:pt idx="4">
                        <c:v>2022</c:v>
                      </c:pt>
                    </c:numCache>
                  </c:numRef>
                </c:val>
                <c:extLst>
                  <c:ext xmlns:c16="http://schemas.microsoft.com/office/drawing/2014/chart" uri="{C3380CC4-5D6E-409C-BE32-E72D297353CC}">
                    <c16:uniqueId val="{00000000-B039-45CB-8C4F-DEF1B83FB2A2}"/>
                  </c:ext>
                </c:extLst>
              </c15:ser>
            </c15:filteredBarSeries>
          </c:ext>
        </c:extLst>
      </c:bar3DChart>
      <c:catAx>
        <c:axId val="685609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11320"/>
        <c:crosses val="autoZero"/>
        <c:auto val="1"/>
        <c:lblAlgn val="ctr"/>
        <c:lblOffset val="100"/>
        <c:noMultiLvlLbl val="0"/>
      </c:catAx>
      <c:valAx>
        <c:axId val="68561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0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1"/>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'wsk B Stos'!$A$2:$A$9</c:f>
              <c:numCache>
                <c:formatCode>General</c:formatCode>
                <c:ptCount val="8"/>
                <c:pt idx="0">
                  <c:v>2015</c:v>
                </c:pt>
                <c:pt idx="1">
                  <c:v>2016</c:v>
                </c:pt>
                <c:pt idx="2">
                  <c:v>2017</c:v>
                </c:pt>
                <c:pt idx="3">
                  <c:v>2018</c:v>
                </c:pt>
                <c:pt idx="4">
                  <c:v>2019</c:v>
                </c:pt>
                <c:pt idx="5">
                  <c:v>2020</c:v>
                </c:pt>
                <c:pt idx="6">
                  <c:v>2021</c:v>
                </c:pt>
                <c:pt idx="7">
                  <c:v>2022</c:v>
                </c:pt>
              </c:numCache>
            </c:numRef>
          </c:cat>
          <c:val>
            <c:numRef>
              <c:f>'wsk B Stos'!$B$2:$B$9</c:f>
              <c:numCache>
                <c:formatCode>General</c:formatCode>
                <c:ptCount val="8"/>
                <c:pt idx="0">
                  <c:v>1.0389999999999999</c:v>
                </c:pt>
                <c:pt idx="1">
                  <c:v>1.103</c:v>
                </c:pt>
                <c:pt idx="2">
                  <c:v>1.101</c:v>
                </c:pt>
                <c:pt idx="3">
                  <c:v>1.0860000000000001</c:v>
                </c:pt>
                <c:pt idx="4">
                  <c:v>1.335</c:v>
                </c:pt>
                <c:pt idx="5">
                  <c:v>1.2789999999999999</c:v>
                </c:pt>
                <c:pt idx="6">
                  <c:v>1.3580000000000001</c:v>
                </c:pt>
                <c:pt idx="7">
                  <c:v>1.369</c:v>
                </c:pt>
              </c:numCache>
            </c:numRef>
          </c:val>
          <c:smooth val="0"/>
          <c:extLst>
            <c:ext xmlns:c16="http://schemas.microsoft.com/office/drawing/2014/chart" uri="{C3380CC4-5D6E-409C-BE32-E72D297353CC}">
              <c16:uniqueId val="{00000000-F330-47FC-8F7E-A71AF089BA60}"/>
            </c:ext>
          </c:extLst>
        </c:ser>
        <c:dLbls>
          <c:showLegendKey val="0"/>
          <c:showVal val="0"/>
          <c:showCatName val="0"/>
          <c:showSerName val="0"/>
          <c:showPercent val="0"/>
          <c:showBubbleSize val="0"/>
        </c:dLbls>
        <c:marker val="1"/>
        <c:smooth val="0"/>
        <c:axId val="318248408"/>
        <c:axId val="318253984"/>
      </c:lineChart>
      <c:catAx>
        <c:axId val="318248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53984"/>
        <c:crosses val="autoZero"/>
        <c:auto val="1"/>
        <c:lblAlgn val="ctr"/>
        <c:lblOffset val="100"/>
        <c:noMultiLvlLbl val="0"/>
      </c:catAx>
      <c:valAx>
        <c:axId val="318253984"/>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8248408"/>
        <c:crosses val="autoZero"/>
        <c:crossBetween val="between"/>
      </c:valAx>
      <c:spPr>
        <a:noFill/>
        <a:ln>
          <a:noFill/>
        </a:ln>
        <a:effectLst/>
      </c:spPr>
    </c:plotArea>
    <c:plotVisOnly val="0"/>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9"/>
            <c:invertIfNegative val="0"/>
            <c:bubble3D val="0"/>
            <c:spPr>
              <a:solidFill>
                <a:schemeClr val="accent1"/>
              </a:solidFill>
              <a:ln>
                <a:noFill/>
              </a:ln>
              <a:effectLst/>
            </c:spPr>
            <c:extLst>
              <c:ext xmlns:c16="http://schemas.microsoft.com/office/drawing/2014/chart" uri="{C3380CC4-5D6E-409C-BE32-E72D297353CC}">
                <c16:uniqueId val="{00000001-172F-4FCE-8558-A03C5D339929}"/>
              </c:ext>
            </c:extLst>
          </c:dPt>
          <c:dPt>
            <c:idx val="12"/>
            <c:invertIfNegative val="0"/>
            <c:bubble3D val="0"/>
            <c:spPr>
              <a:solidFill>
                <a:srgbClr val="92D050"/>
              </a:solidFill>
              <a:ln>
                <a:noFill/>
              </a:ln>
              <a:effectLst/>
            </c:spPr>
            <c:extLst>
              <c:ext xmlns:c16="http://schemas.microsoft.com/office/drawing/2014/chart" uri="{C3380CC4-5D6E-409C-BE32-E72D297353CC}">
                <c16:uniqueId val="{00000003-172F-4FCE-8558-A03C5D339929}"/>
              </c:ext>
            </c:extLst>
          </c:dPt>
          <c:dPt>
            <c:idx val="13"/>
            <c:invertIfNegative val="0"/>
            <c:bubble3D val="0"/>
            <c:spPr>
              <a:solidFill>
                <a:schemeClr val="accent1"/>
              </a:solidFill>
              <a:ln>
                <a:noFill/>
              </a:ln>
              <a:effectLst/>
            </c:spPr>
            <c:extLst>
              <c:ext xmlns:c16="http://schemas.microsoft.com/office/drawing/2014/chart" uri="{C3380CC4-5D6E-409C-BE32-E72D297353CC}">
                <c16:uniqueId val="{00000005-172F-4FCE-8558-A03C5D339929}"/>
              </c:ext>
            </c:extLst>
          </c:dPt>
          <c:dPt>
            <c:idx val="14"/>
            <c:invertIfNegative val="0"/>
            <c:bubble3D val="0"/>
            <c:spPr>
              <a:solidFill>
                <a:srgbClr val="FF0000"/>
              </a:solidFill>
              <a:ln>
                <a:noFill/>
              </a:ln>
              <a:effectLst/>
            </c:spPr>
            <c:extLst>
              <c:ext xmlns:c16="http://schemas.microsoft.com/office/drawing/2014/chart" uri="{C3380CC4-5D6E-409C-BE32-E72D297353CC}">
                <c16:uniqueId val="{00000007-172F-4FCE-8558-A03C5D339929}"/>
              </c:ext>
            </c:extLst>
          </c:dPt>
          <c:dPt>
            <c:idx val="18"/>
            <c:invertIfNegative val="0"/>
            <c:bubble3D val="0"/>
            <c:spPr>
              <a:solidFill>
                <a:schemeClr val="accent1"/>
              </a:solidFill>
              <a:ln>
                <a:noFill/>
              </a:ln>
              <a:effectLst/>
            </c:spPr>
            <c:extLst>
              <c:ext xmlns:c16="http://schemas.microsoft.com/office/drawing/2014/chart" uri="{C3380CC4-5D6E-409C-BE32-E72D297353CC}">
                <c16:uniqueId val="{00000009-172F-4FCE-8558-A03C5D339929}"/>
              </c:ext>
            </c:extLst>
          </c:dPt>
          <c:dPt>
            <c:idx val="21"/>
            <c:invertIfNegative val="0"/>
            <c:bubble3D val="0"/>
            <c:spPr>
              <a:solidFill>
                <a:schemeClr val="accent1"/>
              </a:solidFill>
              <a:ln>
                <a:noFill/>
              </a:ln>
              <a:effectLst/>
            </c:spPr>
            <c:extLst>
              <c:ext xmlns:c16="http://schemas.microsoft.com/office/drawing/2014/chart" uri="{C3380CC4-5D6E-409C-BE32-E72D297353CC}">
                <c16:uniqueId val="{0000000B-172F-4FCE-8558-A03C5D3399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wykres1!$A$2:$A$29</c:f>
              <c:strCache>
                <c:ptCount val="28"/>
                <c:pt idx="0">
                  <c:v>Estonia</c:v>
                </c:pt>
                <c:pt idx="1">
                  <c:v>Austria</c:v>
                </c:pt>
                <c:pt idx="2">
                  <c:v>Łotwa</c:v>
                </c:pt>
                <c:pt idx="3">
                  <c:v>Finlandia</c:v>
                </c:pt>
                <c:pt idx="4">
                  <c:v>Litwa</c:v>
                </c:pt>
                <c:pt idx="5">
                  <c:v>Niemcy</c:v>
                </c:pt>
                <c:pt idx="6">
                  <c:v>Cypr</c:v>
                </c:pt>
                <c:pt idx="7">
                  <c:v>Węgry</c:v>
                </c:pt>
                <c:pt idx="8">
                  <c:v>Malta</c:v>
                </c:pt>
                <c:pt idx="9">
                  <c:v>Francja</c:v>
                </c:pt>
                <c:pt idx="10">
                  <c:v>Słowenia</c:v>
                </c:pt>
                <c:pt idx="11">
                  <c:v>Bułgaria</c:v>
                </c:pt>
                <c:pt idx="12">
                  <c:v>Polska</c:v>
                </c:pt>
                <c:pt idx="13">
                  <c:v>Hiszpania</c:v>
                </c:pt>
                <c:pt idx="14">
                  <c:v>Unia Europejska</c:v>
                </c:pt>
                <c:pt idx="15">
                  <c:v>Szwecja</c:v>
                </c:pt>
                <c:pt idx="16">
                  <c:v>Portugalia</c:v>
                </c:pt>
                <c:pt idx="17">
                  <c:v>Słowacja</c:v>
                </c:pt>
                <c:pt idx="18">
                  <c:v>Dania</c:v>
                </c:pt>
                <c:pt idx="19">
                  <c:v>Włochy</c:v>
                </c:pt>
                <c:pt idx="20">
                  <c:v>Holandia</c:v>
                </c:pt>
                <c:pt idx="21">
                  <c:v>Irlandia</c:v>
                </c:pt>
                <c:pt idx="22">
                  <c:v>Belgia</c:v>
                </c:pt>
                <c:pt idx="23">
                  <c:v>Chorwacja</c:v>
                </c:pt>
                <c:pt idx="24">
                  <c:v>Grecja</c:v>
                </c:pt>
                <c:pt idx="25">
                  <c:v>Czechy</c:v>
                </c:pt>
                <c:pt idx="26">
                  <c:v>Luksemburg</c:v>
                </c:pt>
                <c:pt idx="27">
                  <c:v>Rumunia</c:v>
                </c:pt>
              </c:strCache>
            </c:strRef>
          </c:cat>
          <c:val>
            <c:numRef>
              <c:f>wykres1!$B$2:$B$29</c:f>
              <c:numCache>
                <c:formatCode>General</c:formatCode>
                <c:ptCount val="28"/>
                <c:pt idx="0">
                  <c:v>140</c:v>
                </c:pt>
                <c:pt idx="1">
                  <c:v>124</c:v>
                </c:pt>
                <c:pt idx="2">
                  <c:v>123</c:v>
                </c:pt>
                <c:pt idx="3">
                  <c:v>115</c:v>
                </c:pt>
                <c:pt idx="4">
                  <c:v>91</c:v>
                </c:pt>
                <c:pt idx="5">
                  <c:v>73</c:v>
                </c:pt>
                <c:pt idx="6">
                  <c:v>71</c:v>
                </c:pt>
                <c:pt idx="7">
                  <c:v>70</c:v>
                </c:pt>
                <c:pt idx="8">
                  <c:v>69</c:v>
                </c:pt>
                <c:pt idx="9">
                  <c:v>68</c:v>
                </c:pt>
                <c:pt idx="10">
                  <c:v>68</c:v>
                </c:pt>
                <c:pt idx="11">
                  <c:v>67</c:v>
                </c:pt>
                <c:pt idx="12">
                  <c:v>67</c:v>
                </c:pt>
                <c:pt idx="13">
                  <c:v>65</c:v>
                </c:pt>
                <c:pt idx="14">
                  <c:v>62</c:v>
                </c:pt>
                <c:pt idx="15">
                  <c:v>61</c:v>
                </c:pt>
                <c:pt idx="16">
                  <c:v>60</c:v>
                </c:pt>
                <c:pt idx="17">
                  <c:v>58</c:v>
                </c:pt>
                <c:pt idx="18">
                  <c:v>56</c:v>
                </c:pt>
                <c:pt idx="19">
                  <c:v>56</c:v>
                </c:pt>
                <c:pt idx="20">
                  <c:v>55</c:v>
                </c:pt>
                <c:pt idx="21">
                  <c:v>52</c:v>
                </c:pt>
                <c:pt idx="22">
                  <c:v>47</c:v>
                </c:pt>
                <c:pt idx="23">
                  <c:v>43</c:v>
                </c:pt>
                <c:pt idx="24">
                  <c:v>43</c:v>
                </c:pt>
                <c:pt idx="25">
                  <c:v>37</c:v>
                </c:pt>
                <c:pt idx="26">
                  <c:v>36</c:v>
                </c:pt>
                <c:pt idx="27">
                  <c:v>32</c:v>
                </c:pt>
              </c:numCache>
            </c:numRef>
          </c:val>
          <c:extLst>
            <c:ext xmlns:c16="http://schemas.microsoft.com/office/drawing/2014/chart" uri="{C3380CC4-5D6E-409C-BE32-E72D297353CC}">
              <c16:uniqueId val="{0000000C-172F-4FCE-8558-A03C5D339929}"/>
            </c:ext>
          </c:extLst>
        </c:ser>
        <c:dLbls>
          <c:showLegendKey val="0"/>
          <c:showVal val="0"/>
          <c:showCatName val="0"/>
          <c:showSerName val="0"/>
          <c:showPercent val="0"/>
          <c:showBubbleSize val="0"/>
        </c:dLbls>
        <c:gapWidth val="182"/>
        <c:axId val="490909432"/>
        <c:axId val="490917960"/>
      </c:barChart>
      <c:catAx>
        <c:axId val="49090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490917960"/>
        <c:crosses val="autoZero"/>
        <c:auto val="1"/>
        <c:lblAlgn val="ctr"/>
        <c:lblOffset val="100"/>
        <c:noMultiLvlLbl val="0"/>
      </c:catAx>
      <c:valAx>
        <c:axId val="490917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0909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Wskaźnik HRI1 - lata 2011-2021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wykres2!$A$2</c:f>
              <c:strCache>
                <c:ptCount val="1"/>
                <c:pt idx="0">
                  <c:v>Unia Europejska - 27 krajów (od 2020)</c:v>
                </c:pt>
              </c:strCache>
            </c:strRef>
          </c:tx>
          <c:spPr>
            <a:ln w="28575" cap="rnd">
              <a:solidFill>
                <a:schemeClr val="accent1"/>
              </a:solidFill>
              <a:round/>
            </a:ln>
            <a:effectLst/>
          </c:spPr>
          <c:marker>
            <c:symbol val="none"/>
          </c:marker>
          <c:cat>
            <c:numRef>
              <c:f>wykres2!$B$1:$L$1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wykres2!$B$2:$L$2</c:f>
              <c:numCache>
                <c:formatCode>General</c:formatCode>
                <c:ptCount val="11"/>
                <c:pt idx="0">
                  <c:v>108</c:v>
                </c:pt>
                <c:pt idx="1">
                  <c:v>98</c:v>
                </c:pt>
                <c:pt idx="2">
                  <c:v>93</c:v>
                </c:pt>
                <c:pt idx="3">
                  <c:v>97</c:v>
                </c:pt>
                <c:pt idx="4">
                  <c:v>99</c:v>
                </c:pt>
                <c:pt idx="5">
                  <c:v>94</c:v>
                </c:pt>
                <c:pt idx="6">
                  <c:v>86</c:v>
                </c:pt>
                <c:pt idx="7">
                  <c:v>86</c:v>
                </c:pt>
                <c:pt idx="8">
                  <c:v>79</c:v>
                </c:pt>
                <c:pt idx="9">
                  <c:v>68</c:v>
                </c:pt>
                <c:pt idx="10">
                  <c:v>62</c:v>
                </c:pt>
              </c:numCache>
            </c:numRef>
          </c:val>
          <c:smooth val="0"/>
          <c:extLst>
            <c:ext xmlns:c16="http://schemas.microsoft.com/office/drawing/2014/chart" uri="{C3380CC4-5D6E-409C-BE32-E72D297353CC}">
              <c16:uniqueId val="{00000000-021B-4834-9642-DC016A1082DD}"/>
            </c:ext>
          </c:extLst>
        </c:ser>
        <c:ser>
          <c:idx val="1"/>
          <c:order val="1"/>
          <c:tx>
            <c:strRef>
              <c:f>wykres2!$A$3</c:f>
              <c:strCache>
                <c:ptCount val="1"/>
                <c:pt idx="0">
                  <c:v>Polska</c:v>
                </c:pt>
              </c:strCache>
            </c:strRef>
          </c:tx>
          <c:spPr>
            <a:ln w="28575" cap="rnd">
              <a:solidFill>
                <a:schemeClr val="accent2"/>
              </a:solidFill>
              <a:round/>
            </a:ln>
            <a:effectLst/>
          </c:spPr>
          <c:marker>
            <c:symbol val="none"/>
          </c:marker>
          <c:cat>
            <c:numRef>
              <c:f>wykres2!$B$1:$L$1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wykres2!$B$3:$L$3</c:f>
              <c:numCache>
                <c:formatCode>General</c:formatCode>
                <c:ptCount val="11"/>
                <c:pt idx="0">
                  <c:v>108</c:v>
                </c:pt>
                <c:pt idx="1">
                  <c:v>97</c:v>
                </c:pt>
                <c:pt idx="2">
                  <c:v>95</c:v>
                </c:pt>
                <c:pt idx="3">
                  <c:v>102</c:v>
                </c:pt>
                <c:pt idx="4">
                  <c:v>107</c:v>
                </c:pt>
                <c:pt idx="5">
                  <c:v>105</c:v>
                </c:pt>
                <c:pt idx="6">
                  <c:v>100</c:v>
                </c:pt>
                <c:pt idx="7">
                  <c:v>91</c:v>
                </c:pt>
                <c:pt idx="8">
                  <c:v>106</c:v>
                </c:pt>
                <c:pt idx="9">
                  <c:v>64</c:v>
                </c:pt>
                <c:pt idx="10">
                  <c:v>67</c:v>
                </c:pt>
              </c:numCache>
            </c:numRef>
          </c:val>
          <c:smooth val="0"/>
          <c:extLst>
            <c:ext xmlns:c16="http://schemas.microsoft.com/office/drawing/2014/chart" uri="{C3380CC4-5D6E-409C-BE32-E72D297353CC}">
              <c16:uniqueId val="{00000001-021B-4834-9642-DC016A1082DD}"/>
            </c:ext>
          </c:extLst>
        </c:ser>
        <c:dLbls>
          <c:showLegendKey val="0"/>
          <c:showVal val="0"/>
          <c:showCatName val="0"/>
          <c:showSerName val="0"/>
          <c:showPercent val="0"/>
          <c:showBubbleSize val="0"/>
        </c:dLbls>
        <c:smooth val="0"/>
        <c:axId val="498766760"/>
        <c:axId val="498759216"/>
      </c:lineChart>
      <c:catAx>
        <c:axId val="49876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59216"/>
        <c:crosses val="autoZero"/>
        <c:auto val="1"/>
        <c:lblAlgn val="ctr"/>
        <c:lblOffset val="100"/>
        <c:noMultiLvlLbl val="0"/>
      </c:catAx>
      <c:valAx>
        <c:axId val="49875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66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85664770372603"/>
          <c:y val="5.6543320685950527E-2"/>
          <c:w val="0.8220984817089253"/>
          <c:h val="0.73633117103885326"/>
        </c:manualLayout>
      </c:layout>
      <c:barChart>
        <c:barDir val="col"/>
        <c:grouping val="clustered"/>
        <c:varyColors val="0"/>
        <c:ser>
          <c:idx val="0"/>
          <c:order val="0"/>
          <c:tx>
            <c:v>Wsk. sprz.</c:v>
          </c:tx>
          <c:spPr>
            <a:solidFill>
              <a:schemeClr val="accent1"/>
            </a:solidFill>
            <a:ln>
              <a:noFill/>
            </a:ln>
            <a:effectLst/>
          </c:spPr>
          <c:invertIfNegative val="0"/>
          <c:dPt>
            <c:idx val="12"/>
            <c:invertIfNegative val="0"/>
            <c:bubble3D val="0"/>
            <c:spPr>
              <a:solidFill>
                <a:srgbClr val="00B050"/>
              </a:solidFill>
              <a:ln>
                <a:noFill/>
              </a:ln>
              <a:effectLst/>
            </c:spPr>
            <c:extLst>
              <c:ext xmlns:c16="http://schemas.microsoft.com/office/drawing/2014/chart" uri="{C3380CC4-5D6E-409C-BE32-E72D297353CC}">
                <c16:uniqueId val="{00000001-D513-40B7-A0C6-79FD4EBD95BB}"/>
              </c:ext>
            </c:extLst>
          </c:dPt>
          <c:cat>
            <c:strRef>
              <c:f>wykres!$B$11:$B$38</c:f>
              <c:strCache>
                <c:ptCount val="28"/>
                <c:pt idx="0">
                  <c:v>CY</c:v>
                </c:pt>
                <c:pt idx="1">
                  <c:v>NL</c:v>
                </c:pt>
                <c:pt idx="2">
                  <c:v>IE</c:v>
                </c:pt>
                <c:pt idx="3">
                  <c:v>MT</c:v>
                </c:pt>
                <c:pt idx="4">
                  <c:v>BE</c:v>
                </c:pt>
                <c:pt idx="5">
                  <c:v>IT</c:v>
                </c:pt>
                <c:pt idx="6">
                  <c:v>PT</c:v>
                </c:pt>
                <c:pt idx="7">
                  <c:v>ES</c:v>
                </c:pt>
                <c:pt idx="8">
                  <c:v>SI</c:v>
                </c:pt>
                <c:pt idx="9">
                  <c:v>AT</c:v>
                </c:pt>
                <c:pt idx="10">
                  <c:v>DE</c:v>
                </c:pt>
                <c:pt idx="11">
                  <c:v>FR</c:v>
                </c:pt>
                <c:pt idx="12">
                  <c:v>EU</c:v>
                </c:pt>
                <c:pt idx="13">
                  <c:v>PL</c:v>
                </c:pt>
                <c:pt idx="14">
                  <c:v>HU</c:v>
                </c:pt>
                <c:pt idx="15">
                  <c:v>FI</c:v>
                </c:pt>
                <c:pt idx="16">
                  <c:v>CZ</c:v>
                </c:pt>
                <c:pt idx="17">
                  <c:v>GR</c:v>
                </c:pt>
                <c:pt idx="18">
                  <c:v>SK</c:v>
                </c:pt>
                <c:pt idx="19">
                  <c:v>HR</c:v>
                </c:pt>
                <c:pt idx="20">
                  <c:v>LV</c:v>
                </c:pt>
                <c:pt idx="21">
                  <c:v>DK</c:v>
                </c:pt>
                <c:pt idx="22">
                  <c:v>EE</c:v>
                </c:pt>
                <c:pt idx="23">
                  <c:v>BG</c:v>
                </c:pt>
                <c:pt idx="24">
                  <c:v>LT</c:v>
                </c:pt>
                <c:pt idx="25">
                  <c:v>RO</c:v>
                </c:pt>
                <c:pt idx="26">
                  <c:v>SE</c:v>
                </c:pt>
                <c:pt idx="27">
                  <c:v>LU</c:v>
                </c:pt>
              </c:strCache>
            </c:strRef>
          </c:cat>
          <c:val>
            <c:numRef>
              <c:f>wykres!$C$11:$C$38</c:f>
              <c:numCache>
                <c:formatCode>#,##0.00</c:formatCode>
                <c:ptCount val="28"/>
                <c:pt idx="0">
                  <c:v>9.1045686953653302</c:v>
                </c:pt>
                <c:pt idx="1">
                  <c:v>8.9792118586264191</c:v>
                </c:pt>
                <c:pt idx="2">
                  <c:v>7.0794164128169284</c:v>
                </c:pt>
                <c:pt idx="3">
                  <c:v>6.5944082013047529</c:v>
                </c:pt>
                <c:pt idx="4">
                  <c:v>6.2279127383608177</c:v>
                </c:pt>
                <c:pt idx="5">
                  <c:v>5.3617225325188089</c:v>
                </c:pt>
                <c:pt idx="6">
                  <c:v>5.1800779455246193</c:v>
                </c:pt>
                <c:pt idx="7">
                  <c:v>4.5008074131934794</c:v>
                </c:pt>
                <c:pt idx="8">
                  <c:v>4.4493893766246506</c:v>
                </c:pt>
                <c:pt idx="9">
                  <c:v>4.1583615198454593</c:v>
                </c:pt>
                <c:pt idx="10">
                  <c:v>4.1066673692019764</c:v>
                </c:pt>
                <c:pt idx="11">
                  <c:v>3.8070484151619048</c:v>
                </c:pt>
                <c:pt idx="12">
                  <c:v>3.24</c:v>
                </c:pt>
                <c:pt idx="13">
                  <c:v>2.3492988513355795</c:v>
                </c:pt>
                <c:pt idx="14">
                  <c:v>2.0003024785074932</c:v>
                </c:pt>
                <c:pt idx="15">
                  <c:v>1.8241437152391546</c:v>
                </c:pt>
                <c:pt idx="16">
                  <c:v>1.7747055584386771</c:v>
                </c:pt>
                <c:pt idx="17">
                  <c:v>1.6783690785325767</c:v>
                </c:pt>
                <c:pt idx="18">
                  <c:v>1.6378769278842933</c:v>
                </c:pt>
                <c:pt idx="19">
                  <c:v>1.5688871096877504</c:v>
                </c:pt>
                <c:pt idx="20">
                  <c:v>1.4469033904484141</c:v>
                </c:pt>
                <c:pt idx="21">
                  <c:v>1.2476479692631632</c:v>
                </c:pt>
                <c:pt idx="22">
                  <c:v>1.2432022328639032</c:v>
                </c:pt>
                <c:pt idx="23">
                  <c:v>1.2157461803196035</c:v>
                </c:pt>
                <c:pt idx="24">
                  <c:v>1.1175523370297442</c:v>
                </c:pt>
                <c:pt idx="25">
                  <c:v>0.93102371507205295</c:v>
                </c:pt>
                <c:pt idx="26">
                  <c:v>0.84212684494759127</c:v>
                </c:pt>
                <c:pt idx="27">
                  <c:v>0.74493542866033924</c:v>
                </c:pt>
              </c:numCache>
            </c:numRef>
          </c:val>
          <c:extLst>
            <c:ext xmlns:c16="http://schemas.microsoft.com/office/drawing/2014/chart" uri="{C3380CC4-5D6E-409C-BE32-E72D297353CC}">
              <c16:uniqueId val="{00000002-D513-40B7-A0C6-79FD4EBD95BB}"/>
            </c:ext>
          </c:extLst>
        </c:ser>
        <c:dLbls>
          <c:showLegendKey val="0"/>
          <c:showVal val="0"/>
          <c:showCatName val="0"/>
          <c:showSerName val="0"/>
          <c:showPercent val="0"/>
          <c:showBubbleSize val="0"/>
        </c:dLbls>
        <c:gapWidth val="247"/>
        <c:axId val="495497984"/>
        <c:axId val="635414016"/>
      </c:barChart>
      <c:lineChart>
        <c:grouping val="standard"/>
        <c:varyColors val="0"/>
        <c:ser>
          <c:idx val="1"/>
          <c:order val="1"/>
          <c:tx>
            <c:v>HRI1</c:v>
          </c:tx>
          <c:spPr>
            <a:ln w="22225" cap="rnd">
              <a:solidFill>
                <a:schemeClr val="accent2"/>
              </a:solidFill>
              <a:round/>
            </a:ln>
            <a:effectLst/>
          </c:spPr>
          <c:marker>
            <c:symbol val="circle"/>
            <c:size val="6"/>
            <c:spPr>
              <a:solidFill>
                <a:schemeClr val="lt1"/>
              </a:solidFill>
              <a:ln w="15875">
                <a:solidFill>
                  <a:schemeClr val="accent2"/>
                </a:solidFill>
                <a:round/>
              </a:ln>
              <a:effectLst/>
            </c:spPr>
          </c:marker>
          <c:cat>
            <c:strRef>
              <c:f>wykres!$B$11:$B$38</c:f>
              <c:strCache>
                <c:ptCount val="28"/>
                <c:pt idx="0">
                  <c:v>CY</c:v>
                </c:pt>
                <c:pt idx="1">
                  <c:v>NL</c:v>
                </c:pt>
                <c:pt idx="2">
                  <c:v>IE</c:v>
                </c:pt>
                <c:pt idx="3">
                  <c:v>MT</c:v>
                </c:pt>
                <c:pt idx="4">
                  <c:v>BE</c:v>
                </c:pt>
                <c:pt idx="5">
                  <c:v>IT</c:v>
                </c:pt>
                <c:pt idx="6">
                  <c:v>PT</c:v>
                </c:pt>
                <c:pt idx="7">
                  <c:v>ES</c:v>
                </c:pt>
                <c:pt idx="8">
                  <c:v>SI</c:v>
                </c:pt>
                <c:pt idx="9">
                  <c:v>AT</c:v>
                </c:pt>
                <c:pt idx="10">
                  <c:v>DE</c:v>
                </c:pt>
                <c:pt idx="11">
                  <c:v>FR</c:v>
                </c:pt>
                <c:pt idx="12">
                  <c:v>EU</c:v>
                </c:pt>
                <c:pt idx="13">
                  <c:v>PL</c:v>
                </c:pt>
                <c:pt idx="14">
                  <c:v>HU</c:v>
                </c:pt>
                <c:pt idx="15">
                  <c:v>FI</c:v>
                </c:pt>
                <c:pt idx="16">
                  <c:v>CZ</c:v>
                </c:pt>
                <c:pt idx="17">
                  <c:v>GR</c:v>
                </c:pt>
                <c:pt idx="18">
                  <c:v>SK</c:v>
                </c:pt>
                <c:pt idx="19">
                  <c:v>HR</c:v>
                </c:pt>
                <c:pt idx="20">
                  <c:v>LV</c:v>
                </c:pt>
                <c:pt idx="21">
                  <c:v>DK</c:v>
                </c:pt>
                <c:pt idx="22">
                  <c:v>EE</c:v>
                </c:pt>
                <c:pt idx="23">
                  <c:v>BG</c:v>
                </c:pt>
                <c:pt idx="24">
                  <c:v>LT</c:v>
                </c:pt>
                <c:pt idx="25">
                  <c:v>RO</c:v>
                </c:pt>
                <c:pt idx="26">
                  <c:v>SE</c:v>
                </c:pt>
                <c:pt idx="27">
                  <c:v>LU</c:v>
                </c:pt>
              </c:strCache>
            </c:strRef>
          </c:cat>
          <c:val>
            <c:numRef>
              <c:f>wykres!$D$11:$D$38</c:f>
              <c:numCache>
                <c:formatCode>General</c:formatCode>
                <c:ptCount val="28"/>
                <c:pt idx="0">
                  <c:v>71</c:v>
                </c:pt>
                <c:pt idx="1">
                  <c:v>55</c:v>
                </c:pt>
                <c:pt idx="2">
                  <c:v>52</c:v>
                </c:pt>
                <c:pt idx="3">
                  <c:v>69</c:v>
                </c:pt>
                <c:pt idx="4">
                  <c:v>47</c:v>
                </c:pt>
                <c:pt idx="5">
                  <c:v>56</c:v>
                </c:pt>
                <c:pt idx="6">
                  <c:v>60</c:v>
                </c:pt>
                <c:pt idx="7">
                  <c:v>65</c:v>
                </c:pt>
                <c:pt idx="8">
                  <c:v>68</c:v>
                </c:pt>
                <c:pt idx="9">
                  <c:v>124</c:v>
                </c:pt>
                <c:pt idx="10">
                  <c:v>73</c:v>
                </c:pt>
                <c:pt idx="11">
                  <c:v>68</c:v>
                </c:pt>
                <c:pt idx="12">
                  <c:v>62</c:v>
                </c:pt>
                <c:pt idx="13">
                  <c:v>67</c:v>
                </c:pt>
                <c:pt idx="14">
                  <c:v>70</c:v>
                </c:pt>
                <c:pt idx="15">
                  <c:v>115</c:v>
                </c:pt>
                <c:pt idx="16">
                  <c:v>37</c:v>
                </c:pt>
                <c:pt idx="17">
                  <c:v>43</c:v>
                </c:pt>
                <c:pt idx="18">
                  <c:v>58</c:v>
                </c:pt>
                <c:pt idx="19">
                  <c:v>43</c:v>
                </c:pt>
                <c:pt idx="20">
                  <c:v>123</c:v>
                </c:pt>
                <c:pt idx="21">
                  <c:v>56</c:v>
                </c:pt>
                <c:pt idx="22">
                  <c:v>140</c:v>
                </c:pt>
                <c:pt idx="23">
                  <c:v>67</c:v>
                </c:pt>
                <c:pt idx="24">
                  <c:v>91</c:v>
                </c:pt>
                <c:pt idx="25">
                  <c:v>32</c:v>
                </c:pt>
                <c:pt idx="26">
                  <c:v>61</c:v>
                </c:pt>
                <c:pt idx="27">
                  <c:v>36</c:v>
                </c:pt>
              </c:numCache>
            </c:numRef>
          </c:val>
          <c:smooth val="0"/>
          <c:extLst>
            <c:ext xmlns:c16="http://schemas.microsoft.com/office/drawing/2014/chart" uri="{C3380CC4-5D6E-409C-BE32-E72D297353CC}">
              <c16:uniqueId val="{00000003-D513-40B7-A0C6-79FD4EBD95BB}"/>
            </c:ext>
          </c:extLst>
        </c:ser>
        <c:dLbls>
          <c:showLegendKey val="0"/>
          <c:showVal val="0"/>
          <c:showCatName val="0"/>
          <c:showSerName val="0"/>
          <c:showPercent val="0"/>
          <c:showBubbleSize val="0"/>
        </c:dLbls>
        <c:marker val="1"/>
        <c:smooth val="0"/>
        <c:axId val="502833176"/>
        <c:axId val="502838424"/>
      </c:lineChart>
      <c:valAx>
        <c:axId val="502838424"/>
        <c:scaling>
          <c:orientation val="minMax"/>
          <c:max val="150"/>
        </c:scaling>
        <c:delete val="0"/>
        <c:axPos val="r"/>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dk1">
                        <a:lumMod val="65000"/>
                        <a:lumOff val="35000"/>
                      </a:schemeClr>
                    </a:solidFill>
                    <a:latin typeface="+mn-lt"/>
                    <a:ea typeface="+mn-ea"/>
                    <a:cs typeface="+mn-cs"/>
                  </a:defRPr>
                </a:pPr>
                <a:r>
                  <a:rPr lang="pl-PL" sz="800"/>
                  <a:t>Wskaźnik HRI1</a:t>
                </a:r>
              </a:p>
            </c:rich>
          </c:tx>
          <c:layout>
            <c:manualLayout>
              <c:xMode val="edge"/>
              <c:yMode val="edge"/>
              <c:x val="0.97238430722475488"/>
              <c:y val="0.3310646920430283"/>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502833176"/>
        <c:crosses val="max"/>
        <c:crossBetween val="between"/>
        <c:majorUnit val="25"/>
      </c:valAx>
      <c:catAx>
        <c:axId val="50283317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l-PL"/>
                  <a:t>Kraje UE</a:t>
                </a:r>
              </a:p>
            </c:rich>
          </c:tx>
          <c:layout>
            <c:manualLayout>
              <c:xMode val="edge"/>
              <c:yMode val="edge"/>
              <c:x val="0.49741300280048728"/>
              <c:y val="0.9479746508370390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502838424"/>
        <c:crosses val="autoZero"/>
        <c:auto val="1"/>
        <c:lblAlgn val="ctr"/>
        <c:lblOffset val="100"/>
        <c:noMultiLvlLbl val="0"/>
      </c:catAx>
      <c:valAx>
        <c:axId val="635414016"/>
        <c:scaling>
          <c:orientation val="minMax"/>
          <c:max val="9.6"/>
        </c:scaling>
        <c:delete val="0"/>
        <c:axPos val="l"/>
        <c:title>
          <c:tx>
            <c:rich>
              <a:bodyPr rot="-5400000" spcFirstLastPara="1" vertOverflow="ellipsis" vert="horz" wrap="square" anchor="ctr" anchorCtr="1"/>
              <a:lstStyle/>
              <a:p>
                <a:pPr>
                  <a:defRPr sz="800" b="1" i="0" u="none" strike="noStrike" kern="1200" baseline="0">
                    <a:solidFill>
                      <a:schemeClr val="dk1">
                        <a:lumMod val="65000"/>
                        <a:lumOff val="35000"/>
                      </a:schemeClr>
                    </a:solidFill>
                    <a:latin typeface="+mn-lt"/>
                    <a:ea typeface="+mn-ea"/>
                    <a:cs typeface="+mn-cs"/>
                  </a:defRPr>
                </a:pPr>
                <a:r>
                  <a:rPr lang="pl-PL" sz="800"/>
                  <a:t>Wskaźnik sprzedaży s.cz/(UAA-łąki) [kg/ha]</a:t>
                </a:r>
              </a:p>
            </c:rich>
          </c:tx>
          <c:layout>
            <c:manualLayout>
              <c:xMode val="edge"/>
              <c:yMode val="edge"/>
              <c:x val="4.784688995215311E-2"/>
              <c:y val="8.2360028830593068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dk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495497984"/>
        <c:crosses val="autoZero"/>
        <c:crossBetween val="between"/>
        <c:majorUnit val="1.6"/>
      </c:valAx>
      <c:catAx>
        <c:axId val="495497984"/>
        <c:scaling>
          <c:orientation val="minMax"/>
        </c:scaling>
        <c:delete val="1"/>
        <c:axPos val="b"/>
        <c:numFmt formatCode="General" sourceLinked="1"/>
        <c:majorTickMark val="out"/>
        <c:minorTickMark val="none"/>
        <c:tickLblPos val="nextTo"/>
        <c:crossAx val="635414016"/>
        <c:crosses val="autoZero"/>
        <c:auto val="1"/>
        <c:lblAlgn val="ctr"/>
        <c:lblOffset val="100"/>
        <c:noMultiLvlLbl val="0"/>
      </c:cat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pl-PL"/>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Wskaźnika HRI-1</a:t>
            </a:r>
            <a:r>
              <a:rPr lang="pl-PL" baseline="0"/>
              <a:t> - lata 2011-2022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cked"/>
        <c:varyColors val="0"/>
        <c:ser>
          <c:idx val="0"/>
          <c:order val="0"/>
          <c:tx>
            <c:strRef>
              <c:f>Arkusz1!$E$10</c:f>
              <c:strCache>
                <c:ptCount val="1"/>
                <c:pt idx="0">
                  <c:v>HRI-1</c:v>
                </c:pt>
              </c:strCache>
            </c:strRef>
          </c:tx>
          <c:spPr>
            <a:ln w="28575" cap="rnd">
              <a:solidFill>
                <a:srgbClr val="C00000"/>
              </a:solidFill>
              <a:round/>
            </a:ln>
            <a:effectLst/>
          </c:spPr>
          <c:marker>
            <c:symbol val="none"/>
          </c:marker>
          <c:cat>
            <c:numRef>
              <c:f>Arkusz1!$D$11:$D$22</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Arkusz1!$E$11:$E$22</c:f>
              <c:numCache>
                <c:formatCode>General</c:formatCode>
                <c:ptCount val="12"/>
                <c:pt idx="0">
                  <c:v>107</c:v>
                </c:pt>
                <c:pt idx="1">
                  <c:v>97</c:v>
                </c:pt>
                <c:pt idx="2">
                  <c:v>96</c:v>
                </c:pt>
                <c:pt idx="3">
                  <c:v>103</c:v>
                </c:pt>
                <c:pt idx="4">
                  <c:v>108</c:v>
                </c:pt>
                <c:pt idx="5">
                  <c:v>105</c:v>
                </c:pt>
                <c:pt idx="6">
                  <c:v>101</c:v>
                </c:pt>
                <c:pt idx="7">
                  <c:v>93</c:v>
                </c:pt>
                <c:pt idx="8">
                  <c:v>106</c:v>
                </c:pt>
                <c:pt idx="9">
                  <c:v>70</c:v>
                </c:pt>
                <c:pt idx="10">
                  <c:v>67</c:v>
                </c:pt>
                <c:pt idx="11">
                  <c:v>52</c:v>
                </c:pt>
              </c:numCache>
            </c:numRef>
          </c:val>
          <c:smooth val="0"/>
          <c:extLst>
            <c:ext xmlns:c16="http://schemas.microsoft.com/office/drawing/2014/chart" uri="{C3380CC4-5D6E-409C-BE32-E72D297353CC}">
              <c16:uniqueId val="{00000000-119F-458F-B873-29764AAC1D2C}"/>
            </c:ext>
          </c:extLst>
        </c:ser>
        <c:dLbls>
          <c:showLegendKey val="0"/>
          <c:showVal val="0"/>
          <c:showCatName val="0"/>
          <c:showSerName val="0"/>
          <c:showPercent val="0"/>
          <c:showBubbleSize val="0"/>
        </c:dLbls>
        <c:smooth val="0"/>
        <c:axId val="457511040"/>
        <c:axId val="457508744"/>
      </c:lineChart>
      <c:catAx>
        <c:axId val="45751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7508744"/>
        <c:crosses val="autoZero"/>
        <c:auto val="1"/>
        <c:lblAlgn val="ctr"/>
        <c:lblOffset val="100"/>
        <c:noMultiLvlLbl val="0"/>
      </c:catAx>
      <c:valAx>
        <c:axId val="457508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7511040"/>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wykres!$B$4</c:f>
              <c:strCache>
                <c:ptCount val="1"/>
                <c:pt idx="0">
                  <c:v>HRI1 klasyfikacja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0FE6-45EF-8140-16A2A4DF8ED8}"/>
                </c:ext>
              </c:extLst>
            </c:dLbl>
            <c:dLbl>
              <c:idx val="1"/>
              <c:delete val="1"/>
              <c:extLst>
                <c:ext xmlns:c15="http://schemas.microsoft.com/office/drawing/2012/chart" uri="{CE6537A1-D6FC-4f65-9D91-7224C49458BB}"/>
                <c:ext xmlns:c16="http://schemas.microsoft.com/office/drawing/2014/chart" uri="{C3380CC4-5D6E-409C-BE32-E72D297353CC}">
                  <c16:uniqueId val="{00000001-0FE6-45EF-8140-16A2A4DF8ED8}"/>
                </c:ext>
              </c:extLst>
            </c:dLbl>
            <c:dLbl>
              <c:idx val="2"/>
              <c:delete val="1"/>
              <c:extLst>
                <c:ext xmlns:c15="http://schemas.microsoft.com/office/drawing/2012/chart" uri="{CE6537A1-D6FC-4f65-9D91-7224C49458BB}"/>
                <c:ext xmlns:c16="http://schemas.microsoft.com/office/drawing/2014/chart" uri="{C3380CC4-5D6E-409C-BE32-E72D297353CC}">
                  <c16:uniqueId val="{00000002-0FE6-45EF-8140-16A2A4DF8ED8}"/>
                </c:ext>
              </c:extLst>
            </c:dLbl>
            <c:dLbl>
              <c:idx val="3"/>
              <c:delete val="1"/>
              <c:extLst>
                <c:ext xmlns:c15="http://schemas.microsoft.com/office/drawing/2012/chart" uri="{CE6537A1-D6FC-4f65-9D91-7224C49458BB}"/>
                <c:ext xmlns:c16="http://schemas.microsoft.com/office/drawing/2014/chart" uri="{C3380CC4-5D6E-409C-BE32-E72D297353CC}">
                  <c16:uniqueId val="{00000003-0FE6-45EF-8140-16A2A4DF8ED8}"/>
                </c:ext>
              </c:extLst>
            </c:dLbl>
            <c:dLbl>
              <c:idx val="4"/>
              <c:delete val="1"/>
              <c:extLst>
                <c:ext xmlns:c15="http://schemas.microsoft.com/office/drawing/2012/chart" uri="{CE6537A1-D6FC-4f65-9D91-7224C49458BB}"/>
                <c:ext xmlns:c16="http://schemas.microsoft.com/office/drawing/2014/chart" uri="{C3380CC4-5D6E-409C-BE32-E72D297353CC}">
                  <c16:uniqueId val="{00000004-0FE6-45EF-8140-16A2A4DF8ED8}"/>
                </c:ext>
              </c:extLst>
            </c:dLbl>
            <c:dLbl>
              <c:idx val="5"/>
              <c:delete val="1"/>
              <c:extLst>
                <c:ext xmlns:c15="http://schemas.microsoft.com/office/drawing/2012/chart" uri="{CE6537A1-D6FC-4f65-9D91-7224C49458BB}"/>
                <c:ext xmlns:c16="http://schemas.microsoft.com/office/drawing/2014/chart" uri="{C3380CC4-5D6E-409C-BE32-E72D297353CC}">
                  <c16:uniqueId val="{00000005-0FE6-45EF-8140-16A2A4DF8ED8}"/>
                </c:ext>
              </c:extLst>
            </c:dLbl>
            <c:dLbl>
              <c:idx val="6"/>
              <c:delete val="1"/>
              <c:extLst>
                <c:ext xmlns:c15="http://schemas.microsoft.com/office/drawing/2012/chart" uri="{CE6537A1-D6FC-4f65-9D91-7224C49458BB}"/>
                <c:ext xmlns:c16="http://schemas.microsoft.com/office/drawing/2014/chart" uri="{C3380CC4-5D6E-409C-BE32-E72D297353CC}">
                  <c16:uniqueId val="{00000006-0FE6-45EF-8140-16A2A4DF8ED8}"/>
                </c:ext>
              </c:extLst>
            </c:dLbl>
            <c:dLbl>
              <c:idx val="7"/>
              <c:delete val="1"/>
              <c:extLst>
                <c:ext xmlns:c15="http://schemas.microsoft.com/office/drawing/2012/chart" uri="{CE6537A1-D6FC-4f65-9D91-7224C49458BB}"/>
                <c:ext xmlns:c16="http://schemas.microsoft.com/office/drawing/2014/chart" uri="{C3380CC4-5D6E-409C-BE32-E72D297353CC}">
                  <c16:uniqueId val="{00000007-0FE6-45EF-8140-16A2A4DF8ED8}"/>
                </c:ext>
              </c:extLst>
            </c:dLbl>
            <c:dLbl>
              <c:idx val="8"/>
              <c:delete val="1"/>
              <c:extLst>
                <c:ext xmlns:c15="http://schemas.microsoft.com/office/drawing/2012/chart" uri="{CE6537A1-D6FC-4f65-9D91-7224C49458BB}"/>
                <c:ext xmlns:c16="http://schemas.microsoft.com/office/drawing/2014/chart" uri="{C3380CC4-5D6E-409C-BE32-E72D297353CC}">
                  <c16:uniqueId val="{00000008-0FE6-45EF-8140-16A2A4DF8ED8}"/>
                </c:ext>
              </c:extLst>
            </c:dLbl>
            <c:dLbl>
              <c:idx val="9"/>
              <c:layout>
                <c:manualLayout>
                  <c:x val="0"/>
                  <c:y val="2.93398533007334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FE6-45EF-8140-16A2A4DF8ED8}"/>
                </c:ext>
              </c:extLst>
            </c:dLbl>
            <c:dLbl>
              <c:idx val="10"/>
              <c:layout>
                <c:manualLayout>
                  <c:x val="1.7777777777777779E-3"/>
                  <c:y val="-2.9339853300733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FE6-45EF-8140-16A2A4DF8ED8}"/>
                </c:ext>
              </c:extLst>
            </c:dLbl>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wykres!$C$2:$N$2</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wykres!$C$4:$N$4</c:f>
              <c:numCache>
                <c:formatCode>General</c:formatCode>
                <c:ptCount val="12"/>
                <c:pt idx="0">
                  <c:v>108</c:v>
                </c:pt>
                <c:pt idx="1">
                  <c:v>97</c:v>
                </c:pt>
                <c:pt idx="2">
                  <c:v>95</c:v>
                </c:pt>
                <c:pt idx="3">
                  <c:v>102</c:v>
                </c:pt>
                <c:pt idx="4">
                  <c:v>107</c:v>
                </c:pt>
                <c:pt idx="5">
                  <c:v>105</c:v>
                </c:pt>
                <c:pt idx="6">
                  <c:v>100</c:v>
                </c:pt>
                <c:pt idx="7">
                  <c:v>91</c:v>
                </c:pt>
                <c:pt idx="8">
                  <c:v>106</c:v>
                </c:pt>
                <c:pt idx="9">
                  <c:v>64</c:v>
                </c:pt>
                <c:pt idx="10">
                  <c:v>67</c:v>
                </c:pt>
              </c:numCache>
            </c:numRef>
          </c:val>
          <c:smooth val="0"/>
          <c:extLst>
            <c:ext xmlns:c16="http://schemas.microsoft.com/office/drawing/2014/chart" uri="{C3380CC4-5D6E-409C-BE32-E72D297353CC}">
              <c16:uniqueId val="{0000000B-0FE6-45EF-8140-16A2A4DF8ED8}"/>
            </c:ext>
          </c:extLst>
        </c:ser>
        <c:ser>
          <c:idx val="1"/>
          <c:order val="1"/>
          <c:tx>
            <c:strRef>
              <c:f>wykres!$B$5</c:f>
              <c:strCache>
                <c:ptCount val="1"/>
                <c:pt idx="0">
                  <c:v>HRI1 klasyfikacja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C-0FE6-45EF-8140-16A2A4DF8ED8}"/>
                </c:ext>
              </c:extLst>
            </c:dLbl>
            <c:dLbl>
              <c:idx val="1"/>
              <c:delete val="1"/>
              <c:extLst>
                <c:ext xmlns:c15="http://schemas.microsoft.com/office/drawing/2012/chart" uri="{CE6537A1-D6FC-4f65-9D91-7224C49458BB}"/>
                <c:ext xmlns:c16="http://schemas.microsoft.com/office/drawing/2014/chart" uri="{C3380CC4-5D6E-409C-BE32-E72D297353CC}">
                  <c16:uniqueId val="{0000000D-0FE6-45EF-8140-16A2A4DF8ED8}"/>
                </c:ext>
              </c:extLst>
            </c:dLbl>
            <c:dLbl>
              <c:idx val="2"/>
              <c:delete val="1"/>
              <c:extLst>
                <c:ext xmlns:c15="http://schemas.microsoft.com/office/drawing/2012/chart" uri="{CE6537A1-D6FC-4f65-9D91-7224C49458BB}"/>
                <c:ext xmlns:c16="http://schemas.microsoft.com/office/drawing/2014/chart" uri="{C3380CC4-5D6E-409C-BE32-E72D297353CC}">
                  <c16:uniqueId val="{0000000E-0FE6-45EF-8140-16A2A4DF8ED8}"/>
                </c:ext>
              </c:extLst>
            </c:dLbl>
            <c:dLbl>
              <c:idx val="3"/>
              <c:delete val="1"/>
              <c:extLst>
                <c:ext xmlns:c15="http://schemas.microsoft.com/office/drawing/2012/chart" uri="{CE6537A1-D6FC-4f65-9D91-7224C49458BB}"/>
                <c:ext xmlns:c16="http://schemas.microsoft.com/office/drawing/2014/chart" uri="{C3380CC4-5D6E-409C-BE32-E72D297353CC}">
                  <c16:uniqueId val="{0000000F-0FE6-45EF-8140-16A2A4DF8ED8}"/>
                </c:ext>
              </c:extLst>
            </c:dLbl>
            <c:dLbl>
              <c:idx val="4"/>
              <c:delete val="1"/>
              <c:extLst>
                <c:ext xmlns:c15="http://schemas.microsoft.com/office/drawing/2012/chart" uri="{CE6537A1-D6FC-4f65-9D91-7224C49458BB}"/>
                <c:ext xmlns:c16="http://schemas.microsoft.com/office/drawing/2014/chart" uri="{C3380CC4-5D6E-409C-BE32-E72D297353CC}">
                  <c16:uniqueId val="{00000010-0FE6-45EF-8140-16A2A4DF8ED8}"/>
                </c:ext>
              </c:extLst>
            </c:dLbl>
            <c:dLbl>
              <c:idx val="5"/>
              <c:delete val="1"/>
              <c:extLst>
                <c:ext xmlns:c15="http://schemas.microsoft.com/office/drawing/2012/chart" uri="{CE6537A1-D6FC-4f65-9D91-7224C49458BB}"/>
                <c:ext xmlns:c16="http://schemas.microsoft.com/office/drawing/2014/chart" uri="{C3380CC4-5D6E-409C-BE32-E72D297353CC}">
                  <c16:uniqueId val="{00000011-0FE6-45EF-8140-16A2A4DF8ED8}"/>
                </c:ext>
              </c:extLst>
            </c:dLbl>
            <c:dLbl>
              <c:idx val="6"/>
              <c:delete val="1"/>
              <c:extLst>
                <c:ext xmlns:c15="http://schemas.microsoft.com/office/drawing/2012/chart" uri="{CE6537A1-D6FC-4f65-9D91-7224C49458BB}"/>
                <c:ext xmlns:c16="http://schemas.microsoft.com/office/drawing/2014/chart" uri="{C3380CC4-5D6E-409C-BE32-E72D297353CC}">
                  <c16:uniqueId val="{00000012-0FE6-45EF-8140-16A2A4DF8ED8}"/>
                </c:ext>
              </c:extLst>
            </c:dLbl>
            <c:dLbl>
              <c:idx val="7"/>
              <c:delete val="1"/>
              <c:extLst>
                <c:ext xmlns:c15="http://schemas.microsoft.com/office/drawing/2012/chart" uri="{CE6537A1-D6FC-4f65-9D91-7224C49458BB}"/>
                <c:ext xmlns:c16="http://schemas.microsoft.com/office/drawing/2014/chart" uri="{C3380CC4-5D6E-409C-BE32-E72D297353CC}">
                  <c16:uniqueId val="{00000013-0FE6-45EF-8140-16A2A4DF8ED8}"/>
                </c:ext>
              </c:extLst>
            </c:dLbl>
            <c:dLbl>
              <c:idx val="8"/>
              <c:delete val="1"/>
              <c:extLst>
                <c:ext xmlns:c15="http://schemas.microsoft.com/office/drawing/2012/chart" uri="{CE6537A1-D6FC-4f65-9D91-7224C49458BB}"/>
                <c:ext xmlns:c16="http://schemas.microsoft.com/office/drawing/2014/chart" uri="{C3380CC4-5D6E-409C-BE32-E72D297353CC}">
                  <c16:uniqueId val="{00000014-0FE6-45EF-8140-16A2A4DF8ED8}"/>
                </c:ext>
              </c:extLst>
            </c:dLbl>
            <c:dLbl>
              <c:idx val="9"/>
              <c:layout>
                <c:manualLayout>
                  <c:x val="0"/>
                  <c:y val="-2.9339853300733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FE6-45EF-8140-16A2A4DF8ED8}"/>
                </c:ext>
              </c:extLst>
            </c:dLbl>
            <c:dLbl>
              <c:idx val="10"/>
              <c:layout>
                <c:manualLayout>
                  <c:x val="0"/>
                  <c:y val="3.9119804400977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FE6-45EF-8140-16A2A4DF8ED8}"/>
                </c:ext>
              </c:extLst>
            </c:dLbl>
            <c:spPr>
              <a:solidFill>
                <a:schemeClr val="accent2">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wykres!$C$2:$N$2</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wykres!$C$5:$N$5</c:f>
              <c:numCache>
                <c:formatCode>General</c:formatCode>
                <c:ptCount val="12"/>
                <c:pt idx="0">
                  <c:v>107</c:v>
                </c:pt>
                <c:pt idx="1">
                  <c:v>97</c:v>
                </c:pt>
                <c:pt idx="2">
                  <c:v>96</c:v>
                </c:pt>
                <c:pt idx="3">
                  <c:v>103</c:v>
                </c:pt>
                <c:pt idx="4">
                  <c:v>108</c:v>
                </c:pt>
                <c:pt idx="5">
                  <c:v>105</c:v>
                </c:pt>
                <c:pt idx="6">
                  <c:v>101</c:v>
                </c:pt>
                <c:pt idx="7">
                  <c:v>93</c:v>
                </c:pt>
                <c:pt idx="8">
                  <c:v>106</c:v>
                </c:pt>
                <c:pt idx="9">
                  <c:v>70</c:v>
                </c:pt>
                <c:pt idx="10">
                  <c:v>63</c:v>
                </c:pt>
                <c:pt idx="11">
                  <c:v>52</c:v>
                </c:pt>
              </c:numCache>
            </c:numRef>
          </c:val>
          <c:smooth val="0"/>
          <c:extLst>
            <c:ext xmlns:c16="http://schemas.microsoft.com/office/drawing/2014/chart" uri="{C3380CC4-5D6E-409C-BE32-E72D297353CC}">
              <c16:uniqueId val="{00000017-0FE6-45EF-8140-16A2A4DF8ED8}"/>
            </c:ext>
          </c:extLst>
        </c:ser>
        <c:dLbls>
          <c:showLegendKey val="0"/>
          <c:showVal val="0"/>
          <c:showCatName val="0"/>
          <c:showSerName val="0"/>
          <c:showPercent val="0"/>
          <c:showBubbleSize val="0"/>
        </c:dLbls>
        <c:marker val="1"/>
        <c:smooth val="0"/>
        <c:axId val="470528912"/>
        <c:axId val="470525304"/>
      </c:lineChart>
      <c:catAx>
        <c:axId val="4705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25304"/>
        <c:crosses val="autoZero"/>
        <c:auto val="1"/>
        <c:lblAlgn val="ctr"/>
        <c:lblOffset val="100"/>
        <c:noMultiLvlLbl val="0"/>
      </c:catAx>
      <c:valAx>
        <c:axId val="470525304"/>
        <c:scaling>
          <c:orientation val="minMax"/>
          <c:max val="1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52891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92038495188102E-2"/>
          <c:y val="0.11615740740740743"/>
          <c:w val="0.90286351706036749"/>
          <c:h val="0.7027891421063589"/>
        </c:manualLayout>
      </c:layout>
      <c:lineChart>
        <c:grouping val="standard"/>
        <c:varyColors val="0"/>
        <c:ser>
          <c:idx val="0"/>
          <c:order val="0"/>
          <c:tx>
            <c:strRef>
              <c:f>grupy_sprzedaż!$B$2</c:f>
              <c:strCache>
                <c:ptCount val="1"/>
                <c:pt idx="0">
                  <c:v>Fungicydy</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val>
            <c:numRef>
              <c:f>grupy_sprzedaż!$C$2:$N$2</c:f>
              <c:numCache>
                <c:formatCode>General</c:formatCode>
                <c:ptCount val="12"/>
                <c:pt idx="0">
                  <c:v>6093938.9000000004</c:v>
                </c:pt>
                <c:pt idx="1">
                  <c:v>6137732.0199999996</c:v>
                </c:pt>
                <c:pt idx="2">
                  <c:v>6483356.7199999997</c:v>
                </c:pt>
                <c:pt idx="3">
                  <c:v>7454468.8200000003</c:v>
                </c:pt>
                <c:pt idx="4">
                  <c:v>7752250.4500000002</c:v>
                </c:pt>
                <c:pt idx="5">
                  <c:v>7547035.5300000003</c:v>
                </c:pt>
                <c:pt idx="6">
                  <c:v>6941355.1100000003</c:v>
                </c:pt>
                <c:pt idx="7">
                  <c:v>8017162.6500000004</c:v>
                </c:pt>
                <c:pt idx="8">
                  <c:v>6869256.4299999997</c:v>
                </c:pt>
                <c:pt idx="9">
                  <c:v>9279782.3599999994</c:v>
                </c:pt>
                <c:pt idx="10" formatCode="_(* #,##0.00_);_(* \(#,##0.00\);_(* &quot;-&quot;??_);_(@_)">
                  <c:v>10055403.460000001</c:v>
                </c:pt>
                <c:pt idx="11" formatCode="_(* #,##0.00_);_(* \(#,##0.00\);_(* &quot;-&quot;??_);_(@_)">
                  <c:v>7085269.5099999998</c:v>
                </c:pt>
              </c:numCache>
            </c:numRef>
          </c:val>
          <c:smooth val="0"/>
          <c:extLst>
            <c:ext xmlns:c16="http://schemas.microsoft.com/office/drawing/2014/chart" uri="{C3380CC4-5D6E-409C-BE32-E72D297353CC}">
              <c16:uniqueId val="{00000000-2230-489F-A70E-DD7A19978786}"/>
            </c:ext>
          </c:extLst>
        </c:ser>
        <c:ser>
          <c:idx val="1"/>
          <c:order val="1"/>
          <c:tx>
            <c:strRef>
              <c:f>grupy_sprzedaż!$B$3</c:f>
              <c:strCache>
                <c:ptCount val="1"/>
                <c:pt idx="0">
                  <c:v>Herbicydy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grupy_sprzedaż!$C$3:$N$3</c:f>
              <c:numCache>
                <c:formatCode>General</c:formatCode>
                <c:ptCount val="12"/>
                <c:pt idx="0">
                  <c:v>12463242.300000001</c:v>
                </c:pt>
                <c:pt idx="1">
                  <c:v>12661789.029999999</c:v>
                </c:pt>
                <c:pt idx="2">
                  <c:v>12524460.029999999</c:v>
                </c:pt>
                <c:pt idx="3">
                  <c:v>12080637.25</c:v>
                </c:pt>
                <c:pt idx="4">
                  <c:v>12200100.710000001</c:v>
                </c:pt>
                <c:pt idx="5">
                  <c:v>12706536.220000001</c:v>
                </c:pt>
                <c:pt idx="6">
                  <c:v>13664113.93</c:v>
                </c:pt>
                <c:pt idx="7">
                  <c:v>11383209.75</c:v>
                </c:pt>
                <c:pt idx="8">
                  <c:v>11705375.42</c:v>
                </c:pt>
                <c:pt idx="9">
                  <c:v>12809348.09</c:v>
                </c:pt>
                <c:pt idx="10" formatCode="_(* #,##0.00_);_(* \(#,##0.00\);_(* &quot;-&quot;??_);_(@_)">
                  <c:v>14348791.65</c:v>
                </c:pt>
                <c:pt idx="11" formatCode="_(* #,##0.00_);_(* \(#,##0.00\);_(* &quot;-&quot;??_);_(@_)">
                  <c:v>12238578.48</c:v>
                </c:pt>
              </c:numCache>
            </c:numRef>
          </c:val>
          <c:smooth val="0"/>
          <c:extLst>
            <c:ext xmlns:c16="http://schemas.microsoft.com/office/drawing/2014/chart" uri="{C3380CC4-5D6E-409C-BE32-E72D297353CC}">
              <c16:uniqueId val="{00000001-2230-489F-A70E-DD7A19978786}"/>
            </c:ext>
          </c:extLst>
        </c:ser>
        <c:ser>
          <c:idx val="2"/>
          <c:order val="2"/>
          <c:tx>
            <c:strRef>
              <c:f>grupy_sprzedaż!$B$4</c:f>
              <c:strCache>
                <c:ptCount val="1"/>
                <c:pt idx="0">
                  <c:v>Insektycydy</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val>
            <c:numRef>
              <c:f>grupy_sprzedaż!$C$4:$N$4</c:f>
              <c:numCache>
                <c:formatCode>General</c:formatCode>
                <c:ptCount val="12"/>
                <c:pt idx="0">
                  <c:v>1026164.1</c:v>
                </c:pt>
                <c:pt idx="1">
                  <c:v>1332631.8</c:v>
                </c:pt>
                <c:pt idx="2">
                  <c:v>1318005.04</c:v>
                </c:pt>
                <c:pt idx="3">
                  <c:v>1484691.31</c:v>
                </c:pt>
                <c:pt idx="4">
                  <c:v>1537871.38</c:v>
                </c:pt>
                <c:pt idx="5">
                  <c:v>1484606.77</c:v>
                </c:pt>
                <c:pt idx="6">
                  <c:v>1817987.65</c:v>
                </c:pt>
                <c:pt idx="7">
                  <c:v>1764595</c:v>
                </c:pt>
                <c:pt idx="8">
                  <c:v>2749824.97</c:v>
                </c:pt>
                <c:pt idx="9">
                  <c:v>628813.39</c:v>
                </c:pt>
                <c:pt idx="10" formatCode="_(* #,##0.00_);_(* \(#,##0.00\);_(* &quot;-&quot;??_);_(@_)">
                  <c:v>666989.32999999996</c:v>
                </c:pt>
                <c:pt idx="11" formatCode="_(* #,##0.00_);_(* \(#,##0.00\);_(* &quot;-&quot;??_);_(@_)">
                  <c:v>637309.24</c:v>
                </c:pt>
              </c:numCache>
            </c:numRef>
          </c:val>
          <c:smooth val="0"/>
          <c:extLst>
            <c:ext xmlns:c16="http://schemas.microsoft.com/office/drawing/2014/chart" uri="{C3380CC4-5D6E-409C-BE32-E72D297353CC}">
              <c16:uniqueId val="{00000002-2230-489F-A70E-DD7A19978786}"/>
            </c:ext>
          </c:extLst>
        </c:ser>
        <c:ser>
          <c:idx val="3"/>
          <c:order val="3"/>
          <c:tx>
            <c:strRef>
              <c:f>grupy_sprzedaż!$B$5</c:f>
              <c:strCache>
                <c:ptCount val="1"/>
                <c:pt idx="0">
                  <c:v>Moluskocydy</c:v>
                </c:pt>
              </c:strCache>
            </c:strRef>
          </c:tx>
          <c:spPr>
            <a:ln w="28575" cap="rnd">
              <a:solidFill>
                <a:schemeClr val="accent4"/>
              </a:solidFill>
              <a:round/>
            </a:ln>
            <a:effectLst/>
          </c:spPr>
          <c:marker>
            <c:symbol val="dash"/>
            <c:size val="5"/>
            <c:spPr>
              <a:solidFill>
                <a:schemeClr val="accent4"/>
              </a:solidFill>
              <a:ln w="9525">
                <a:solidFill>
                  <a:schemeClr val="accent4"/>
                </a:solidFill>
              </a:ln>
              <a:effectLst/>
            </c:spPr>
          </c:marker>
          <c:val>
            <c:numRef>
              <c:f>grupy_sprzedaż!$C$5:$N$5</c:f>
              <c:numCache>
                <c:formatCode>General</c:formatCode>
                <c:ptCount val="12"/>
                <c:pt idx="0">
                  <c:v>12226.5</c:v>
                </c:pt>
                <c:pt idx="1">
                  <c:v>6731.21</c:v>
                </c:pt>
                <c:pt idx="2">
                  <c:v>7737.94</c:v>
                </c:pt>
                <c:pt idx="3">
                  <c:v>35279.94</c:v>
                </c:pt>
                <c:pt idx="4">
                  <c:v>9798.8700000000008</c:v>
                </c:pt>
                <c:pt idx="5">
                  <c:v>7535.05</c:v>
                </c:pt>
                <c:pt idx="6">
                  <c:v>7184.3</c:v>
                </c:pt>
                <c:pt idx="7">
                  <c:v>16173.26</c:v>
                </c:pt>
                <c:pt idx="8">
                  <c:v>23612.22</c:v>
                </c:pt>
                <c:pt idx="9">
                  <c:v>29225.75</c:v>
                </c:pt>
                <c:pt idx="10" formatCode="_(* #,##0.00_);_(* \(#,##0.00\);_(* &quot;-&quot;??_);_(@_)">
                  <c:v>27923.19</c:v>
                </c:pt>
                <c:pt idx="11" formatCode="_(* #,##0.00_);_(* \(#,##0.00\);_(* &quot;-&quot;??_);_(@_)">
                  <c:v>49861.26</c:v>
                </c:pt>
              </c:numCache>
            </c:numRef>
          </c:val>
          <c:smooth val="0"/>
          <c:extLst>
            <c:ext xmlns:c16="http://schemas.microsoft.com/office/drawing/2014/chart" uri="{C3380CC4-5D6E-409C-BE32-E72D297353CC}">
              <c16:uniqueId val="{00000003-2230-489F-A70E-DD7A19978786}"/>
            </c:ext>
          </c:extLst>
        </c:ser>
        <c:ser>
          <c:idx val="4"/>
          <c:order val="4"/>
          <c:tx>
            <c:strRef>
              <c:f>grupy_sprzedaż!$B$6</c:f>
              <c:strCache>
                <c:ptCount val="1"/>
                <c:pt idx="0">
                  <c:v>Regulatory wzrostu roślin</c:v>
                </c:pt>
              </c:strCache>
            </c:strRef>
          </c:tx>
          <c:spPr>
            <a:ln w="28575" cap="rnd">
              <a:solidFill>
                <a:schemeClr val="accent5"/>
              </a:solidFill>
              <a:round/>
            </a:ln>
            <a:effectLst/>
          </c:spPr>
          <c:marker>
            <c:symbol val="triangle"/>
            <c:size val="5"/>
            <c:spPr>
              <a:solidFill>
                <a:schemeClr val="accent5"/>
              </a:solidFill>
              <a:ln w="9525">
                <a:solidFill>
                  <a:schemeClr val="accent5"/>
                </a:solidFill>
              </a:ln>
              <a:effectLst/>
            </c:spPr>
          </c:marker>
          <c:val>
            <c:numRef>
              <c:f>grupy_sprzedaż!$C$6:$N$6</c:f>
              <c:numCache>
                <c:formatCode>General</c:formatCode>
                <c:ptCount val="12"/>
                <c:pt idx="0">
                  <c:v>1589132.5</c:v>
                </c:pt>
                <c:pt idx="1">
                  <c:v>1358484.16</c:v>
                </c:pt>
                <c:pt idx="2">
                  <c:v>1494733.3</c:v>
                </c:pt>
                <c:pt idx="3">
                  <c:v>2120748.12</c:v>
                </c:pt>
                <c:pt idx="4">
                  <c:v>2147878.41</c:v>
                </c:pt>
                <c:pt idx="5">
                  <c:v>2167138.5699999998</c:v>
                </c:pt>
                <c:pt idx="6">
                  <c:v>2141817.44</c:v>
                </c:pt>
                <c:pt idx="7">
                  <c:v>1596563.7</c:v>
                </c:pt>
                <c:pt idx="8">
                  <c:v>2353388.89</c:v>
                </c:pt>
                <c:pt idx="9">
                  <c:v>1201373.98</c:v>
                </c:pt>
                <c:pt idx="10" formatCode="_(* #,##0.00_);_(* \(#,##0.00\);_(* &quot;-&quot;??_);_(@_)">
                  <c:v>1364946.95</c:v>
                </c:pt>
                <c:pt idx="11" formatCode="_(* #,##0.00_);_(* \(#,##0.00\);_(* &quot;-&quot;??_);_(@_)">
                  <c:v>1817863.95</c:v>
                </c:pt>
              </c:numCache>
            </c:numRef>
          </c:val>
          <c:smooth val="0"/>
          <c:extLst>
            <c:ext xmlns:c16="http://schemas.microsoft.com/office/drawing/2014/chart" uri="{C3380CC4-5D6E-409C-BE32-E72D297353CC}">
              <c16:uniqueId val="{00000004-2230-489F-A70E-DD7A19978786}"/>
            </c:ext>
          </c:extLst>
        </c:ser>
        <c:ser>
          <c:idx val="5"/>
          <c:order val="5"/>
          <c:tx>
            <c:strRef>
              <c:f>grupy_sprzedaż!$B$7</c:f>
              <c:strCache>
                <c:ptCount val="1"/>
                <c:pt idx="0">
                  <c:v>Pozostałe śor</c:v>
                </c:pt>
              </c:strCache>
            </c:strRef>
          </c:tx>
          <c:spPr>
            <a:ln w="28575" cap="rnd">
              <a:solidFill>
                <a:schemeClr val="accent6"/>
              </a:solidFill>
              <a:round/>
            </a:ln>
            <a:effectLst/>
          </c:spPr>
          <c:marker>
            <c:symbol val="dot"/>
            <c:size val="5"/>
            <c:spPr>
              <a:solidFill>
                <a:schemeClr val="accent6"/>
              </a:solidFill>
              <a:ln w="9525">
                <a:solidFill>
                  <a:schemeClr val="accent6"/>
                </a:solidFill>
              </a:ln>
              <a:effectLst/>
            </c:spPr>
          </c:marker>
          <c:val>
            <c:numRef>
              <c:f>grupy_sprzedaż!$C$7:$N$7</c:f>
              <c:numCache>
                <c:formatCode>General</c:formatCode>
                <c:ptCount val="12"/>
                <c:pt idx="0">
                  <c:v>551037.30000000005</c:v>
                </c:pt>
                <c:pt idx="1">
                  <c:v>386598.40000000002</c:v>
                </c:pt>
                <c:pt idx="2">
                  <c:v>376120.88</c:v>
                </c:pt>
                <c:pt idx="3">
                  <c:v>380832.4</c:v>
                </c:pt>
                <c:pt idx="4">
                  <c:v>357365.6</c:v>
                </c:pt>
                <c:pt idx="5">
                  <c:v>549657.71</c:v>
                </c:pt>
                <c:pt idx="6">
                  <c:v>502622.86</c:v>
                </c:pt>
                <c:pt idx="7">
                  <c:v>400722.79</c:v>
                </c:pt>
                <c:pt idx="8">
                  <c:v>579202.93000000005</c:v>
                </c:pt>
                <c:pt idx="9">
                  <c:v>679470.21</c:v>
                </c:pt>
                <c:pt idx="10" formatCode="_(* #,##0.00_);_(* \(#,##0.00\);_(* &quot;-&quot;??_);_(@_)">
                  <c:v>508621.26</c:v>
                </c:pt>
                <c:pt idx="11" formatCode="_(* #,##0.00_);_(* \(#,##0.00\);_(* &quot;-&quot;??_);_(@_)">
                  <c:v>491465.69</c:v>
                </c:pt>
              </c:numCache>
            </c:numRef>
          </c:val>
          <c:smooth val="0"/>
          <c:extLst>
            <c:ext xmlns:c16="http://schemas.microsoft.com/office/drawing/2014/chart" uri="{C3380CC4-5D6E-409C-BE32-E72D297353CC}">
              <c16:uniqueId val="{00000005-2230-489F-A70E-DD7A19978786}"/>
            </c:ext>
          </c:extLst>
        </c:ser>
        <c:dLbls>
          <c:showLegendKey val="0"/>
          <c:showVal val="0"/>
          <c:showCatName val="0"/>
          <c:showSerName val="0"/>
          <c:showPercent val="0"/>
          <c:showBubbleSize val="0"/>
        </c:dLbls>
        <c:marker val="1"/>
        <c:smooth val="0"/>
        <c:axId val="328687336"/>
        <c:axId val="328689304"/>
      </c:lineChart>
      <c:catAx>
        <c:axId val="328687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689304"/>
        <c:crosses val="autoZero"/>
        <c:auto val="1"/>
        <c:lblAlgn val="ctr"/>
        <c:lblOffset val="100"/>
        <c:noMultiLvlLbl val="0"/>
      </c:catAx>
      <c:valAx>
        <c:axId val="328689304"/>
        <c:scaling>
          <c:orientation val="minMax"/>
          <c:max val="16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687336"/>
        <c:crosses val="autoZero"/>
        <c:crossBetween val="between"/>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dispUnitsLbl>
        </c:dispUnits>
      </c:valAx>
      <c:spPr>
        <a:noFill/>
        <a:ln>
          <a:noFill/>
        </a:ln>
        <a:effectLst/>
      </c:spPr>
    </c:plotArea>
    <c:legend>
      <c:legendPos val="b"/>
      <c:layout>
        <c:manualLayout>
          <c:xMode val="edge"/>
          <c:yMode val="edge"/>
          <c:x val="0.12842611500349785"/>
          <c:y val="0.89705143152130284"/>
          <c:w val="0.83637271815679204"/>
          <c:h val="9.17272666980944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773549139690866E-2"/>
          <c:y val="4.3650793650793648E-2"/>
          <c:w val="0.85424376640419952"/>
          <c:h val="0.72917260342457191"/>
        </c:manualLayout>
      </c:layout>
      <c:bar3DChart>
        <c:barDir val="col"/>
        <c:grouping val="clustered"/>
        <c:varyColors val="0"/>
        <c:ser>
          <c:idx val="0"/>
          <c:order val="0"/>
          <c:tx>
            <c:strRef>
              <c:f>Arkusz1!$B$1</c:f>
              <c:strCache>
                <c:ptCount val="1"/>
                <c:pt idx="0">
                  <c:v>2013</c:v>
                </c:pt>
              </c:strCache>
            </c:strRef>
          </c:tx>
          <c:spPr>
            <a:solidFill>
              <a:schemeClr val="accent1"/>
            </a:solidFill>
            <a:ln>
              <a:noFill/>
            </a:ln>
            <a:effectLst/>
            <a:sp3d/>
          </c:spPr>
          <c:invertIfNegative val="0"/>
          <c:cat>
            <c:strRef>
              <c:f>Arkusz1!$A$2:$A$3</c:f>
              <c:strCache>
                <c:ptCount val="2"/>
                <c:pt idx="0">
                  <c:v>zatrucia</c:v>
                </c:pt>
                <c:pt idx="1">
                  <c:v>konieczność leczenia szpitalnego</c:v>
                </c:pt>
              </c:strCache>
            </c:strRef>
          </c:cat>
          <c:val>
            <c:numRef>
              <c:f>Arkusz1!$B$2:$B$3</c:f>
              <c:numCache>
                <c:formatCode>General</c:formatCode>
                <c:ptCount val="2"/>
                <c:pt idx="0">
                  <c:v>616</c:v>
                </c:pt>
                <c:pt idx="1">
                  <c:v>383</c:v>
                </c:pt>
              </c:numCache>
            </c:numRef>
          </c:val>
          <c:extLst>
            <c:ext xmlns:c16="http://schemas.microsoft.com/office/drawing/2014/chart" uri="{C3380CC4-5D6E-409C-BE32-E72D297353CC}">
              <c16:uniqueId val="{00000000-3FFE-47A6-9A3D-1A19AC9F9EF5}"/>
            </c:ext>
          </c:extLst>
        </c:ser>
        <c:ser>
          <c:idx val="1"/>
          <c:order val="1"/>
          <c:tx>
            <c:strRef>
              <c:f>Arkusz1!$C$1</c:f>
              <c:strCache>
                <c:ptCount val="1"/>
                <c:pt idx="0">
                  <c:v>2014</c:v>
                </c:pt>
              </c:strCache>
            </c:strRef>
          </c:tx>
          <c:spPr>
            <a:solidFill>
              <a:schemeClr val="accent2"/>
            </a:solidFill>
            <a:ln>
              <a:noFill/>
            </a:ln>
            <a:effectLst/>
            <a:sp3d/>
          </c:spPr>
          <c:invertIfNegative val="0"/>
          <c:cat>
            <c:strRef>
              <c:f>Arkusz1!$A$2:$A$3</c:f>
              <c:strCache>
                <c:ptCount val="2"/>
                <c:pt idx="0">
                  <c:v>zatrucia</c:v>
                </c:pt>
                <c:pt idx="1">
                  <c:v>konieczność leczenia szpitalnego</c:v>
                </c:pt>
              </c:strCache>
            </c:strRef>
          </c:cat>
          <c:val>
            <c:numRef>
              <c:f>Arkusz1!$C$2:$C$3</c:f>
              <c:numCache>
                <c:formatCode>General</c:formatCode>
                <c:ptCount val="2"/>
                <c:pt idx="0">
                  <c:v>593</c:v>
                </c:pt>
                <c:pt idx="1">
                  <c:v>370</c:v>
                </c:pt>
              </c:numCache>
            </c:numRef>
          </c:val>
          <c:extLst>
            <c:ext xmlns:c16="http://schemas.microsoft.com/office/drawing/2014/chart" uri="{C3380CC4-5D6E-409C-BE32-E72D297353CC}">
              <c16:uniqueId val="{00000001-3FFE-47A6-9A3D-1A19AC9F9EF5}"/>
            </c:ext>
          </c:extLst>
        </c:ser>
        <c:ser>
          <c:idx val="2"/>
          <c:order val="2"/>
          <c:tx>
            <c:strRef>
              <c:f>Arkusz1!$D$1</c:f>
              <c:strCache>
                <c:ptCount val="1"/>
                <c:pt idx="0">
                  <c:v>2015</c:v>
                </c:pt>
              </c:strCache>
            </c:strRef>
          </c:tx>
          <c:spPr>
            <a:solidFill>
              <a:schemeClr val="accent3"/>
            </a:solidFill>
            <a:ln>
              <a:noFill/>
            </a:ln>
            <a:effectLst/>
            <a:sp3d/>
          </c:spPr>
          <c:invertIfNegative val="0"/>
          <c:cat>
            <c:strRef>
              <c:f>Arkusz1!$A$2:$A$3</c:f>
              <c:strCache>
                <c:ptCount val="2"/>
                <c:pt idx="0">
                  <c:v>zatrucia</c:v>
                </c:pt>
                <c:pt idx="1">
                  <c:v>konieczność leczenia szpitalnego</c:v>
                </c:pt>
              </c:strCache>
            </c:strRef>
          </c:cat>
          <c:val>
            <c:numRef>
              <c:f>Arkusz1!$D$2:$D$3</c:f>
              <c:numCache>
                <c:formatCode>General</c:formatCode>
                <c:ptCount val="2"/>
                <c:pt idx="0">
                  <c:v>512</c:v>
                </c:pt>
                <c:pt idx="1">
                  <c:v>323</c:v>
                </c:pt>
              </c:numCache>
            </c:numRef>
          </c:val>
          <c:extLst>
            <c:ext xmlns:c16="http://schemas.microsoft.com/office/drawing/2014/chart" uri="{C3380CC4-5D6E-409C-BE32-E72D297353CC}">
              <c16:uniqueId val="{00000002-3FFE-47A6-9A3D-1A19AC9F9EF5}"/>
            </c:ext>
          </c:extLst>
        </c:ser>
        <c:ser>
          <c:idx val="3"/>
          <c:order val="3"/>
          <c:tx>
            <c:strRef>
              <c:f>Arkusz1!$E$1</c:f>
              <c:strCache>
                <c:ptCount val="1"/>
                <c:pt idx="0">
                  <c:v>2016</c:v>
                </c:pt>
              </c:strCache>
            </c:strRef>
          </c:tx>
          <c:spPr>
            <a:solidFill>
              <a:schemeClr val="accent4"/>
            </a:solidFill>
            <a:ln>
              <a:noFill/>
            </a:ln>
            <a:effectLst/>
            <a:sp3d/>
          </c:spPr>
          <c:invertIfNegative val="0"/>
          <c:cat>
            <c:strRef>
              <c:f>Arkusz1!$A$2:$A$3</c:f>
              <c:strCache>
                <c:ptCount val="2"/>
                <c:pt idx="0">
                  <c:v>zatrucia</c:v>
                </c:pt>
                <c:pt idx="1">
                  <c:v>konieczność leczenia szpitalnego</c:v>
                </c:pt>
              </c:strCache>
            </c:strRef>
          </c:cat>
          <c:val>
            <c:numRef>
              <c:f>Arkusz1!$E$2:$E$3</c:f>
              <c:numCache>
                <c:formatCode>General</c:formatCode>
                <c:ptCount val="2"/>
                <c:pt idx="0">
                  <c:v>450</c:v>
                </c:pt>
                <c:pt idx="1">
                  <c:v>295</c:v>
                </c:pt>
              </c:numCache>
            </c:numRef>
          </c:val>
          <c:extLst>
            <c:ext xmlns:c16="http://schemas.microsoft.com/office/drawing/2014/chart" uri="{C3380CC4-5D6E-409C-BE32-E72D297353CC}">
              <c16:uniqueId val="{00000003-3FFE-47A6-9A3D-1A19AC9F9EF5}"/>
            </c:ext>
          </c:extLst>
        </c:ser>
        <c:ser>
          <c:idx val="4"/>
          <c:order val="4"/>
          <c:tx>
            <c:strRef>
              <c:f>Arkusz1!$F$1</c:f>
              <c:strCache>
                <c:ptCount val="1"/>
                <c:pt idx="0">
                  <c:v>2017</c:v>
                </c:pt>
              </c:strCache>
            </c:strRef>
          </c:tx>
          <c:spPr>
            <a:solidFill>
              <a:schemeClr val="accent5"/>
            </a:solidFill>
            <a:ln>
              <a:noFill/>
            </a:ln>
            <a:effectLst/>
            <a:sp3d/>
          </c:spPr>
          <c:invertIfNegative val="0"/>
          <c:cat>
            <c:strRef>
              <c:f>Arkusz1!$A$2:$A$3</c:f>
              <c:strCache>
                <c:ptCount val="2"/>
                <c:pt idx="0">
                  <c:v>zatrucia</c:v>
                </c:pt>
                <c:pt idx="1">
                  <c:v>konieczność leczenia szpitalnego</c:v>
                </c:pt>
              </c:strCache>
            </c:strRef>
          </c:cat>
          <c:val>
            <c:numRef>
              <c:f>Arkusz1!$F$2:$F$3</c:f>
              <c:numCache>
                <c:formatCode>General</c:formatCode>
                <c:ptCount val="2"/>
                <c:pt idx="0">
                  <c:v>440</c:v>
                </c:pt>
                <c:pt idx="1">
                  <c:v>236</c:v>
                </c:pt>
              </c:numCache>
            </c:numRef>
          </c:val>
          <c:extLst>
            <c:ext xmlns:c16="http://schemas.microsoft.com/office/drawing/2014/chart" uri="{C3380CC4-5D6E-409C-BE32-E72D297353CC}">
              <c16:uniqueId val="{00000004-3FFE-47A6-9A3D-1A19AC9F9EF5}"/>
            </c:ext>
          </c:extLst>
        </c:ser>
        <c:ser>
          <c:idx val="5"/>
          <c:order val="5"/>
          <c:tx>
            <c:strRef>
              <c:f>Arkusz1!$G$1</c:f>
              <c:strCache>
                <c:ptCount val="1"/>
                <c:pt idx="0">
                  <c:v>2018</c:v>
                </c:pt>
              </c:strCache>
            </c:strRef>
          </c:tx>
          <c:spPr>
            <a:solidFill>
              <a:schemeClr val="accent6"/>
            </a:solidFill>
            <a:ln>
              <a:noFill/>
            </a:ln>
            <a:effectLst/>
            <a:sp3d/>
          </c:spPr>
          <c:invertIfNegative val="0"/>
          <c:cat>
            <c:strRef>
              <c:f>Arkusz1!$A$2:$A$3</c:f>
              <c:strCache>
                <c:ptCount val="2"/>
                <c:pt idx="0">
                  <c:v>zatrucia</c:v>
                </c:pt>
                <c:pt idx="1">
                  <c:v>konieczność leczenia szpitalnego</c:v>
                </c:pt>
              </c:strCache>
            </c:strRef>
          </c:cat>
          <c:val>
            <c:numRef>
              <c:f>Arkusz1!$G$2:$G$3</c:f>
              <c:numCache>
                <c:formatCode>General</c:formatCode>
                <c:ptCount val="2"/>
                <c:pt idx="0">
                  <c:v>492</c:v>
                </c:pt>
                <c:pt idx="1">
                  <c:v>260</c:v>
                </c:pt>
              </c:numCache>
            </c:numRef>
          </c:val>
          <c:extLst>
            <c:ext xmlns:c16="http://schemas.microsoft.com/office/drawing/2014/chart" uri="{C3380CC4-5D6E-409C-BE32-E72D297353CC}">
              <c16:uniqueId val="{00000005-3FFE-47A6-9A3D-1A19AC9F9EF5}"/>
            </c:ext>
          </c:extLst>
        </c:ser>
        <c:ser>
          <c:idx val="6"/>
          <c:order val="6"/>
          <c:tx>
            <c:strRef>
              <c:f>Arkusz1!$H$1</c:f>
              <c:strCache>
                <c:ptCount val="1"/>
                <c:pt idx="0">
                  <c:v>2019</c:v>
                </c:pt>
              </c:strCache>
            </c:strRef>
          </c:tx>
          <c:invertIfNegative val="0"/>
          <c:cat>
            <c:strRef>
              <c:f>Arkusz1!$A$2:$A$3</c:f>
              <c:strCache>
                <c:ptCount val="2"/>
                <c:pt idx="0">
                  <c:v>zatrucia</c:v>
                </c:pt>
                <c:pt idx="1">
                  <c:v>konieczność leczenia szpitalnego</c:v>
                </c:pt>
              </c:strCache>
            </c:strRef>
          </c:cat>
          <c:val>
            <c:numRef>
              <c:f>Arkusz1!$H$2:$H$3</c:f>
              <c:numCache>
                <c:formatCode>General</c:formatCode>
                <c:ptCount val="2"/>
                <c:pt idx="0">
                  <c:v>393</c:v>
                </c:pt>
                <c:pt idx="1">
                  <c:v>215</c:v>
                </c:pt>
              </c:numCache>
            </c:numRef>
          </c:val>
          <c:extLst>
            <c:ext xmlns:c16="http://schemas.microsoft.com/office/drawing/2014/chart" uri="{C3380CC4-5D6E-409C-BE32-E72D297353CC}">
              <c16:uniqueId val="{00000006-3FFE-47A6-9A3D-1A19AC9F9EF5}"/>
            </c:ext>
          </c:extLst>
        </c:ser>
        <c:ser>
          <c:idx val="7"/>
          <c:order val="7"/>
          <c:tx>
            <c:strRef>
              <c:f>Arkusz1!$I$1</c:f>
              <c:strCache>
                <c:ptCount val="1"/>
                <c:pt idx="0">
                  <c:v>2020</c:v>
                </c:pt>
              </c:strCache>
            </c:strRef>
          </c:tx>
          <c:invertIfNegative val="0"/>
          <c:cat>
            <c:strRef>
              <c:f>Arkusz1!$A$2:$A$3</c:f>
              <c:strCache>
                <c:ptCount val="2"/>
                <c:pt idx="0">
                  <c:v>zatrucia</c:v>
                </c:pt>
                <c:pt idx="1">
                  <c:v>konieczność leczenia szpitalnego</c:v>
                </c:pt>
              </c:strCache>
            </c:strRef>
          </c:cat>
          <c:val>
            <c:numRef>
              <c:f>Arkusz1!$I$2:$I$3</c:f>
              <c:numCache>
                <c:formatCode>General</c:formatCode>
                <c:ptCount val="2"/>
                <c:pt idx="0">
                  <c:v>249</c:v>
                </c:pt>
                <c:pt idx="1">
                  <c:v>152</c:v>
                </c:pt>
              </c:numCache>
            </c:numRef>
          </c:val>
          <c:extLst>
            <c:ext xmlns:c16="http://schemas.microsoft.com/office/drawing/2014/chart" uri="{C3380CC4-5D6E-409C-BE32-E72D297353CC}">
              <c16:uniqueId val="{00000000-4DC1-4199-A3D8-9ED95136C5AE}"/>
            </c:ext>
          </c:extLst>
        </c:ser>
        <c:ser>
          <c:idx val="8"/>
          <c:order val="8"/>
          <c:tx>
            <c:strRef>
              <c:f>Arkusz1!$J$1</c:f>
              <c:strCache>
                <c:ptCount val="1"/>
                <c:pt idx="0">
                  <c:v>2021</c:v>
                </c:pt>
              </c:strCache>
            </c:strRef>
          </c:tx>
          <c:invertIfNegative val="0"/>
          <c:cat>
            <c:strRef>
              <c:f>Arkusz1!$A$2:$A$3</c:f>
              <c:strCache>
                <c:ptCount val="2"/>
                <c:pt idx="0">
                  <c:v>zatrucia</c:v>
                </c:pt>
                <c:pt idx="1">
                  <c:v>konieczność leczenia szpitalnego</c:v>
                </c:pt>
              </c:strCache>
            </c:strRef>
          </c:cat>
          <c:val>
            <c:numRef>
              <c:f>Arkusz1!$J$2:$J$3</c:f>
              <c:numCache>
                <c:formatCode>General</c:formatCode>
                <c:ptCount val="2"/>
                <c:pt idx="0">
                  <c:v>226</c:v>
                </c:pt>
                <c:pt idx="1">
                  <c:v>152</c:v>
                </c:pt>
              </c:numCache>
            </c:numRef>
          </c:val>
          <c:extLst>
            <c:ext xmlns:c16="http://schemas.microsoft.com/office/drawing/2014/chart" uri="{C3380CC4-5D6E-409C-BE32-E72D297353CC}">
              <c16:uniqueId val="{00000000-B064-4E15-9368-2D6CCB1D0070}"/>
            </c:ext>
          </c:extLst>
        </c:ser>
        <c:ser>
          <c:idx val="9"/>
          <c:order val="9"/>
          <c:tx>
            <c:strRef>
              <c:f>Arkusz1!$K$1</c:f>
              <c:strCache>
                <c:ptCount val="1"/>
                <c:pt idx="0">
                  <c:v>2022</c:v>
                </c:pt>
              </c:strCache>
            </c:strRef>
          </c:tx>
          <c:invertIfNegative val="0"/>
          <c:cat>
            <c:strRef>
              <c:f>Arkusz1!$A$2:$A$3</c:f>
              <c:strCache>
                <c:ptCount val="2"/>
                <c:pt idx="0">
                  <c:v>zatrucia</c:v>
                </c:pt>
                <c:pt idx="1">
                  <c:v>konieczność leczenia szpitalnego</c:v>
                </c:pt>
              </c:strCache>
            </c:strRef>
          </c:cat>
          <c:val>
            <c:numRef>
              <c:f>Arkusz1!$K$2:$K$3</c:f>
              <c:numCache>
                <c:formatCode>General</c:formatCode>
                <c:ptCount val="2"/>
                <c:pt idx="0">
                  <c:v>237</c:v>
                </c:pt>
                <c:pt idx="1">
                  <c:v>158</c:v>
                </c:pt>
              </c:numCache>
            </c:numRef>
          </c:val>
          <c:extLst>
            <c:ext xmlns:c16="http://schemas.microsoft.com/office/drawing/2014/chart" uri="{C3380CC4-5D6E-409C-BE32-E72D297353CC}">
              <c16:uniqueId val="{00000000-89B0-4AC0-B433-07D12FC2EF18}"/>
            </c:ext>
          </c:extLst>
        </c:ser>
        <c:dLbls>
          <c:showLegendKey val="0"/>
          <c:showVal val="0"/>
          <c:showCatName val="0"/>
          <c:showSerName val="0"/>
          <c:showPercent val="0"/>
          <c:showBubbleSize val="0"/>
        </c:dLbls>
        <c:gapWidth val="219"/>
        <c:shape val="box"/>
        <c:axId val="576551328"/>
        <c:axId val="576551720"/>
        <c:axId val="0"/>
      </c:bar3DChart>
      <c:catAx>
        <c:axId val="576551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47314650772820066"/>
              <c:y val="0.843520809898762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720"/>
        <c:crosses val="autoZero"/>
        <c:auto val="1"/>
        <c:lblAlgn val="ctr"/>
        <c:lblOffset val="100"/>
        <c:noMultiLvlLbl val="0"/>
      </c:catAx>
      <c:valAx>
        <c:axId val="576551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layout>
            <c:manualLayout>
              <c:xMode val="edge"/>
              <c:yMode val="edge"/>
              <c:x val="2.0185464294601815E-2"/>
              <c:y val="0.2505915021491878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328"/>
        <c:crosses val="autoZero"/>
        <c:crossBetween val="between"/>
      </c:valAx>
      <c:spPr>
        <a:noFill/>
        <a:ln>
          <a:noFill/>
        </a:ln>
        <a:effectLst/>
      </c:spPr>
    </c:plotArea>
    <c:legend>
      <c:legendPos val="b"/>
      <c:layout>
        <c:manualLayout>
          <c:xMode val="edge"/>
          <c:yMode val="edge"/>
          <c:x val="0.17797886176571398"/>
          <c:y val="0.88949218304233713"/>
          <c:w val="0.81467155490429732"/>
          <c:h val="8.1739491936237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pl-PL"/>
              <a:t>Liczba badań w poszczególnych latach</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pl-PL"/>
        </a:p>
      </c:txPr>
    </c:title>
    <c:autoTitleDeleted val="0"/>
    <c:plotArea>
      <c:layout/>
      <c:barChart>
        <c:barDir val="col"/>
        <c:grouping val="clustered"/>
        <c:varyColors val="0"/>
        <c:ser>
          <c:idx val="0"/>
          <c:order val="0"/>
          <c:tx>
            <c:strRef>
              <c:f>Arkusz1!$B$1</c:f>
              <c:strCache>
                <c:ptCount val="1"/>
                <c:pt idx="0">
                  <c:v>liczba badań</c:v>
                </c:pt>
              </c:strCache>
            </c:strRef>
          </c:tx>
          <c:spPr>
            <a:solidFill>
              <a:schemeClr val="accent3">
                <a:shade val="65000"/>
                <a:alpha val="70000"/>
              </a:schemeClr>
            </a:solidFill>
            <a:ln>
              <a:noFill/>
            </a:ln>
            <a:effectLst/>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Arkusz1!$B$2:$B$11</c:f>
              <c:numCache>
                <c:formatCode>General</c:formatCode>
                <c:ptCount val="10"/>
                <c:pt idx="0">
                  <c:v>64221</c:v>
                </c:pt>
                <c:pt idx="1">
                  <c:v>66689</c:v>
                </c:pt>
                <c:pt idx="2">
                  <c:v>60329</c:v>
                </c:pt>
                <c:pt idx="3">
                  <c:v>75215</c:v>
                </c:pt>
                <c:pt idx="4">
                  <c:v>84444</c:v>
                </c:pt>
                <c:pt idx="5">
                  <c:v>64955</c:v>
                </c:pt>
                <c:pt idx="6">
                  <c:v>73489</c:v>
                </c:pt>
                <c:pt idx="7">
                  <c:v>68478</c:v>
                </c:pt>
                <c:pt idx="8">
                  <c:v>58748</c:v>
                </c:pt>
                <c:pt idx="9">
                  <c:v>64328</c:v>
                </c:pt>
              </c:numCache>
            </c:numRef>
          </c:val>
          <c:extLst>
            <c:ext xmlns:c16="http://schemas.microsoft.com/office/drawing/2014/chart" uri="{C3380CC4-5D6E-409C-BE32-E72D297353CC}">
              <c16:uniqueId val="{00000000-2032-4630-8E23-C2111BE071CA}"/>
            </c:ext>
          </c:extLst>
        </c:ser>
        <c:ser>
          <c:idx val="1"/>
          <c:order val="1"/>
          <c:tx>
            <c:strRef>
              <c:f>Arkusz1!$C$1</c:f>
              <c:strCache>
                <c:ptCount val="1"/>
                <c:pt idx="0">
                  <c:v>Kolumna1</c:v>
                </c:pt>
              </c:strCache>
            </c:strRef>
          </c:tx>
          <c:spPr>
            <a:solidFill>
              <a:schemeClr val="accent3">
                <a:alpha val="70000"/>
              </a:schemeClr>
            </a:solidFill>
            <a:ln>
              <a:noFill/>
            </a:ln>
            <a:effectLst/>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Arkusz1!$C$2:$C$11</c:f>
              <c:numCache>
                <c:formatCode>General</c:formatCode>
                <c:ptCount val="10"/>
              </c:numCache>
            </c:numRef>
          </c:val>
          <c:extLst>
            <c:ext xmlns:c16="http://schemas.microsoft.com/office/drawing/2014/chart" uri="{C3380CC4-5D6E-409C-BE32-E72D297353CC}">
              <c16:uniqueId val="{00000001-2032-4630-8E23-C2111BE071CA}"/>
            </c:ext>
          </c:extLst>
        </c:ser>
        <c:ser>
          <c:idx val="2"/>
          <c:order val="2"/>
          <c:tx>
            <c:strRef>
              <c:f>Arkusz1!$D$1</c:f>
              <c:strCache>
                <c:ptCount val="1"/>
                <c:pt idx="0">
                  <c:v>Kolumna2</c:v>
                </c:pt>
              </c:strCache>
            </c:strRef>
          </c:tx>
          <c:spPr>
            <a:solidFill>
              <a:schemeClr val="accent3">
                <a:tint val="65000"/>
                <a:alpha val="70000"/>
              </a:schemeClr>
            </a:solidFill>
            <a:ln>
              <a:noFill/>
            </a:ln>
            <a:effectLst/>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Arkusz1!$D$2:$D$11</c:f>
              <c:numCache>
                <c:formatCode>General</c:formatCode>
                <c:ptCount val="10"/>
              </c:numCache>
            </c:numRef>
          </c:val>
          <c:extLst>
            <c:ext xmlns:c16="http://schemas.microsoft.com/office/drawing/2014/chart" uri="{C3380CC4-5D6E-409C-BE32-E72D297353CC}">
              <c16:uniqueId val="{00000002-2032-4630-8E23-C2111BE071CA}"/>
            </c:ext>
          </c:extLst>
        </c:ser>
        <c:dLbls>
          <c:showLegendKey val="0"/>
          <c:showVal val="0"/>
          <c:showCatName val="0"/>
          <c:showSerName val="0"/>
          <c:showPercent val="0"/>
          <c:showBubbleSize val="0"/>
        </c:dLbls>
        <c:gapWidth val="80"/>
        <c:overlap val="25"/>
        <c:axId val="61107408"/>
        <c:axId val="61110544"/>
      </c:barChart>
      <c:catAx>
        <c:axId val="611074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l-PL"/>
          </a:p>
        </c:txPr>
        <c:crossAx val="61110544"/>
        <c:crosses val="autoZero"/>
        <c:auto val="1"/>
        <c:lblAlgn val="ctr"/>
        <c:lblOffset val="100"/>
        <c:noMultiLvlLbl val="0"/>
      </c:catAx>
      <c:valAx>
        <c:axId val="611105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l-PL"/>
          </a:p>
        </c:txPr>
        <c:crossAx val="611074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FE5F-4341-9C19-C50654A84025}"/>
              </c:ext>
            </c:extLst>
          </c:dPt>
          <c:dLbls>
            <c:dLbl>
              <c:idx val="0"/>
              <c:layout>
                <c:manualLayout>
                  <c:x val="2.1789151356080491E-3"/>
                  <c:y val="-1.1084864391951006E-2"/>
                </c:manualLayout>
              </c:layout>
              <c:tx>
                <c:rich>
                  <a:bodyPr/>
                  <a:lstStyle/>
                  <a:p>
                    <a:r>
                      <a:rPr lang="en-US"/>
                      <a:t>96%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E5F-4341-9C19-C50654A84025}"/>
                </c:ext>
              </c:extLst>
            </c:dLbl>
            <c:dLbl>
              <c:idx val="1"/>
              <c:layout>
                <c:manualLayout>
                  <c:x val="1.9433945756780403E-2"/>
                  <c:y val="-0.106374307378244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E5F-4341-9C19-C50654A84025}"/>
                </c:ext>
              </c:extLst>
            </c:dLbl>
            <c:dLbl>
              <c:idx val="2"/>
              <c:layout>
                <c:manualLayout>
                  <c:x val="-2.0477909011373577E-3"/>
                  <c:y val="-6.845654709827938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E5F-4341-9C19-C50654A84025}"/>
                </c:ext>
              </c:extLst>
            </c:dLbl>
            <c:dLbl>
              <c:idx val="3"/>
              <c:layout>
                <c:manualLayout>
                  <c:x val="-4.9264326334208221E-2"/>
                  <c:y val="-9.297900262467191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E5F-4341-9C19-C50654A84025}"/>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FE5F-4341-9C19-C50654A8402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6487-4FE1-BA09-183E5F79CEC1}"/>
              </c:ext>
            </c:extLst>
          </c:dPt>
          <c:dLbls>
            <c:dLbl>
              <c:idx val="0"/>
              <c:layout>
                <c:manualLayout>
                  <c:x val="2.1789151356080491E-3"/>
                  <c:y val="-1.1084864391951006E-2"/>
                </c:manualLayout>
              </c:layout>
              <c:tx>
                <c:rich>
                  <a:bodyPr/>
                  <a:lstStyle/>
                  <a:p>
                    <a:r>
                      <a:rPr lang="en-US"/>
                      <a:t>95,6%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487-4FE1-BA09-183E5F79CEC1}"/>
                </c:ext>
              </c:extLst>
            </c:dLbl>
            <c:dLbl>
              <c:idx val="1"/>
              <c:layout>
                <c:manualLayout>
                  <c:x val="1.9433945756780403E-2"/>
                  <c:y val="-0.10637430737824438"/>
                </c:manualLayout>
              </c:layout>
              <c:tx>
                <c:rich>
                  <a:bodyPr/>
                  <a:lstStyle/>
                  <a:p>
                    <a:r>
                      <a:rPr lang="en-US"/>
                      <a:t>2,8%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6487-4FE1-BA09-183E5F79CEC1}"/>
                </c:ext>
              </c:extLst>
            </c:dLbl>
            <c:dLbl>
              <c:idx val="2"/>
              <c:layout>
                <c:manualLayout>
                  <c:x val="-2.0477909011373577E-3"/>
                  <c:y val="-6.8456547098279382E-3"/>
                </c:manualLayout>
              </c:layout>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487-4FE1-BA09-183E5F79CEC1}"/>
                </c:ext>
              </c:extLst>
            </c:dLbl>
            <c:dLbl>
              <c:idx val="3"/>
              <c:layout>
                <c:manualLayout>
                  <c:x val="-4.9264326334208221E-2"/>
                  <c:y val="-9.2979002624671916E-3"/>
                </c:manualLayout>
              </c:layout>
              <c:tx>
                <c:rich>
                  <a:bodyPr/>
                  <a:lstStyle/>
                  <a:p>
                    <a:r>
                      <a:rPr lang="en-US"/>
                      <a:t>0,</a:t>
                    </a:r>
                    <a:fld id="{6453922D-D35A-4229-A749-AF81A0CA81D3}" type="PERCENTAGE">
                      <a:rPr lang="en-US"/>
                      <a:pPr/>
                      <a:t>[PROCENTOWE]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487-4FE1-BA09-183E5F79CEC1}"/>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6487-4FE1-BA09-183E5F79CEC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21D0-4579-A3BD-49DE91FF6E1E}"/>
              </c:ext>
            </c:extLst>
          </c:dPt>
          <c:dLbls>
            <c:dLbl>
              <c:idx val="0"/>
              <c:layout>
                <c:manualLayout>
                  <c:x val="2.1789151356080491E-3"/>
                  <c:y val="-1.1084864391951006E-2"/>
                </c:manualLayout>
              </c:layout>
              <c:tx>
                <c:rich>
                  <a:bodyPr/>
                  <a:lstStyle/>
                  <a:p>
                    <a:r>
                      <a:rPr lang="en-US"/>
                      <a:t>94,6%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1D0-4579-A3BD-49DE91FF6E1E}"/>
                </c:ext>
              </c:extLst>
            </c:dLbl>
            <c:dLbl>
              <c:idx val="1"/>
              <c:layout>
                <c:manualLayout>
                  <c:x val="1.9433945756780403E-2"/>
                  <c:y val="-0.10637430737824438"/>
                </c:manualLayout>
              </c:layout>
              <c:tx>
                <c:rich>
                  <a:bodyPr/>
                  <a:lstStyle/>
                  <a:p>
                    <a:r>
                      <a:rPr lang="en-US"/>
                      <a:t>3,4%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21D0-4579-A3BD-49DE91FF6E1E}"/>
                </c:ext>
              </c:extLst>
            </c:dLbl>
            <c:dLbl>
              <c:idx val="2"/>
              <c:layout>
                <c:manualLayout>
                  <c:x val="-2.0477909011373577E-3"/>
                  <c:y val="-6.8456547098279382E-3"/>
                </c:manualLayout>
              </c:layout>
              <c:tx>
                <c:rich>
                  <a:bodyPr/>
                  <a:lstStyle/>
                  <a:p>
                    <a:r>
                      <a:rPr lang="en-US"/>
                      <a:t>0,5%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1D0-4579-A3BD-49DE91FF6E1E}"/>
                </c:ext>
              </c:extLst>
            </c:dLbl>
            <c:dLbl>
              <c:idx val="3"/>
              <c:layout>
                <c:manualLayout>
                  <c:x val="-4.9264326334208221E-2"/>
                  <c:y val="-9.2979002624671916E-3"/>
                </c:manualLayout>
              </c:layout>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21D0-4579-A3BD-49DE91FF6E1E}"/>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21D0-4579-A3BD-49DE91FF6E1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l-PL"/>
  <c:roundedCorners val="0"/>
  <c:style val="2"/>
  <c:chart>
    <c:autoTitleDeleted val="1"/>
    <c:view3D>
      <c:rotX val="40"/>
      <c:rotY val="90"/>
      <c:rAngAx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Sprzedaż</c:v>
                </c:pt>
              </c:strCache>
            </c:strRef>
          </c:tx>
          <c:spPr>
            <a:solidFill>
              <a:srgbClr val="4F81BD"/>
            </a:solidFill>
            <a:ln>
              <a:noFill/>
            </a:ln>
          </c:spPr>
          <c:explosion val="11"/>
          <c:dPt>
            <c:idx val="0"/>
            <c:bubble3D val="0"/>
            <c:explosion val="15"/>
            <c:spPr>
              <a:solidFill>
                <a:srgbClr val="95B3D7"/>
              </a:solidFill>
              <a:ln>
                <a:noFill/>
              </a:ln>
            </c:spPr>
            <c:extLst>
              <c:ext xmlns:c16="http://schemas.microsoft.com/office/drawing/2014/chart" uri="{C3380CC4-5D6E-409C-BE32-E72D297353CC}">
                <c16:uniqueId val="{00000001-5FB0-45AD-A489-DBB547CEC07A}"/>
              </c:ext>
            </c:extLst>
          </c:dPt>
          <c:dPt>
            <c:idx val="1"/>
            <c:bubble3D val="0"/>
            <c:spPr>
              <a:solidFill>
                <a:srgbClr val="92D050"/>
              </a:solidFill>
              <a:ln>
                <a:noFill/>
              </a:ln>
            </c:spPr>
            <c:extLst>
              <c:ext xmlns:c16="http://schemas.microsoft.com/office/drawing/2014/chart" uri="{C3380CC4-5D6E-409C-BE32-E72D297353CC}">
                <c16:uniqueId val="{00000003-5FB0-45AD-A489-DBB547CEC07A}"/>
              </c:ext>
            </c:extLst>
          </c:dPt>
          <c:dPt>
            <c:idx val="2"/>
            <c:bubble3D val="0"/>
            <c:spPr>
              <a:solidFill>
                <a:srgbClr val="E46C0A"/>
              </a:solidFill>
              <a:ln>
                <a:noFill/>
              </a:ln>
            </c:spPr>
            <c:extLst>
              <c:ext xmlns:c16="http://schemas.microsoft.com/office/drawing/2014/chart" uri="{C3380CC4-5D6E-409C-BE32-E72D297353CC}">
                <c16:uniqueId val="{00000005-5FB0-45AD-A489-DBB547CEC07A}"/>
              </c:ext>
            </c:extLst>
          </c:dPt>
          <c:dPt>
            <c:idx val="3"/>
            <c:bubble3D val="0"/>
            <c:spPr>
              <a:solidFill>
                <a:srgbClr val="002060"/>
              </a:solidFill>
              <a:ln>
                <a:noFill/>
              </a:ln>
            </c:spPr>
            <c:extLst>
              <c:ext xmlns:c16="http://schemas.microsoft.com/office/drawing/2014/chart" uri="{C3380CC4-5D6E-409C-BE32-E72D297353CC}">
                <c16:uniqueId val="{00000007-5FB0-45AD-A489-DBB547CEC07A}"/>
              </c:ext>
            </c:extLst>
          </c:dPt>
          <c:dPt>
            <c:idx val="4"/>
            <c:bubble3D val="0"/>
            <c:spPr>
              <a:solidFill>
                <a:srgbClr val="FFC000"/>
              </a:solidFill>
              <a:ln>
                <a:noFill/>
              </a:ln>
            </c:spPr>
            <c:extLst>
              <c:ext xmlns:c16="http://schemas.microsoft.com/office/drawing/2014/chart" uri="{C3380CC4-5D6E-409C-BE32-E72D297353CC}">
                <c16:uniqueId val="{00000009-5FB0-45AD-A489-DBB547CEC07A}"/>
              </c:ext>
            </c:extLst>
          </c:dPt>
          <c:dPt>
            <c:idx val="5"/>
            <c:bubble3D val="0"/>
            <c:explosion val="45"/>
            <c:spPr>
              <a:solidFill>
                <a:srgbClr val="FF0000"/>
              </a:solidFill>
              <a:ln>
                <a:noFill/>
              </a:ln>
            </c:spPr>
            <c:extLst>
              <c:ext xmlns:c16="http://schemas.microsoft.com/office/drawing/2014/chart" uri="{C3380CC4-5D6E-409C-BE32-E72D297353CC}">
                <c16:uniqueId val="{0000000B-5FB0-45AD-A489-DBB547CEC07A}"/>
              </c:ext>
            </c:extLst>
          </c:dPt>
          <c:dLbls>
            <c:dLbl>
              <c:idx val="0"/>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5FB0-45AD-A489-DBB547CEC07A}"/>
                </c:ext>
              </c:extLst>
            </c:dLbl>
            <c:dLbl>
              <c:idx val="1"/>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5FB0-45AD-A489-DBB547CEC07A}"/>
                </c:ext>
              </c:extLst>
            </c:dLbl>
            <c:dLbl>
              <c:idx val="2"/>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5FB0-45AD-A489-DBB547CEC07A}"/>
                </c:ext>
              </c:extLst>
            </c:dLbl>
            <c:dLbl>
              <c:idx val="3"/>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5FB0-45AD-A489-DBB547CEC07A}"/>
                </c:ext>
              </c:extLst>
            </c:dLbl>
            <c:dLbl>
              <c:idx val="4"/>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5FB0-45AD-A489-DBB547CEC07A}"/>
                </c:ext>
              </c:extLst>
            </c:dLbl>
            <c:dLbl>
              <c:idx val="5"/>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5FB0-45AD-A489-DBB547CEC07A}"/>
                </c:ext>
              </c:extLst>
            </c:dLbl>
            <c:spPr>
              <a:noFill/>
              <a:ln>
                <a:noFill/>
              </a:ln>
              <a:effectLst/>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Brak wykryć</c:v>
                </c:pt>
                <c:pt idx="1">
                  <c:v>do 0,1 ug/L</c:v>
                </c:pt>
                <c:pt idx="2">
                  <c:v>do 0,5 ug/L</c:v>
                </c:pt>
                <c:pt idx="3">
                  <c:v>do 1 ug/L</c:v>
                </c:pt>
                <c:pt idx="4">
                  <c:v>powyżej 1 ug/l (A2)</c:v>
                </c:pt>
                <c:pt idx="5">
                  <c:v>powyżej 2,5  ug/l </c:v>
                </c:pt>
              </c:strCache>
            </c:strRef>
          </c:cat>
          <c:val>
            <c:numRef>
              <c:f>0</c:f>
              <c:numCache>
                <c:formatCode>General</c:formatCode>
                <c:ptCount val="6"/>
                <c:pt idx="0">
                  <c:v>22</c:v>
                </c:pt>
                <c:pt idx="1">
                  <c:v>23</c:v>
                </c:pt>
                <c:pt idx="2">
                  <c:v>40</c:v>
                </c:pt>
                <c:pt idx="3">
                  <c:v>11</c:v>
                </c:pt>
                <c:pt idx="4">
                  <c:v>3</c:v>
                </c:pt>
                <c:pt idx="5">
                  <c:v>1</c:v>
                </c:pt>
              </c:numCache>
            </c:numRef>
          </c:val>
          <c:extLst>
            <c:ext xmlns:c16="http://schemas.microsoft.com/office/drawing/2014/chart" uri="{C3380CC4-5D6E-409C-BE32-E72D297353CC}">
              <c16:uniqueId val="{0000000C-5FB0-45AD-A489-DBB547CEC07A}"/>
            </c:ext>
          </c:extLst>
        </c:ser>
        <c:dLbls>
          <c:showLegendKey val="0"/>
          <c:showVal val="0"/>
          <c:showCatName val="0"/>
          <c:showSerName val="0"/>
          <c:showPercent val="0"/>
          <c:showBubbleSize val="0"/>
          <c:showLeaderLines val="0"/>
        </c:dLbls>
      </c:pie3DChart>
    </c:plotArea>
    <c:legend>
      <c:legendPos val="b"/>
      <c:layout>
        <c:manualLayout>
          <c:xMode val="edge"/>
          <c:yMode val="edge"/>
          <c:x val="0.1769375"/>
          <c:y val="0.745"/>
          <c:w val="0.71360710044377795"/>
          <c:h val="0.227247471941327"/>
        </c:manualLayout>
      </c:layout>
      <c:overlay val="0"/>
      <c:spPr>
        <a:noFill/>
        <a:ln>
          <a:noFill/>
        </a:ln>
      </c:spPr>
      <c:txPr>
        <a:bodyPr/>
        <a:lstStyle/>
        <a:p>
          <a:pPr>
            <a:defRPr sz="1000" b="0" strike="noStrike" spc="-1">
              <a:solidFill>
                <a:srgbClr val="000000"/>
              </a:solidFill>
              <a:latin typeface="Calibri"/>
            </a:defRPr>
          </a:pPr>
          <a:endParaRPr lang="pl-PL"/>
        </a:p>
      </c:txPr>
    </c:legend>
    <c:plotVisOnly val="1"/>
    <c:dispBlanksAs val="gap"/>
    <c:showDLblsOverMax val="1"/>
  </c:chart>
  <c:spPr>
    <a:solidFill>
      <a:srgbClr val="FFFFFF"/>
    </a:solidFill>
    <a:ln w="9360">
      <a:solidFill>
        <a:srgbClr val="D9D9D9"/>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0"/>
      <c:rAngAx val="0"/>
    </c:view3D>
    <c:floor>
      <c:thickness val="0"/>
    </c:floor>
    <c:sideWall>
      <c:thickness val="0"/>
    </c:sideWall>
    <c:backWall>
      <c:thickness val="0"/>
    </c:backWall>
    <c:plotArea>
      <c:layout>
        <c:manualLayout>
          <c:layoutTarget val="inner"/>
          <c:xMode val="edge"/>
          <c:yMode val="edge"/>
          <c:x val="2.0608202830340171E-2"/>
          <c:y val="3.8345122113973042E-2"/>
          <c:w val="0.96980773721221125"/>
          <c:h val="0.70971440010676623"/>
        </c:manualLayout>
      </c:layout>
      <c:pie3DChart>
        <c:varyColors val="1"/>
        <c:ser>
          <c:idx val="0"/>
          <c:order val="0"/>
          <c:tx>
            <c:strRef>
              <c:f>Arkusz1!$B$1</c:f>
              <c:strCache>
                <c:ptCount val="1"/>
                <c:pt idx="0">
                  <c:v>Sprzedaż</c:v>
                </c:pt>
              </c:strCache>
            </c:strRef>
          </c:tx>
          <c:explosion val="11"/>
          <c:dPt>
            <c:idx val="0"/>
            <c:bubble3D val="0"/>
            <c:explosion val="15"/>
            <c:spPr>
              <a:solidFill>
                <a:schemeClr val="accent1">
                  <a:lumMod val="60000"/>
                  <a:lumOff val="40000"/>
                </a:schemeClr>
              </a:solidFill>
            </c:spPr>
            <c:extLst>
              <c:ext xmlns:c16="http://schemas.microsoft.com/office/drawing/2014/chart" uri="{C3380CC4-5D6E-409C-BE32-E72D297353CC}">
                <c16:uniqueId val="{00000001-0119-469A-8038-B018FE1F8AA9}"/>
              </c:ext>
            </c:extLst>
          </c:dPt>
          <c:dPt>
            <c:idx val="1"/>
            <c:bubble3D val="0"/>
            <c:spPr>
              <a:solidFill>
                <a:srgbClr val="92D050"/>
              </a:solidFill>
            </c:spPr>
            <c:extLst>
              <c:ext xmlns:c16="http://schemas.microsoft.com/office/drawing/2014/chart" uri="{C3380CC4-5D6E-409C-BE32-E72D297353CC}">
                <c16:uniqueId val="{00000003-0119-469A-8038-B018FE1F8AA9}"/>
              </c:ext>
            </c:extLst>
          </c:dPt>
          <c:dPt>
            <c:idx val="2"/>
            <c:bubble3D val="0"/>
            <c:spPr>
              <a:solidFill>
                <a:schemeClr val="accent6">
                  <a:lumMod val="75000"/>
                </a:schemeClr>
              </a:solidFill>
            </c:spPr>
            <c:extLst>
              <c:ext xmlns:c16="http://schemas.microsoft.com/office/drawing/2014/chart" uri="{C3380CC4-5D6E-409C-BE32-E72D297353CC}">
                <c16:uniqueId val="{00000005-0119-469A-8038-B018FE1F8AA9}"/>
              </c:ext>
            </c:extLst>
          </c:dPt>
          <c:dPt>
            <c:idx val="3"/>
            <c:bubble3D val="0"/>
            <c:spPr>
              <a:solidFill>
                <a:srgbClr val="002060"/>
              </a:solidFill>
            </c:spPr>
            <c:extLst>
              <c:ext xmlns:c16="http://schemas.microsoft.com/office/drawing/2014/chart" uri="{C3380CC4-5D6E-409C-BE32-E72D297353CC}">
                <c16:uniqueId val="{00000007-0119-469A-8038-B018FE1F8AA9}"/>
              </c:ext>
            </c:extLst>
          </c:dPt>
          <c:dPt>
            <c:idx val="4"/>
            <c:bubble3D val="0"/>
            <c:spPr>
              <a:solidFill>
                <a:srgbClr val="FFC000"/>
              </a:solidFill>
            </c:spPr>
            <c:extLst>
              <c:ext xmlns:c16="http://schemas.microsoft.com/office/drawing/2014/chart" uri="{C3380CC4-5D6E-409C-BE32-E72D297353CC}">
                <c16:uniqueId val="{00000009-0119-469A-8038-B018FE1F8AA9}"/>
              </c:ext>
            </c:extLst>
          </c:dPt>
          <c:dPt>
            <c:idx val="5"/>
            <c:bubble3D val="0"/>
            <c:explosion val="47"/>
            <c:spPr>
              <a:solidFill>
                <a:schemeClr val="accent2">
                  <a:lumMod val="75000"/>
                </a:schemeClr>
              </a:solidFill>
            </c:spPr>
            <c:extLst>
              <c:ext xmlns:c16="http://schemas.microsoft.com/office/drawing/2014/chart" uri="{C3380CC4-5D6E-409C-BE32-E72D297353CC}">
                <c16:uniqueId val="{0000000B-0119-469A-8038-B018FE1F8AA9}"/>
              </c:ext>
            </c:extLst>
          </c:dPt>
          <c:dPt>
            <c:idx val="6"/>
            <c:bubble3D val="0"/>
            <c:explosion val="60"/>
            <c:spPr>
              <a:solidFill>
                <a:srgbClr val="FF0000"/>
              </a:solidFill>
            </c:spPr>
            <c:extLst>
              <c:ext xmlns:c16="http://schemas.microsoft.com/office/drawing/2014/chart" uri="{C3380CC4-5D6E-409C-BE32-E72D297353CC}">
                <c16:uniqueId val="{0000000D-0119-469A-8038-B018FE1F8AA9}"/>
              </c:ext>
            </c:extLst>
          </c:dPt>
          <c:dLbls>
            <c:spPr>
              <a:noFill/>
              <a:ln>
                <a:noFill/>
              </a:ln>
              <a:effectLst/>
            </c:spPr>
            <c:txPr>
              <a:bodyPr/>
              <a:lstStyle/>
              <a:p>
                <a:pPr>
                  <a:defRPr sz="1200" b="1"/>
                </a:pPr>
                <a:endParaRPr lang="pl-PL"/>
              </a:p>
            </c:txPr>
            <c:showLegendKey val="0"/>
            <c:showVal val="1"/>
            <c:showCatName val="0"/>
            <c:showSerName val="0"/>
            <c:showPercent val="1"/>
            <c:showBubbleSize val="0"/>
            <c:showLeaderLines val="1"/>
            <c:extLst>
              <c:ext xmlns:c15="http://schemas.microsoft.com/office/drawing/2012/chart" uri="{CE6537A1-D6FC-4f65-9D91-7224C49458BB}"/>
            </c:extLst>
          </c:dLbls>
          <c:cat>
            <c:strRef>
              <c:f>Arkusz1!$A$2:$A$8</c:f>
              <c:strCache>
                <c:ptCount val="7"/>
                <c:pt idx="0">
                  <c:v>Brak wykryć</c:v>
                </c:pt>
                <c:pt idx="1">
                  <c:v>do 0,1 ug/L</c:v>
                </c:pt>
                <c:pt idx="2">
                  <c:v>do 0,5 ug/L</c:v>
                </c:pt>
                <c:pt idx="3">
                  <c:v>do 1 ug/L</c:v>
                </c:pt>
                <c:pt idx="4">
                  <c:v>powyżej 1 ug/l (A2)</c:v>
                </c:pt>
                <c:pt idx="5">
                  <c:v>powyżej 2,5  ug/l </c:v>
                </c:pt>
                <c:pt idx="6">
                  <c:v>powyżej 5 ug/L</c:v>
                </c:pt>
              </c:strCache>
            </c:strRef>
          </c:cat>
          <c:val>
            <c:numRef>
              <c:f>Arkusz1!$B$2:$B$8</c:f>
              <c:numCache>
                <c:formatCode>General</c:formatCode>
                <c:ptCount val="7"/>
                <c:pt idx="0">
                  <c:v>70</c:v>
                </c:pt>
                <c:pt idx="1">
                  <c:v>44</c:v>
                </c:pt>
                <c:pt idx="2">
                  <c:v>63</c:v>
                </c:pt>
                <c:pt idx="3">
                  <c:v>8</c:v>
                </c:pt>
                <c:pt idx="4">
                  <c:v>8</c:v>
                </c:pt>
                <c:pt idx="5">
                  <c:v>6</c:v>
                </c:pt>
                <c:pt idx="6">
                  <c:v>1</c:v>
                </c:pt>
              </c:numCache>
            </c:numRef>
          </c:val>
          <c:extLst>
            <c:ext xmlns:c16="http://schemas.microsoft.com/office/drawing/2014/chart" uri="{C3380CC4-5D6E-409C-BE32-E72D297353CC}">
              <c16:uniqueId val="{0000000E-0119-469A-8038-B018FE1F8AA9}"/>
            </c:ext>
          </c:extLst>
        </c:ser>
        <c:dLbls>
          <c:showLegendKey val="0"/>
          <c:showVal val="0"/>
          <c:showCatName val="0"/>
          <c:showSerName val="0"/>
          <c:showPercent val="0"/>
          <c:showBubbleSize val="0"/>
          <c:showLeaderLines val="1"/>
        </c:dLbls>
      </c:pie3DChart>
    </c:plotArea>
    <c:legend>
      <c:legendPos val="b"/>
      <c:overlay val="0"/>
      <c:txPr>
        <a:bodyPr/>
        <a:lstStyle/>
        <a:p>
          <a:pPr>
            <a:defRPr sz="1200"/>
          </a:pPr>
          <a:endParaRPr lang="pl-PL"/>
        </a:p>
      </c:txPr>
    </c:legend>
    <c:plotVisOnly val="1"/>
    <c:dispBlanksAs val="zero"/>
    <c:showDLblsOverMax val="0"/>
  </c:chart>
  <c:txPr>
    <a:bodyPr/>
    <a:lstStyle/>
    <a:p>
      <a:pPr>
        <a:defRPr sz="1800"/>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035521432638875E-2"/>
          <c:y val="5.6161063699372911E-2"/>
          <c:w val="0.9169894162232215"/>
          <c:h val="0.83904805112881942"/>
        </c:manualLayout>
      </c:layout>
      <c:barChart>
        <c:barDir val="col"/>
        <c:grouping val="clustered"/>
        <c:varyColors val="0"/>
        <c:ser>
          <c:idx val="1"/>
          <c:order val="0"/>
          <c:spPr>
            <a:solidFill>
              <a:schemeClr val="accent6">
                <a:lumMod val="60000"/>
                <a:lumOff val="40000"/>
              </a:schemeClr>
            </a:solidFill>
            <a:ln>
              <a:noFill/>
            </a:ln>
            <a:effectLst/>
          </c:spPr>
          <c:invertIfNegative val="0"/>
          <c:dLbls>
            <c:dLbl>
              <c:idx val="13"/>
              <c:layout>
                <c:manualLayout>
                  <c:x val="6.5453164865876965E-8"/>
                  <c:y val="-3.382663096965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60-4C38-98F6-D888879B08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2"/>
                </a:solidFill>
                <a:prstDash val="sysDot"/>
              </a:ln>
              <a:effectLst/>
            </c:spPr>
            <c:trendlineType val="linear"/>
            <c:dispRSqr val="0"/>
            <c:dispEq val="0"/>
          </c:trendline>
          <c:cat>
            <c:numRef>
              <c:f>zest3!$H$11:$S$11</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zest3!$H$12:$S$12</c:f>
              <c:numCache>
                <c:formatCode>General</c:formatCode>
                <c:ptCount val="12"/>
                <c:pt idx="0">
                  <c:v>21779</c:v>
                </c:pt>
                <c:pt idx="1">
                  <c:v>21886</c:v>
                </c:pt>
                <c:pt idx="2">
                  <c:v>22204</c:v>
                </c:pt>
                <c:pt idx="3">
                  <c:v>23557</c:v>
                </c:pt>
                <c:pt idx="4">
                  <c:v>24006</c:v>
                </c:pt>
                <c:pt idx="5">
                  <c:v>24463</c:v>
                </c:pt>
                <c:pt idx="6">
                  <c:v>25075</c:v>
                </c:pt>
                <c:pt idx="7">
                  <c:v>23178</c:v>
                </c:pt>
                <c:pt idx="8">
                  <c:v>24281</c:v>
                </c:pt>
                <c:pt idx="9">
                  <c:v>24628</c:v>
                </c:pt>
                <c:pt idx="10">
                  <c:v>26973</c:v>
                </c:pt>
                <c:pt idx="11">
                  <c:v>22320</c:v>
                </c:pt>
              </c:numCache>
            </c:numRef>
          </c:val>
          <c:extLst>
            <c:ext xmlns:c16="http://schemas.microsoft.com/office/drawing/2014/chart" uri="{C3380CC4-5D6E-409C-BE32-E72D297353CC}">
              <c16:uniqueId val="{00000002-4960-4C38-98F6-D888879B0819}"/>
            </c:ext>
          </c:extLst>
        </c:ser>
        <c:dLbls>
          <c:showLegendKey val="0"/>
          <c:showVal val="1"/>
          <c:showCatName val="0"/>
          <c:showSerName val="0"/>
          <c:showPercent val="0"/>
          <c:showBubbleSize val="0"/>
        </c:dLbls>
        <c:gapWidth val="219"/>
        <c:overlap val="-27"/>
        <c:axId val="335749256"/>
        <c:axId val="335747688"/>
      </c:barChart>
      <c:catAx>
        <c:axId val="33574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7688"/>
        <c:crosses val="autoZero"/>
        <c:auto val="1"/>
        <c:lblAlgn val="ctr"/>
        <c:lblOffset val="100"/>
        <c:noMultiLvlLbl val="0"/>
      </c:catAx>
      <c:valAx>
        <c:axId val="335747688"/>
        <c:scaling>
          <c:orientation val="minMax"/>
          <c:max val="28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35749256"/>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824E-4107-476A-B7F6-916B1610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162</Pages>
  <Words>64341</Words>
  <Characters>386048</Characters>
  <Application>Microsoft Office Word</Application>
  <DocSecurity>0</DocSecurity>
  <Lines>3217</Lines>
  <Paragraphs>898</Paragraphs>
  <ScaleCrop>false</ScaleCrop>
  <HeadingPairs>
    <vt:vector size="2" baseType="variant">
      <vt:variant>
        <vt:lpstr>Tytuł</vt:lpstr>
      </vt:variant>
      <vt:variant>
        <vt:i4>1</vt:i4>
      </vt:variant>
    </vt:vector>
  </HeadingPairs>
  <TitlesOfParts>
    <vt:vector size="1" baseType="lpstr">
      <vt:lpstr>KRAJOWY PLAN DZIAŁANIA</vt:lpstr>
    </vt:vector>
  </TitlesOfParts>
  <Company>MRiRW</Company>
  <LinksUpToDate>false</LinksUpToDate>
  <CharactersWithSpaces>449491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KRAJOWY PLAN DZIAŁANIA</dc:title>
  <dc:creator>mmalec</dc:creator>
  <cp:lastModifiedBy>Malec Małgorzata</cp:lastModifiedBy>
  <cp:revision>2</cp:revision>
  <cp:lastPrinted>2024-03-19T10:20:00Z</cp:lastPrinted>
  <dcterms:created xsi:type="dcterms:W3CDTF">2024-05-23T12:17:00Z</dcterms:created>
  <dcterms:modified xsi:type="dcterms:W3CDTF">2024-05-23T12:17:00Z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MRiRW</vt:lpwstr>
  </property>
  <property fmtid="{D5CDD505-2E9C-101B-9397-08002B2CF9AE}" pid="4" name="ContentTypeId">
    <vt:lpwstr>0x010100C5F273A6547D24478A81E97FF08E55B7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