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BBCB" w14:textId="5C1CD332" w:rsidR="00E21259" w:rsidRDefault="00E21259" w:rsidP="00E21259">
      <w:pPr>
        <w:spacing w:after="0" w:line="360" w:lineRule="auto"/>
        <w:rPr>
          <w:rFonts w:ascii="Bookman Old Style" w:hAnsi="Bookman Old Style"/>
          <w:sz w:val="24"/>
          <w:szCs w:val="24"/>
        </w:rPr>
      </w:pPr>
      <w:r>
        <w:rPr>
          <w:rFonts w:ascii="Bookman Old Style" w:hAnsi="Bookman Old Style"/>
          <w:sz w:val="24"/>
          <w:szCs w:val="24"/>
        </w:rPr>
        <w:t>Zespół ds. Reformy Prawa Wykroczeń</w:t>
      </w:r>
    </w:p>
    <w:p w14:paraId="7E2BB80F" w14:textId="05E3FE18" w:rsidR="00E21259" w:rsidRDefault="00E21259" w:rsidP="00E21259">
      <w:pPr>
        <w:spacing w:after="0" w:line="360" w:lineRule="auto"/>
        <w:rPr>
          <w:rFonts w:ascii="Bookman Old Style" w:hAnsi="Bookman Old Style"/>
          <w:sz w:val="24"/>
          <w:szCs w:val="24"/>
        </w:rPr>
      </w:pPr>
      <w:r>
        <w:rPr>
          <w:rFonts w:ascii="Bookman Old Style" w:hAnsi="Bookman Old Style"/>
          <w:sz w:val="24"/>
          <w:szCs w:val="24"/>
        </w:rPr>
        <w:t>Przy Komisji Kodyfikacyjnej Prawa Karnego</w:t>
      </w:r>
    </w:p>
    <w:p w14:paraId="4E9707EF" w14:textId="77777777" w:rsidR="00E21259" w:rsidRDefault="00E21259" w:rsidP="00E21259">
      <w:pPr>
        <w:spacing w:after="0" w:line="360" w:lineRule="auto"/>
        <w:rPr>
          <w:rFonts w:ascii="Bookman Old Style" w:hAnsi="Bookman Old Style"/>
          <w:sz w:val="24"/>
          <w:szCs w:val="24"/>
        </w:rPr>
      </w:pPr>
    </w:p>
    <w:p w14:paraId="2112007A" w14:textId="77777777" w:rsidR="00E21259" w:rsidRPr="00E21259" w:rsidRDefault="00E21259" w:rsidP="00E21259">
      <w:pPr>
        <w:spacing w:after="0" w:line="360" w:lineRule="auto"/>
        <w:rPr>
          <w:rFonts w:ascii="Bookman Old Style" w:hAnsi="Bookman Old Style"/>
          <w:sz w:val="24"/>
          <w:szCs w:val="24"/>
        </w:rPr>
      </w:pPr>
    </w:p>
    <w:p w14:paraId="3E7AC4DF" w14:textId="24290D3E" w:rsidR="00F22F28" w:rsidRPr="00946DEB" w:rsidRDefault="005E4671" w:rsidP="005E4671">
      <w:pPr>
        <w:spacing w:after="0" w:line="360" w:lineRule="auto"/>
        <w:jc w:val="center"/>
        <w:rPr>
          <w:rFonts w:ascii="Bookman Old Style" w:hAnsi="Bookman Old Style"/>
          <w:b/>
          <w:bCs/>
          <w:sz w:val="24"/>
          <w:szCs w:val="24"/>
        </w:rPr>
      </w:pPr>
      <w:r w:rsidRPr="00946DEB">
        <w:rPr>
          <w:rFonts w:ascii="Bookman Old Style" w:hAnsi="Bookman Old Style"/>
          <w:b/>
          <w:bCs/>
          <w:sz w:val="24"/>
          <w:szCs w:val="24"/>
        </w:rPr>
        <w:t>Uzasadnienie projektu nowelizacji Kodeksu wykroczeń oraz</w:t>
      </w:r>
      <w:r w:rsidR="00BA6021">
        <w:rPr>
          <w:rFonts w:ascii="Bookman Old Style" w:hAnsi="Bookman Old Style"/>
          <w:b/>
          <w:bCs/>
          <w:sz w:val="24"/>
          <w:szCs w:val="24"/>
        </w:rPr>
        <w:t xml:space="preserve"> niektórych</w:t>
      </w:r>
      <w:r w:rsidRPr="00946DEB">
        <w:rPr>
          <w:rFonts w:ascii="Bookman Old Style" w:hAnsi="Bookman Old Style"/>
          <w:b/>
          <w:bCs/>
          <w:sz w:val="24"/>
          <w:szCs w:val="24"/>
        </w:rPr>
        <w:t xml:space="preserve"> innych ustaw</w:t>
      </w:r>
    </w:p>
    <w:p w14:paraId="7DB1BB68" w14:textId="3FA2EC6C" w:rsidR="005E4671" w:rsidRPr="00946DEB" w:rsidRDefault="005E4671" w:rsidP="005E4671">
      <w:pPr>
        <w:spacing w:after="0" w:line="360" w:lineRule="auto"/>
        <w:jc w:val="both"/>
        <w:rPr>
          <w:rFonts w:ascii="Bookman Old Style" w:hAnsi="Bookman Old Style"/>
          <w:b/>
          <w:bCs/>
          <w:sz w:val="24"/>
          <w:szCs w:val="24"/>
        </w:rPr>
      </w:pPr>
      <w:r w:rsidRPr="00946DEB">
        <w:rPr>
          <w:rFonts w:ascii="Bookman Old Style" w:hAnsi="Bookman Old Style"/>
          <w:b/>
          <w:bCs/>
          <w:sz w:val="24"/>
          <w:szCs w:val="24"/>
        </w:rPr>
        <w:t>I Wprowadzenie</w:t>
      </w:r>
    </w:p>
    <w:p w14:paraId="175229B5" w14:textId="495C5388" w:rsidR="007E487E" w:rsidRPr="00946DEB" w:rsidRDefault="005E4671" w:rsidP="007E487E">
      <w:pPr>
        <w:spacing w:after="0" w:line="360" w:lineRule="auto"/>
        <w:jc w:val="both"/>
        <w:rPr>
          <w:rFonts w:ascii="Bookman Old Style" w:eastAsia="Times New Roman" w:hAnsi="Bookman Old Style" w:cs="Times New Roman"/>
          <w:kern w:val="0"/>
          <w:sz w:val="24"/>
          <w:szCs w:val="24"/>
          <w:lang w:eastAsia="pl-PL"/>
          <w14:ligatures w14:val="none"/>
        </w:rPr>
      </w:pPr>
      <w:r w:rsidRPr="00946DEB">
        <w:rPr>
          <w:rFonts w:ascii="Bookman Old Style" w:hAnsi="Bookman Old Style"/>
          <w:sz w:val="24"/>
          <w:szCs w:val="24"/>
        </w:rPr>
        <w:tab/>
      </w:r>
    </w:p>
    <w:p w14:paraId="5186DEEA" w14:textId="0495E399" w:rsidR="007E487E" w:rsidRPr="00946DEB" w:rsidRDefault="007E487E" w:rsidP="002E1FFC">
      <w:pPr>
        <w:spacing w:after="0" w:line="360" w:lineRule="auto"/>
        <w:ind w:firstLine="708"/>
        <w:jc w:val="both"/>
        <w:rPr>
          <w:rFonts w:ascii="Bookman Old Style" w:eastAsia="Times New Roman" w:hAnsi="Bookman Old Style" w:cs="Times New Roman"/>
          <w:kern w:val="0"/>
          <w:sz w:val="24"/>
          <w:szCs w:val="24"/>
          <w:lang w:eastAsia="pl-PL"/>
          <w14:ligatures w14:val="none"/>
        </w:rPr>
      </w:pPr>
      <w:r w:rsidRPr="00946DEB">
        <w:rPr>
          <w:rFonts w:ascii="Bookman Old Style" w:eastAsia="Times New Roman" w:hAnsi="Bookman Old Style" w:cs="Times New Roman"/>
          <w:kern w:val="0"/>
          <w:sz w:val="24"/>
          <w:szCs w:val="24"/>
          <w:lang w:eastAsia="pl-PL"/>
          <w14:ligatures w14:val="none"/>
        </w:rPr>
        <w:t xml:space="preserve">Kodeks wykroczeń z  20 maja 1971 r. od momentu swojego uchwalenia nie doczekał się – w  przeciwieństwie do Kodeksu karnego – wielkiej, odrębnej </w:t>
      </w:r>
      <w:proofErr w:type="spellStart"/>
      <w:r w:rsidRPr="00946DEB">
        <w:rPr>
          <w:rFonts w:ascii="Bookman Old Style" w:eastAsia="Times New Roman" w:hAnsi="Bookman Old Style" w:cs="Times New Roman"/>
          <w:kern w:val="0"/>
          <w:sz w:val="24"/>
          <w:szCs w:val="24"/>
          <w:lang w:eastAsia="pl-PL"/>
          <w14:ligatures w14:val="none"/>
        </w:rPr>
        <w:t>rekodyfikacji</w:t>
      </w:r>
      <w:proofErr w:type="spellEnd"/>
      <w:r w:rsidRPr="00946DEB">
        <w:rPr>
          <w:rFonts w:ascii="Bookman Old Style" w:eastAsia="Times New Roman" w:hAnsi="Bookman Old Style" w:cs="Times New Roman"/>
          <w:kern w:val="0"/>
          <w:sz w:val="24"/>
          <w:szCs w:val="24"/>
          <w:lang w:eastAsia="pl-PL"/>
          <w14:ligatures w14:val="none"/>
        </w:rPr>
        <w:t xml:space="preserve"> o  charakterze kompleksowego, nowego aktu normatywnego. Przez ponad pięć  dziesięcioleci funkcjonowania był on natomiast wielokrotnie  nowelizowany cząstkowo. W historii polskiego prawa wykroczeń za przełomowe momenty o  charakterze systemowym (zmieniające fundamenty funkcjonowania tego  działu prawa) uznaje się przede wszystkim reformę ustrojową z 1990 roku (ustawa z 8 czerwca 1990 r.) – która  fundamentalnie zmieniła model orzekania o wykroczeniach, likwidując  dotychczasowy, osadzony w strukturach administracyjnych model kolegiów  i zapoczątkowując proces </w:t>
      </w:r>
      <w:proofErr w:type="spellStart"/>
      <w:r w:rsidRPr="00946DEB">
        <w:rPr>
          <w:rFonts w:ascii="Bookman Old Style" w:eastAsia="Times New Roman" w:hAnsi="Bookman Old Style" w:cs="Times New Roman"/>
          <w:kern w:val="0"/>
          <w:sz w:val="24"/>
          <w:szCs w:val="24"/>
          <w:lang w:eastAsia="pl-PL"/>
          <w14:ligatures w14:val="none"/>
        </w:rPr>
        <w:t>usądowienia</w:t>
      </w:r>
      <w:proofErr w:type="spellEnd"/>
      <w:r w:rsidRPr="00946DEB">
        <w:rPr>
          <w:rFonts w:ascii="Bookman Old Style" w:eastAsia="Times New Roman" w:hAnsi="Bookman Old Style" w:cs="Times New Roman"/>
          <w:kern w:val="0"/>
          <w:sz w:val="24"/>
          <w:szCs w:val="24"/>
          <w:lang w:eastAsia="pl-PL"/>
          <w14:ligatures w14:val="none"/>
        </w:rPr>
        <w:t xml:space="preserve"> prawa wykroczeń (przekazanie  spraw sądom powszechnym). Kolejna duża reforma z 2001 roku (wejście w życie z dniem 17 października  2001 r.) miała związek z opracowaniem odrębnego kodeksu regulującego zasady postępowania w sprawach o wykroczenia. Obie wskazane wyżej nowelizacj</w:t>
      </w:r>
      <w:r w:rsidR="00A456B5" w:rsidRPr="00946DEB">
        <w:rPr>
          <w:rFonts w:ascii="Bookman Old Style" w:eastAsia="Times New Roman" w:hAnsi="Bookman Old Style" w:cs="Times New Roman"/>
          <w:kern w:val="0"/>
          <w:sz w:val="24"/>
          <w:szCs w:val="24"/>
          <w:lang w:eastAsia="pl-PL"/>
          <w14:ligatures w14:val="none"/>
        </w:rPr>
        <w:t>e</w:t>
      </w:r>
      <w:r w:rsidRPr="00946DEB">
        <w:rPr>
          <w:rFonts w:ascii="Bookman Old Style" w:eastAsia="Times New Roman" w:hAnsi="Bookman Old Style" w:cs="Times New Roman"/>
          <w:kern w:val="0"/>
          <w:sz w:val="24"/>
          <w:szCs w:val="24"/>
          <w:lang w:eastAsia="pl-PL"/>
          <w14:ligatures w14:val="none"/>
        </w:rPr>
        <w:t xml:space="preserve"> miały znaczenie przede wszystkim procesowe, choć trzeba przyznać, że wprowadzały one również zmiany w obszarze prawa materialnego, jak choćby ustanowienie górnej granicy kary grzywny w art. 1§1kw na poziomie 5000zł. Jeśli zaś chodzi o ostatnie lata i duże nowelizacje o charakterze horyzontalnym, które w sposób masowy i skoordynowany modyfikowały  siatkę kar, górne granice grzywien czy instytucje części ogólnej  (zbliżając je do standardów kryminalnych), polski ustawodawca działa w  trybie licznych nowelizacji sektorowych</w:t>
      </w:r>
      <w:r w:rsidR="000877C4" w:rsidRPr="00946DEB">
        <w:rPr>
          <w:rFonts w:ascii="Bookman Old Style" w:eastAsia="Times New Roman" w:hAnsi="Bookman Old Style" w:cs="Times New Roman"/>
          <w:kern w:val="0"/>
          <w:sz w:val="24"/>
          <w:szCs w:val="24"/>
          <w:lang w:eastAsia="pl-PL"/>
          <w14:ligatures w14:val="none"/>
        </w:rPr>
        <w:t>, punktowych, które mają charakter kazuistyczny, nie po</w:t>
      </w:r>
      <w:r w:rsidR="00D4191E" w:rsidRPr="00946DEB">
        <w:rPr>
          <w:rFonts w:ascii="Bookman Old Style" w:eastAsia="Times New Roman" w:hAnsi="Bookman Old Style" w:cs="Times New Roman"/>
          <w:kern w:val="0"/>
          <w:sz w:val="24"/>
          <w:szCs w:val="24"/>
          <w:lang w:eastAsia="pl-PL"/>
          <w14:ligatures w14:val="none"/>
        </w:rPr>
        <w:t>d</w:t>
      </w:r>
      <w:r w:rsidR="000877C4" w:rsidRPr="00946DEB">
        <w:rPr>
          <w:rFonts w:ascii="Bookman Old Style" w:eastAsia="Times New Roman" w:hAnsi="Bookman Old Style" w:cs="Times New Roman"/>
          <w:kern w:val="0"/>
          <w:sz w:val="24"/>
          <w:szCs w:val="24"/>
          <w:lang w:eastAsia="pl-PL"/>
          <w14:ligatures w14:val="none"/>
        </w:rPr>
        <w:t>chodzą do problematyki materialnego prawa wykroczeń w sposób systemowy</w:t>
      </w:r>
      <w:r w:rsidRPr="00946DEB">
        <w:rPr>
          <w:rFonts w:ascii="Bookman Old Style" w:eastAsia="Times New Roman" w:hAnsi="Bookman Old Style" w:cs="Times New Roman"/>
          <w:kern w:val="0"/>
          <w:sz w:val="24"/>
          <w:szCs w:val="24"/>
          <w:lang w:eastAsia="pl-PL"/>
          <w14:ligatures w14:val="none"/>
        </w:rPr>
        <w:t>. Ostatnie bardzo istotne</w:t>
      </w:r>
      <w:r w:rsidR="002E1FFC" w:rsidRPr="00946DEB">
        <w:rPr>
          <w:rFonts w:ascii="Bookman Old Style" w:eastAsia="Times New Roman" w:hAnsi="Bookman Old Style" w:cs="Times New Roman"/>
          <w:kern w:val="0"/>
          <w:sz w:val="24"/>
          <w:szCs w:val="24"/>
          <w:lang w:eastAsia="pl-PL"/>
          <w14:ligatures w14:val="none"/>
        </w:rPr>
        <w:t xml:space="preserve"> </w:t>
      </w:r>
      <w:r w:rsidRPr="00946DEB">
        <w:rPr>
          <w:rFonts w:ascii="Bookman Old Style" w:eastAsia="Times New Roman" w:hAnsi="Bookman Old Style" w:cs="Times New Roman"/>
          <w:kern w:val="0"/>
          <w:sz w:val="24"/>
          <w:szCs w:val="24"/>
          <w:lang w:eastAsia="pl-PL"/>
          <w14:ligatures w14:val="none"/>
        </w:rPr>
        <w:t>zmiany dotyczyły m.in.</w:t>
      </w:r>
      <w:r w:rsidR="000877C4" w:rsidRPr="00946DEB">
        <w:rPr>
          <w:rFonts w:ascii="Bookman Old Style" w:eastAsia="Times New Roman" w:hAnsi="Bookman Old Style" w:cs="Times New Roman"/>
          <w:kern w:val="0"/>
          <w:sz w:val="24"/>
          <w:szCs w:val="24"/>
          <w:lang w:eastAsia="pl-PL"/>
          <w14:ligatures w14:val="none"/>
        </w:rPr>
        <w:t xml:space="preserve"> z</w:t>
      </w:r>
      <w:r w:rsidRPr="00946DEB">
        <w:rPr>
          <w:rFonts w:ascii="Bookman Old Style" w:eastAsia="Times New Roman" w:hAnsi="Bookman Old Style" w:cs="Times New Roman"/>
          <w:kern w:val="0"/>
          <w:sz w:val="24"/>
          <w:szCs w:val="24"/>
          <w:lang w:eastAsia="pl-PL"/>
          <w14:ligatures w14:val="none"/>
        </w:rPr>
        <w:t>naczących podwyżek kar</w:t>
      </w:r>
      <w:r w:rsidR="000877C4" w:rsidRPr="00946DEB">
        <w:rPr>
          <w:rFonts w:ascii="Bookman Old Style" w:eastAsia="Times New Roman" w:hAnsi="Bookman Old Style" w:cs="Times New Roman"/>
          <w:kern w:val="0"/>
          <w:sz w:val="24"/>
          <w:szCs w:val="24"/>
          <w:lang w:eastAsia="pl-PL"/>
          <w14:ligatures w14:val="none"/>
        </w:rPr>
        <w:t xml:space="preserve"> grzywny</w:t>
      </w:r>
      <w:r w:rsidRPr="00946DEB">
        <w:rPr>
          <w:rFonts w:ascii="Bookman Old Style" w:eastAsia="Times New Roman" w:hAnsi="Bookman Old Style" w:cs="Times New Roman"/>
          <w:kern w:val="0"/>
          <w:sz w:val="24"/>
          <w:szCs w:val="24"/>
          <w:lang w:eastAsia="pl-PL"/>
          <w14:ligatures w14:val="none"/>
        </w:rPr>
        <w:t xml:space="preserve"> i modyfikacji przepisów (np. w </w:t>
      </w:r>
      <w:r w:rsidRPr="00946DEB">
        <w:rPr>
          <w:rFonts w:ascii="Bookman Old Style" w:eastAsia="Times New Roman" w:hAnsi="Bookman Old Style" w:cs="Times New Roman"/>
          <w:kern w:val="0"/>
          <w:sz w:val="24"/>
          <w:szCs w:val="24"/>
          <w:lang w:eastAsia="pl-PL"/>
          <w14:ligatures w14:val="none"/>
        </w:rPr>
        <w:lastRenderedPageBreak/>
        <w:t>zakresie  bezpieczeństwa pożarowego</w:t>
      </w:r>
      <w:r w:rsidR="000877C4" w:rsidRPr="00946DEB">
        <w:rPr>
          <w:rFonts w:ascii="Bookman Old Style" w:eastAsia="Times New Roman" w:hAnsi="Bookman Old Style" w:cs="Times New Roman"/>
          <w:kern w:val="0"/>
          <w:sz w:val="24"/>
          <w:szCs w:val="24"/>
          <w:lang w:eastAsia="pl-PL"/>
          <w14:ligatures w14:val="none"/>
        </w:rPr>
        <w:t xml:space="preserve"> i bezpieczeństwa w komunikacji</w:t>
      </w:r>
      <w:r w:rsidRPr="00946DEB">
        <w:rPr>
          <w:rFonts w:ascii="Bookman Old Style" w:eastAsia="Times New Roman" w:hAnsi="Bookman Old Style" w:cs="Times New Roman"/>
          <w:kern w:val="0"/>
          <w:sz w:val="24"/>
          <w:szCs w:val="24"/>
          <w:lang w:eastAsia="pl-PL"/>
          <w14:ligatures w14:val="none"/>
        </w:rPr>
        <w:t xml:space="preserve"> na przełomie 2025/2026 roku)</w:t>
      </w:r>
      <w:r w:rsidR="000877C4" w:rsidRPr="00946DEB">
        <w:rPr>
          <w:rFonts w:ascii="Bookman Old Style" w:eastAsia="Times New Roman" w:hAnsi="Bookman Old Style" w:cs="Times New Roman"/>
          <w:kern w:val="0"/>
          <w:sz w:val="24"/>
          <w:szCs w:val="24"/>
          <w:lang w:eastAsia="pl-PL"/>
          <w14:ligatures w14:val="none"/>
        </w:rPr>
        <w:t xml:space="preserve"> ale bez rewizji przepisu art. 1§1kw, czy art. 24§1 kw., r</w:t>
      </w:r>
      <w:r w:rsidRPr="00946DEB">
        <w:rPr>
          <w:rFonts w:ascii="Bookman Old Style" w:eastAsia="Times New Roman" w:hAnsi="Bookman Old Style" w:cs="Times New Roman"/>
          <w:kern w:val="0"/>
          <w:sz w:val="24"/>
          <w:szCs w:val="24"/>
          <w:lang w:eastAsia="pl-PL"/>
          <w14:ligatures w14:val="none"/>
        </w:rPr>
        <w:t>egularnych korekt tzw. czynów przepołowionych (np. podniesienie  progu kradzieży wykroczeniowej</w:t>
      </w:r>
      <w:r w:rsidR="000877C4" w:rsidRPr="00946DEB">
        <w:rPr>
          <w:rFonts w:ascii="Bookman Old Style" w:eastAsia="Times New Roman" w:hAnsi="Bookman Old Style" w:cs="Times New Roman"/>
          <w:kern w:val="0"/>
          <w:sz w:val="24"/>
          <w:szCs w:val="24"/>
          <w:lang w:eastAsia="pl-PL"/>
          <w14:ligatures w14:val="none"/>
        </w:rPr>
        <w:t>, przywłaszczenia, zniszczenia rzeczy</w:t>
      </w:r>
      <w:r w:rsidRPr="00946DEB">
        <w:rPr>
          <w:rFonts w:ascii="Bookman Old Style" w:eastAsia="Times New Roman" w:hAnsi="Bookman Old Style" w:cs="Times New Roman"/>
          <w:kern w:val="0"/>
          <w:sz w:val="24"/>
          <w:szCs w:val="24"/>
          <w:lang w:eastAsia="pl-PL"/>
          <w14:ligatures w14:val="none"/>
        </w:rPr>
        <w:t xml:space="preserve"> do 800 zł).</w:t>
      </w:r>
    </w:p>
    <w:p w14:paraId="4D00FD3B" w14:textId="18A33E53" w:rsidR="007E487E" w:rsidRPr="00946DEB" w:rsidRDefault="008A7CFF" w:rsidP="000877C4">
      <w:pPr>
        <w:spacing w:after="0" w:line="360" w:lineRule="auto"/>
        <w:ind w:firstLine="708"/>
        <w:jc w:val="both"/>
        <w:rPr>
          <w:rFonts w:ascii="Bookman Old Style" w:eastAsia="Times New Roman" w:hAnsi="Bookman Old Style" w:cs="Times New Roman"/>
          <w:kern w:val="0"/>
          <w:sz w:val="24"/>
          <w:szCs w:val="24"/>
          <w:lang w:eastAsia="pl-PL"/>
          <w14:ligatures w14:val="none"/>
        </w:rPr>
      </w:pPr>
      <w:r w:rsidRPr="00946DEB">
        <w:rPr>
          <w:rFonts w:ascii="Bookman Old Style" w:eastAsia="Times New Roman" w:hAnsi="Bookman Old Style" w:cs="Times New Roman"/>
          <w:kern w:val="0"/>
          <w:sz w:val="24"/>
          <w:szCs w:val="24"/>
          <w:lang w:eastAsia="pl-PL"/>
          <w14:ligatures w14:val="none"/>
        </w:rPr>
        <w:t>Przygotowany</w:t>
      </w:r>
      <w:r w:rsidR="007E487E" w:rsidRPr="00946DEB">
        <w:rPr>
          <w:rFonts w:ascii="Bookman Old Style" w:eastAsia="Times New Roman" w:hAnsi="Bookman Old Style" w:cs="Times New Roman"/>
          <w:kern w:val="0"/>
          <w:sz w:val="24"/>
          <w:szCs w:val="24"/>
          <w:lang w:eastAsia="pl-PL"/>
          <w14:ligatures w14:val="none"/>
        </w:rPr>
        <w:t xml:space="preserve"> </w:t>
      </w:r>
      <w:r w:rsidRPr="00946DEB">
        <w:rPr>
          <w:rFonts w:ascii="Bookman Old Style" w:eastAsia="Times New Roman" w:hAnsi="Bookman Old Style" w:cs="Times New Roman"/>
          <w:kern w:val="0"/>
          <w:sz w:val="24"/>
          <w:szCs w:val="24"/>
          <w:lang w:eastAsia="pl-PL"/>
          <w14:ligatures w14:val="none"/>
        </w:rPr>
        <w:t xml:space="preserve">projekt </w:t>
      </w:r>
      <w:r w:rsidR="007E487E" w:rsidRPr="00946DEB">
        <w:rPr>
          <w:rFonts w:ascii="Bookman Old Style" w:eastAsia="Times New Roman" w:hAnsi="Bookman Old Style" w:cs="Times New Roman"/>
          <w:kern w:val="0"/>
          <w:sz w:val="24"/>
          <w:szCs w:val="24"/>
          <w:lang w:eastAsia="pl-PL"/>
          <w14:ligatures w14:val="none"/>
        </w:rPr>
        <w:t>ustaw</w:t>
      </w:r>
      <w:r w:rsidRPr="00946DEB">
        <w:rPr>
          <w:rFonts w:ascii="Bookman Old Style" w:eastAsia="Times New Roman" w:hAnsi="Bookman Old Style" w:cs="Times New Roman"/>
          <w:kern w:val="0"/>
          <w:sz w:val="24"/>
          <w:szCs w:val="24"/>
          <w:lang w:eastAsia="pl-PL"/>
          <w14:ligatures w14:val="none"/>
        </w:rPr>
        <w:t>y</w:t>
      </w:r>
      <w:r w:rsidR="007E487E" w:rsidRPr="00946DEB">
        <w:rPr>
          <w:rFonts w:ascii="Bookman Old Style" w:eastAsia="Times New Roman" w:hAnsi="Bookman Old Style" w:cs="Times New Roman"/>
          <w:kern w:val="0"/>
          <w:sz w:val="24"/>
          <w:szCs w:val="24"/>
          <w:lang w:eastAsia="pl-PL"/>
          <w14:ligatures w14:val="none"/>
        </w:rPr>
        <w:t xml:space="preserve"> o zmianie ustawy – Kodeks wykroczeń oraz  niektórych innych ustaw stanowi kompleksową odpowiedź na potrzebę</w:t>
      </w:r>
      <w:r w:rsidR="000877C4" w:rsidRPr="00946DEB">
        <w:rPr>
          <w:rFonts w:ascii="Bookman Old Style" w:eastAsia="Times New Roman" w:hAnsi="Bookman Old Style" w:cs="Times New Roman"/>
          <w:kern w:val="0"/>
          <w:sz w:val="24"/>
          <w:szCs w:val="24"/>
          <w:lang w:eastAsia="pl-PL"/>
          <w14:ligatures w14:val="none"/>
        </w:rPr>
        <w:t xml:space="preserve"> uadekwatnienia,</w:t>
      </w:r>
      <w:r w:rsidR="007E487E" w:rsidRPr="00946DEB">
        <w:rPr>
          <w:rFonts w:ascii="Bookman Old Style" w:eastAsia="Times New Roman" w:hAnsi="Bookman Old Style" w:cs="Times New Roman"/>
          <w:kern w:val="0"/>
          <w:sz w:val="24"/>
          <w:szCs w:val="24"/>
          <w:lang w:eastAsia="pl-PL"/>
          <w14:ligatures w14:val="none"/>
        </w:rPr>
        <w:t> </w:t>
      </w:r>
      <w:r w:rsidR="000877C4" w:rsidRPr="00946DEB">
        <w:rPr>
          <w:rFonts w:ascii="Bookman Old Style" w:eastAsia="Times New Roman" w:hAnsi="Bookman Old Style" w:cs="Times New Roman"/>
          <w:kern w:val="0"/>
          <w:sz w:val="24"/>
          <w:szCs w:val="24"/>
          <w:lang w:eastAsia="pl-PL"/>
          <w14:ligatures w14:val="none"/>
        </w:rPr>
        <w:t>unowocześnienia</w:t>
      </w:r>
      <w:r w:rsidR="007E487E" w:rsidRPr="00946DEB">
        <w:rPr>
          <w:rFonts w:ascii="Bookman Old Style" w:eastAsia="Times New Roman" w:hAnsi="Bookman Old Style" w:cs="Times New Roman"/>
          <w:kern w:val="0"/>
          <w:sz w:val="24"/>
          <w:szCs w:val="24"/>
          <w:lang w:eastAsia="pl-PL"/>
          <w14:ligatures w14:val="none"/>
        </w:rPr>
        <w:t xml:space="preserve"> i dostosowania polskiego prawa wykroczeń do aktualnych  realiów społeczno-gospodarczych oraz wyzwań z zakresu bezpieczeństwa  publicznego.</w:t>
      </w:r>
      <w:r w:rsidR="000877C4" w:rsidRPr="00946DEB">
        <w:rPr>
          <w:rFonts w:ascii="Bookman Old Style" w:eastAsia="Times New Roman" w:hAnsi="Bookman Old Style" w:cs="Times New Roman"/>
          <w:kern w:val="0"/>
          <w:sz w:val="24"/>
          <w:szCs w:val="24"/>
          <w:lang w:eastAsia="pl-PL"/>
          <w14:ligatures w14:val="none"/>
        </w:rPr>
        <w:t xml:space="preserve"> </w:t>
      </w:r>
      <w:r w:rsidR="007E487E" w:rsidRPr="00946DEB">
        <w:rPr>
          <w:rFonts w:ascii="Bookman Old Style" w:eastAsia="Times New Roman" w:hAnsi="Bookman Old Style" w:cs="Times New Roman"/>
          <w:kern w:val="0"/>
          <w:sz w:val="24"/>
          <w:szCs w:val="24"/>
          <w:lang w:eastAsia="pl-PL"/>
          <w14:ligatures w14:val="none"/>
        </w:rPr>
        <w:t>Konieczność podjęcia prac legislacyjnych wynika z dynamicznych zmian  zachodzących w obrocie gospodarczym, technologicznym oraz w sferze  życia społecznego, które ujawniają potrzebę usprawnienia mechanizmów  reakcji państwa na naruszenia porządku prawnego o mniejszym kalibrze.  Główne cele projektu skupiają się na poprawie spójności systemu  odpowiedzialności za wykroczenia, uszczelnieniu przepisów w kluczowych  obszarach życia publicznego i gospodarczego oraz zapewnieniu większej  adekwatności i efektywności stosowanych środków reagowania.</w:t>
      </w:r>
      <w:r w:rsidR="000877C4" w:rsidRPr="00946DEB">
        <w:rPr>
          <w:rFonts w:ascii="Bookman Old Style" w:eastAsia="Times New Roman" w:hAnsi="Bookman Old Style" w:cs="Times New Roman"/>
          <w:kern w:val="0"/>
          <w:sz w:val="24"/>
          <w:szCs w:val="24"/>
          <w:lang w:eastAsia="pl-PL"/>
          <w14:ligatures w14:val="none"/>
        </w:rPr>
        <w:t xml:space="preserve"> </w:t>
      </w:r>
      <w:r w:rsidR="007E487E" w:rsidRPr="00946DEB">
        <w:rPr>
          <w:rFonts w:ascii="Bookman Old Style" w:eastAsia="Times New Roman" w:hAnsi="Bookman Old Style" w:cs="Times New Roman"/>
          <w:kern w:val="0"/>
          <w:sz w:val="24"/>
          <w:szCs w:val="24"/>
          <w:lang w:eastAsia="pl-PL"/>
          <w14:ligatures w14:val="none"/>
        </w:rPr>
        <w:t>Przedstawiana nowelizacja wpisuje się w długofalową strategię  racjonalizacji polityki karnej, dbając o to, by system prawny  dysponował nowoczesnymi i proporcjonalnymi narzędziami oddziaływania,  które skutecznie odpowiadają na współczesne wyzwania bez naruszania  standardów państwa prawa.</w:t>
      </w:r>
    </w:p>
    <w:p w14:paraId="27549BE1" w14:textId="2C00CB24" w:rsidR="005E4671" w:rsidRPr="00946DEB" w:rsidRDefault="005B7956"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 xml:space="preserve">Oczywiście trzeba mieć świadomość tego, że </w:t>
      </w:r>
      <w:r w:rsidR="005C0AE2" w:rsidRPr="00946DEB">
        <w:rPr>
          <w:rFonts w:ascii="Bookman Old Style" w:hAnsi="Bookman Old Style"/>
          <w:sz w:val="24"/>
          <w:szCs w:val="24"/>
        </w:rPr>
        <w:t xml:space="preserve">prawo wykroczeń jako całość wymaga gruntownej reformy i </w:t>
      </w:r>
      <w:r w:rsidR="00FA434B" w:rsidRPr="00946DEB">
        <w:rPr>
          <w:rFonts w:ascii="Bookman Old Style" w:hAnsi="Bookman Old Style"/>
          <w:sz w:val="24"/>
          <w:szCs w:val="24"/>
        </w:rPr>
        <w:t>przygotowania</w:t>
      </w:r>
      <w:r w:rsidR="005C0AE2" w:rsidRPr="00946DEB">
        <w:rPr>
          <w:rFonts w:ascii="Bookman Old Style" w:hAnsi="Bookman Old Style"/>
          <w:sz w:val="24"/>
          <w:szCs w:val="24"/>
        </w:rPr>
        <w:t xml:space="preserve"> nowego Kodeksu wykroczeń. Jest to </w:t>
      </w:r>
      <w:r w:rsidR="005F1C2B" w:rsidRPr="00946DEB">
        <w:rPr>
          <w:rFonts w:ascii="Bookman Old Style" w:hAnsi="Bookman Old Style"/>
          <w:sz w:val="24"/>
          <w:szCs w:val="24"/>
        </w:rPr>
        <w:t xml:space="preserve">zadanie wymagające opracowania ogólnych założeń takiej reformy, </w:t>
      </w:r>
      <w:r w:rsidR="00233161" w:rsidRPr="00946DEB">
        <w:rPr>
          <w:rFonts w:ascii="Bookman Old Style" w:hAnsi="Bookman Old Style"/>
          <w:sz w:val="24"/>
          <w:szCs w:val="24"/>
        </w:rPr>
        <w:t>opowiedzenia się za określoną relacją między wykroczeniami a deliktami administracyjnymi</w:t>
      </w:r>
      <w:r w:rsidR="00BC208A" w:rsidRPr="00946DEB">
        <w:rPr>
          <w:rFonts w:ascii="Bookman Old Style" w:hAnsi="Bookman Old Style"/>
          <w:sz w:val="24"/>
          <w:szCs w:val="24"/>
        </w:rPr>
        <w:t>, wreszcie opracowania nowego Kodeksu, nad którym prace są kontynuowane. Jednakże stan obecny tejże regulacji wymaga już teraz w kilku obszarach pilnych zmian, z którymi nie wolno dłużej zwlekać.</w:t>
      </w:r>
    </w:p>
    <w:p w14:paraId="175598DC" w14:textId="77672D2F" w:rsidR="005E4671" w:rsidRPr="00946DEB" w:rsidRDefault="005E4671" w:rsidP="005E4671">
      <w:pPr>
        <w:spacing w:after="0" w:line="360" w:lineRule="auto"/>
        <w:jc w:val="both"/>
        <w:rPr>
          <w:rFonts w:ascii="Bookman Old Style" w:hAnsi="Bookman Old Style"/>
          <w:b/>
          <w:bCs/>
          <w:sz w:val="24"/>
          <w:szCs w:val="24"/>
        </w:rPr>
      </w:pPr>
      <w:r w:rsidRPr="00946DEB">
        <w:rPr>
          <w:rFonts w:ascii="Bookman Old Style" w:hAnsi="Bookman Old Style"/>
          <w:b/>
          <w:bCs/>
          <w:sz w:val="24"/>
          <w:szCs w:val="24"/>
        </w:rPr>
        <w:t>II Uzasadnienie zmian proponowanych w Kodeksie wykroczeń</w:t>
      </w:r>
    </w:p>
    <w:p w14:paraId="6590E18C" w14:textId="443DAAF1" w:rsidR="00F54E5D" w:rsidRPr="00946DEB" w:rsidRDefault="00F54E5D" w:rsidP="005E4671">
      <w:pPr>
        <w:spacing w:after="0" w:line="360" w:lineRule="auto"/>
        <w:jc w:val="both"/>
        <w:rPr>
          <w:rFonts w:ascii="Bookman Old Style" w:hAnsi="Bookman Old Style"/>
          <w:sz w:val="24"/>
          <w:szCs w:val="24"/>
        </w:rPr>
      </w:pPr>
      <w:r w:rsidRPr="00946DEB">
        <w:rPr>
          <w:rFonts w:ascii="Bookman Old Style" w:hAnsi="Bookman Old Style"/>
          <w:b/>
          <w:bCs/>
          <w:sz w:val="24"/>
          <w:szCs w:val="24"/>
        </w:rPr>
        <w:tab/>
      </w:r>
      <w:r w:rsidRPr="00946DEB">
        <w:rPr>
          <w:rFonts w:ascii="Bookman Old Style" w:hAnsi="Bookman Old Style"/>
          <w:sz w:val="24"/>
          <w:szCs w:val="24"/>
        </w:rPr>
        <w:t>W przedstawionym projekcie nowelizacji Kodeksu wykroczeń podstawow</w:t>
      </w:r>
      <w:r w:rsidR="00932704" w:rsidRPr="00946DEB">
        <w:rPr>
          <w:rFonts w:ascii="Bookman Old Style" w:hAnsi="Bookman Old Style"/>
          <w:sz w:val="24"/>
          <w:szCs w:val="24"/>
        </w:rPr>
        <w:t>ą zmianą jest podwyższenie w art. 1§1kw górnej granicy grzywny do 30.000zł.</w:t>
      </w:r>
      <w:r w:rsidR="00ED3517" w:rsidRPr="00946DEB">
        <w:rPr>
          <w:rFonts w:ascii="Bookman Old Style" w:hAnsi="Bookman Old Style"/>
          <w:sz w:val="24"/>
          <w:szCs w:val="24"/>
        </w:rPr>
        <w:t xml:space="preserve">. </w:t>
      </w:r>
      <w:r w:rsidR="00932704" w:rsidRPr="00946DEB">
        <w:rPr>
          <w:rFonts w:ascii="Bookman Old Style" w:hAnsi="Bookman Old Style"/>
          <w:sz w:val="24"/>
          <w:szCs w:val="24"/>
        </w:rPr>
        <w:t>Za takim rozwiązaniem przemawiają następujące argumenty.</w:t>
      </w:r>
    </w:p>
    <w:p w14:paraId="1CC5C5CF" w14:textId="3F579904" w:rsidR="00DE27A7" w:rsidRPr="00946DEB" w:rsidRDefault="00620811"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lastRenderedPageBreak/>
        <w:t>N</w:t>
      </w:r>
      <w:r w:rsidR="00DE27A7" w:rsidRPr="00946DEB">
        <w:rPr>
          <w:rFonts w:ascii="Bookman Old Style" w:hAnsi="Bookman Old Style" w:cs="Times New Roman"/>
          <w:sz w:val="24"/>
          <w:szCs w:val="24"/>
        </w:rPr>
        <w:t>iekwestionowanym faktem jest to, że od 20 listopada 1995r. podstawowa, górna granica grzywny</w:t>
      </w:r>
      <w:r w:rsidR="00ED3517" w:rsidRPr="00946DEB">
        <w:rPr>
          <w:rFonts w:ascii="Bookman Old Style" w:hAnsi="Bookman Old Style" w:cs="Times New Roman"/>
          <w:sz w:val="24"/>
          <w:szCs w:val="24"/>
        </w:rPr>
        <w:t xml:space="preserve"> w art. 1§1kw</w:t>
      </w:r>
      <w:r w:rsidR="00DE27A7" w:rsidRPr="00946DEB">
        <w:rPr>
          <w:rFonts w:ascii="Bookman Old Style" w:hAnsi="Bookman Old Style" w:cs="Times New Roman"/>
          <w:sz w:val="24"/>
          <w:szCs w:val="24"/>
        </w:rPr>
        <w:t xml:space="preserve"> nie była zmieniana i wynosi wciąż 5000zł. Tymczasem w tym okresie wzrastała zarówno inflacja, jak i minimalne oraz średnie wynagrodzenie miesięczne. Wzrost płacy minimalnej oraz wynagrodzenia średniego przedstawia poniższe zestawienie.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6"/>
        <w:gridCol w:w="1865"/>
        <w:gridCol w:w="2590"/>
        <w:gridCol w:w="3416"/>
      </w:tblGrid>
      <w:tr w:rsidR="00DE27A7" w:rsidRPr="00946DEB" w14:paraId="34A93A4C" w14:textId="77777777" w:rsidTr="00AF6C46">
        <w:trPr>
          <w:tblHeader/>
          <w:tblCellSpacing w:w="15" w:type="dxa"/>
        </w:trPr>
        <w:tc>
          <w:tcPr>
            <w:tcW w:w="0" w:type="auto"/>
            <w:vAlign w:val="center"/>
            <w:hideMark/>
          </w:tcPr>
          <w:p w14:paraId="6A426AA4" w14:textId="77777777" w:rsidR="00DE27A7" w:rsidRPr="00946DEB" w:rsidRDefault="00DE27A7" w:rsidP="00AF6C46">
            <w:pPr>
              <w:spacing w:after="0" w:line="360" w:lineRule="auto"/>
              <w:jc w:val="both"/>
              <w:rPr>
                <w:rFonts w:ascii="Bookman Old Style" w:eastAsia="Times New Roman" w:hAnsi="Bookman Old Style" w:cs="Times New Roman"/>
                <w:b/>
                <w:bCs/>
                <w:sz w:val="24"/>
                <w:szCs w:val="24"/>
                <w:lang w:eastAsia="pl-PL"/>
              </w:rPr>
            </w:pPr>
            <w:r w:rsidRPr="00946DEB">
              <w:rPr>
                <w:rFonts w:ascii="Bookman Old Style" w:eastAsia="Times New Roman" w:hAnsi="Bookman Old Style" w:cs="Times New Roman"/>
                <w:b/>
                <w:bCs/>
                <w:sz w:val="24"/>
                <w:szCs w:val="24"/>
                <w:lang w:eastAsia="pl-PL"/>
              </w:rPr>
              <w:t>Rok</w:t>
            </w:r>
          </w:p>
        </w:tc>
        <w:tc>
          <w:tcPr>
            <w:tcW w:w="0" w:type="auto"/>
            <w:vAlign w:val="center"/>
            <w:hideMark/>
          </w:tcPr>
          <w:p w14:paraId="11020A9F" w14:textId="77777777" w:rsidR="00DE27A7" w:rsidRPr="00946DEB" w:rsidRDefault="00DE27A7" w:rsidP="00AF6C46">
            <w:pPr>
              <w:spacing w:after="0" w:line="360" w:lineRule="auto"/>
              <w:jc w:val="both"/>
              <w:rPr>
                <w:rFonts w:ascii="Bookman Old Style" w:eastAsia="Times New Roman" w:hAnsi="Bookman Old Style" w:cs="Times New Roman"/>
                <w:b/>
                <w:bCs/>
                <w:sz w:val="24"/>
                <w:szCs w:val="24"/>
                <w:lang w:eastAsia="pl-PL"/>
              </w:rPr>
            </w:pPr>
            <w:r w:rsidRPr="00946DEB">
              <w:rPr>
                <w:rFonts w:ascii="Bookman Old Style" w:eastAsia="Times New Roman" w:hAnsi="Bookman Old Style" w:cs="Times New Roman"/>
                <w:b/>
                <w:bCs/>
                <w:sz w:val="24"/>
                <w:szCs w:val="24"/>
                <w:lang w:eastAsia="pl-PL"/>
              </w:rPr>
              <w:t>Inflacja %</w:t>
            </w:r>
          </w:p>
        </w:tc>
        <w:tc>
          <w:tcPr>
            <w:tcW w:w="0" w:type="auto"/>
            <w:vAlign w:val="center"/>
            <w:hideMark/>
          </w:tcPr>
          <w:p w14:paraId="165E1E9A" w14:textId="77777777" w:rsidR="00DE27A7" w:rsidRPr="00946DEB" w:rsidRDefault="00DE27A7" w:rsidP="00AF6C46">
            <w:pPr>
              <w:spacing w:after="0" w:line="360" w:lineRule="auto"/>
              <w:jc w:val="both"/>
              <w:rPr>
                <w:rFonts w:ascii="Bookman Old Style" w:eastAsia="Times New Roman" w:hAnsi="Bookman Old Style" w:cs="Times New Roman"/>
                <w:b/>
                <w:bCs/>
                <w:sz w:val="24"/>
                <w:szCs w:val="24"/>
                <w:lang w:eastAsia="pl-PL"/>
              </w:rPr>
            </w:pPr>
            <w:r w:rsidRPr="00946DEB">
              <w:rPr>
                <w:rFonts w:ascii="Bookman Old Style" w:eastAsia="Times New Roman" w:hAnsi="Bookman Old Style" w:cs="Times New Roman"/>
                <w:b/>
                <w:bCs/>
                <w:sz w:val="24"/>
                <w:szCs w:val="24"/>
                <w:lang w:eastAsia="pl-PL"/>
              </w:rPr>
              <w:t>Płaca minimalna (zł)</w:t>
            </w:r>
          </w:p>
        </w:tc>
        <w:tc>
          <w:tcPr>
            <w:tcW w:w="0" w:type="auto"/>
            <w:vAlign w:val="center"/>
            <w:hideMark/>
          </w:tcPr>
          <w:p w14:paraId="33C8AD33" w14:textId="77777777" w:rsidR="00DE27A7" w:rsidRPr="00946DEB" w:rsidRDefault="00DE27A7" w:rsidP="00AF6C46">
            <w:pPr>
              <w:spacing w:after="0" w:line="360" w:lineRule="auto"/>
              <w:jc w:val="both"/>
              <w:rPr>
                <w:rFonts w:ascii="Bookman Old Style" w:eastAsia="Times New Roman" w:hAnsi="Bookman Old Style" w:cs="Times New Roman"/>
                <w:b/>
                <w:bCs/>
                <w:sz w:val="24"/>
                <w:szCs w:val="24"/>
                <w:lang w:eastAsia="pl-PL"/>
              </w:rPr>
            </w:pPr>
            <w:r w:rsidRPr="00946DEB">
              <w:rPr>
                <w:rFonts w:ascii="Bookman Old Style" w:eastAsia="Times New Roman" w:hAnsi="Bookman Old Style" w:cs="Times New Roman"/>
                <w:b/>
                <w:bCs/>
                <w:sz w:val="24"/>
                <w:szCs w:val="24"/>
                <w:lang w:eastAsia="pl-PL"/>
              </w:rPr>
              <w:t>Średnie wynagrodzenie (zł)</w:t>
            </w:r>
          </w:p>
        </w:tc>
      </w:tr>
      <w:tr w:rsidR="00DE27A7" w:rsidRPr="00946DEB" w14:paraId="7F317753" w14:textId="77777777" w:rsidTr="00AF6C46">
        <w:trPr>
          <w:tblCellSpacing w:w="15" w:type="dxa"/>
        </w:trPr>
        <w:tc>
          <w:tcPr>
            <w:tcW w:w="0" w:type="auto"/>
            <w:vAlign w:val="center"/>
            <w:hideMark/>
          </w:tcPr>
          <w:p w14:paraId="5B2E34F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1995</w:t>
            </w:r>
          </w:p>
        </w:tc>
        <w:tc>
          <w:tcPr>
            <w:tcW w:w="0" w:type="auto"/>
            <w:vAlign w:val="center"/>
            <w:hideMark/>
          </w:tcPr>
          <w:p w14:paraId="16B40E1B"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27,8</w:t>
            </w:r>
          </w:p>
        </w:tc>
        <w:tc>
          <w:tcPr>
            <w:tcW w:w="0" w:type="auto"/>
            <w:vAlign w:val="center"/>
            <w:hideMark/>
          </w:tcPr>
          <w:p w14:paraId="148DD1C4"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260</w:t>
            </w:r>
          </w:p>
        </w:tc>
        <w:tc>
          <w:tcPr>
            <w:tcW w:w="0" w:type="auto"/>
            <w:vAlign w:val="center"/>
            <w:hideMark/>
          </w:tcPr>
          <w:p w14:paraId="1FB5094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702</w:t>
            </w:r>
          </w:p>
        </w:tc>
      </w:tr>
      <w:tr w:rsidR="00DE27A7" w:rsidRPr="00946DEB" w14:paraId="5F4FC436" w14:textId="77777777" w:rsidTr="00AF6C46">
        <w:trPr>
          <w:tblCellSpacing w:w="15" w:type="dxa"/>
        </w:trPr>
        <w:tc>
          <w:tcPr>
            <w:tcW w:w="0" w:type="auto"/>
            <w:vAlign w:val="center"/>
            <w:hideMark/>
          </w:tcPr>
          <w:p w14:paraId="27BBB47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1996</w:t>
            </w:r>
          </w:p>
        </w:tc>
        <w:tc>
          <w:tcPr>
            <w:tcW w:w="0" w:type="auto"/>
            <w:vAlign w:val="center"/>
            <w:hideMark/>
          </w:tcPr>
          <w:p w14:paraId="6708440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w:t>
            </w:r>
          </w:p>
        </w:tc>
        <w:tc>
          <w:tcPr>
            <w:tcW w:w="0" w:type="auto"/>
            <w:vAlign w:val="center"/>
            <w:hideMark/>
          </w:tcPr>
          <w:p w14:paraId="43269CDB"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325</w:t>
            </w:r>
          </w:p>
        </w:tc>
        <w:tc>
          <w:tcPr>
            <w:tcW w:w="0" w:type="auto"/>
            <w:vAlign w:val="center"/>
            <w:hideMark/>
          </w:tcPr>
          <w:p w14:paraId="3B5C4F0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873</w:t>
            </w:r>
          </w:p>
        </w:tc>
      </w:tr>
      <w:tr w:rsidR="00DE27A7" w:rsidRPr="00946DEB" w14:paraId="55C476E6" w14:textId="77777777" w:rsidTr="00AF6C46">
        <w:trPr>
          <w:tblCellSpacing w:w="15" w:type="dxa"/>
        </w:trPr>
        <w:tc>
          <w:tcPr>
            <w:tcW w:w="0" w:type="auto"/>
            <w:vAlign w:val="center"/>
            <w:hideMark/>
          </w:tcPr>
          <w:p w14:paraId="1227263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1997</w:t>
            </w:r>
          </w:p>
        </w:tc>
        <w:tc>
          <w:tcPr>
            <w:tcW w:w="0" w:type="auto"/>
            <w:vAlign w:val="center"/>
            <w:hideMark/>
          </w:tcPr>
          <w:p w14:paraId="02F189E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14,9</w:t>
            </w:r>
          </w:p>
        </w:tc>
        <w:tc>
          <w:tcPr>
            <w:tcW w:w="0" w:type="auto"/>
            <w:vAlign w:val="center"/>
            <w:hideMark/>
          </w:tcPr>
          <w:p w14:paraId="074379A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450</w:t>
            </w:r>
          </w:p>
        </w:tc>
        <w:tc>
          <w:tcPr>
            <w:tcW w:w="0" w:type="auto"/>
            <w:vAlign w:val="center"/>
            <w:hideMark/>
          </w:tcPr>
          <w:p w14:paraId="429E80E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1062</w:t>
            </w:r>
          </w:p>
        </w:tc>
      </w:tr>
      <w:tr w:rsidR="00DE27A7" w:rsidRPr="00946DEB" w14:paraId="547EEA5C" w14:textId="77777777" w:rsidTr="00AF6C46">
        <w:trPr>
          <w:tblCellSpacing w:w="15" w:type="dxa"/>
        </w:trPr>
        <w:tc>
          <w:tcPr>
            <w:tcW w:w="0" w:type="auto"/>
            <w:vAlign w:val="center"/>
            <w:hideMark/>
          </w:tcPr>
          <w:p w14:paraId="6D1247AB"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1998</w:t>
            </w:r>
          </w:p>
        </w:tc>
        <w:tc>
          <w:tcPr>
            <w:tcW w:w="0" w:type="auto"/>
            <w:vAlign w:val="center"/>
            <w:hideMark/>
          </w:tcPr>
          <w:p w14:paraId="71545D7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11,8</w:t>
            </w:r>
          </w:p>
        </w:tc>
        <w:tc>
          <w:tcPr>
            <w:tcW w:w="0" w:type="auto"/>
            <w:vAlign w:val="center"/>
            <w:hideMark/>
          </w:tcPr>
          <w:p w14:paraId="4C9258E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500</w:t>
            </w:r>
          </w:p>
        </w:tc>
        <w:tc>
          <w:tcPr>
            <w:tcW w:w="0" w:type="auto"/>
            <w:vAlign w:val="center"/>
            <w:hideMark/>
          </w:tcPr>
          <w:p w14:paraId="2569521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1239</w:t>
            </w:r>
          </w:p>
        </w:tc>
      </w:tr>
      <w:tr w:rsidR="00DE27A7" w:rsidRPr="00946DEB" w14:paraId="419D5507" w14:textId="77777777" w:rsidTr="00AF6C46">
        <w:trPr>
          <w:tblCellSpacing w:w="15" w:type="dxa"/>
        </w:trPr>
        <w:tc>
          <w:tcPr>
            <w:tcW w:w="0" w:type="auto"/>
            <w:vAlign w:val="center"/>
            <w:hideMark/>
          </w:tcPr>
          <w:p w14:paraId="23F1B97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1999</w:t>
            </w:r>
          </w:p>
        </w:tc>
        <w:tc>
          <w:tcPr>
            <w:tcW w:w="0" w:type="auto"/>
            <w:vAlign w:val="center"/>
            <w:hideMark/>
          </w:tcPr>
          <w:p w14:paraId="0B65EA1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7,3</w:t>
            </w:r>
          </w:p>
        </w:tc>
        <w:tc>
          <w:tcPr>
            <w:tcW w:w="0" w:type="auto"/>
            <w:vAlign w:val="center"/>
            <w:hideMark/>
          </w:tcPr>
          <w:p w14:paraId="5FD273F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650</w:t>
            </w:r>
          </w:p>
        </w:tc>
        <w:tc>
          <w:tcPr>
            <w:tcW w:w="0" w:type="auto"/>
            <w:vAlign w:val="center"/>
            <w:hideMark/>
          </w:tcPr>
          <w:p w14:paraId="27B764A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1706</w:t>
            </w:r>
          </w:p>
        </w:tc>
      </w:tr>
      <w:tr w:rsidR="00DE27A7" w:rsidRPr="00946DEB" w14:paraId="7E2E76BF" w14:textId="77777777" w:rsidTr="00AF6C46">
        <w:trPr>
          <w:tblCellSpacing w:w="15" w:type="dxa"/>
        </w:trPr>
        <w:tc>
          <w:tcPr>
            <w:tcW w:w="0" w:type="auto"/>
            <w:vAlign w:val="center"/>
            <w:hideMark/>
          </w:tcPr>
          <w:p w14:paraId="4BD3B8C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2000</w:t>
            </w:r>
          </w:p>
        </w:tc>
        <w:tc>
          <w:tcPr>
            <w:tcW w:w="0" w:type="auto"/>
            <w:vAlign w:val="center"/>
            <w:hideMark/>
          </w:tcPr>
          <w:p w14:paraId="1464457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10,1</w:t>
            </w:r>
          </w:p>
        </w:tc>
        <w:tc>
          <w:tcPr>
            <w:tcW w:w="0" w:type="auto"/>
            <w:vAlign w:val="center"/>
            <w:hideMark/>
          </w:tcPr>
          <w:p w14:paraId="65CACA2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700</w:t>
            </w:r>
          </w:p>
        </w:tc>
        <w:tc>
          <w:tcPr>
            <w:tcW w:w="0" w:type="auto"/>
            <w:vAlign w:val="center"/>
            <w:hideMark/>
          </w:tcPr>
          <w:p w14:paraId="2FB998F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1924</w:t>
            </w:r>
          </w:p>
        </w:tc>
      </w:tr>
      <w:tr w:rsidR="00DE27A7" w:rsidRPr="00946DEB" w14:paraId="127E6F07" w14:textId="77777777" w:rsidTr="00AF6C46">
        <w:trPr>
          <w:tblCellSpacing w:w="15" w:type="dxa"/>
        </w:trPr>
        <w:tc>
          <w:tcPr>
            <w:tcW w:w="0" w:type="auto"/>
            <w:vAlign w:val="center"/>
            <w:hideMark/>
          </w:tcPr>
          <w:p w14:paraId="578E8BF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2001</w:t>
            </w:r>
          </w:p>
        </w:tc>
        <w:tc>
          <w:tcPr>
            <w:tcW w:w="0" w:type="auto"/>
            <w:vAlign w:val="center"/>
            <w:hideMark/>
          </w:tcPr>
          <w:p w14:paraId="129CC2C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5,5</w:t>
            </w:r>
          </w:p>
        </w:tc>
        <w:tc>
          <w:tcPr>
            <w:tcW w:w="0" w:type="auto"/>
            <w:vAlign w:val="center"/>
            <w:hideMark/>
          </w:tcPr>
          <w:p w14:paraId="22E8EE5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760</w:t>
            </w:r>
          </w:p>
        </w:tc>
        <w:tc>
          <w:tcPr>
            <w:tcW w:w="0" w:type="auto"/>
            <w:vAlign w:val="center"/>
            <w:hideMark/>
          </w:tcPr>
          <w:p w14:paraId="5D0B385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2061</w:t>
            </w:r>
          </w:p>
        </w:tc>
      </w:tr>
      <w:tr w:rsidR="00DE27A7" w:rsidRPr="00946DEB" w14:paraId="3C36907C" w14:textId="77777777" w:rsidTr="00AF6C46">
        <w:trPr>
          <w:tblCellSpacing w:w="15" w:type="dxa"/>
        </w:trPr>
        <w:tc>
          <w:tcPr>
            <w:tcW w:w="0" w:type="auto"/>
            <w:vAlign w:val="center"/>
            <w:hideMark/>
          </w:tcPr>
          <w:p w14:paraId="1776233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2002</w:t>
            </w:r>
          </w:p>
        </w:tc>
        <w:tc>
          <w:tcPr>
            <w:tcW w:w="0" w:type="auto"/>
            <w:vAlign w:val="center"/>
            <w:hideMark/>
          </w:tcPr>
          <w:p w14:paraId="2A315C8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1,9</w:t>
            </w:r>
          </w:p>
        </w:tc>
        <w:tc>
          <w:tcPr>
            <w:tcW w:w="0" w:type="auto"/>
            <w:vAlign w:val="center"/>
            <w:hideMark/>
          </w:tcPr>
          <w:p w14:paraId="42B8852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760</w:t>
            </w:r>
          </w:p>
        </w:tc>
        <w:tc>
          <w:tcPr>
            <w:tcW w:w="0" w:type="auto"/>
            <w:vAlign w:val="center"/>
            <w:hideMark/>
          </w:tcPr>
          <w:p w14:paraId="3BDA2E7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2133</w:t>
            </w:r>
          </w:p>
        </w:tc>
      </w:tr>
      <w:tr w:rsidR="00DE27A7" w:rsidRPr="00946DEB" w14:paraId="317C1CCF" w14:textId="77777777" w:rsidTr="00AF6C46">
        <w:trPr>
          <w:tblCellSpacing w:w="15" w:type="dxa"/>
        </w:trPr>
        <w:tc>
          <w:tcPr>
            <w:tcW w:w="0" w:type="auto"/>
            <w:vAlign w:val="center"/>
            <w:hideMark/>
          </w:tcPr>
          <w:p w14:paraId="1451B06D"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2003</w:t>
            </w:r>
          </w:p>
        </w:tc>
        <w:tc>
          <w:tcPr>
            <w:tcW w:w="0" w:type="auto"/>
            <w:vAlign w:val="center"/>
            <w:hideMark/>
          </w:tcPr>
          <w:p w14:paraId="1CEA151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0,8</w:t>
            </w:r>
          </w:p>
        </w:tc>
        <w:tc>
          <w:tcPr>
            <w:tcW w:w="0" w:type="auto"/>
            <w:vAlign w:val="center"/>
            <w:hideMark/>
          </w:tcPr>
          <w:p w14:paraId="5B382F34"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800</w:t>
            </w:r>
          </w:p>
        </w:tc>
        <w:tc>
          <w:tcPr>
            <w:tcW w:w="0" w:type="auto"/>
            <w:vAlign w:val="center"/>
            <w:hideMark/>
          </w:tcPr>
          <w:p w14:paraId="1577D6E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2201</w:t>
            </w:r>
          </w:p>
        </w:tc>
      </w:tr>
      <w:tr w:rsidR="00DE27A7" w:rsidRPr="00946DEB" w14:paraId="0562F60E" w14:textId="77777777" w:rsidTr="00AF6C46">
        <w:trPr>
          <w:tblCellSpacing w:w="15" w:type="dxa"/>
        </w:trPr>
        <w:tc>
          <w:tcPr>
            <w:tcW w:w="0" w:type="auto"/>
            <w:vAlign w:val="center"/>
            <w:hideMark/>
          </w:tcPr>
          <w:p w14:paraId="0169F03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2004</w:t>
            </w:r>
          </w:p>
        </w:tc>
        <w:tc>
          <w:tcPr>
            <w:tcW w:w="0" w:type="auto"/>
            <w:vAlign w:val="center"/>
            <w:hideMark/>
          </w:tcPr>
          <w:p w14:paraId="58313E9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3,5</w:t>
            </w:r>
          </w:p>
        </w:tc>
        <w:tc>
          <w:tcPr>
            <w:tcW w:w="0" w:type="auto"/>
            <w:vAlign w:val="center"/>
            <w:hideMark/>
          </w:tcPr>
          <w:p w14:paraId="743B84D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824</w:t>
            </w:r>
          </w:p>
        </w:tc>
        <w:tc>
          <w:tcPr>
            <w:tcW w:w="0" w:type="auto"/>
            <w:vAlign w:val="center"/>
            <w:hideMark/>
          </w:tcPr>
          <w:p w14:paraId="2A6525AC"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2289</w:t>
            </w:r>
          </w:p>
        </w:tc>
      </w:tr>
      <w:tr w:rsidR="00DE27A7" w:rsidRPr="00946DEB" w14:paraId="02CED0E7" w14:textId="77777777" w:rsidTr="00AF6C46">
        <w:trPr>
          <w:tblCellSpacing w:w="15" w:type="dxa"/>
        </w:trPr>
        <w:tc>
          <w:tcPr>
            <w:tcW w:w="0" w:type="auto"/>
            <w:vAlign w:val="center"/>
            <w:hideMark/>
          </w:tcPr>
          <w:p w14:paraId="40861DE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2005</w:t>
            </w:r>
          </w:p>
        </w:tc>
        <w:tc>
          <w:tcPr>
            <w:tcW w:w="0" w:type="auto"/>
            <w:vAlign w:val="center"/>
            <w:hideMark/>
          </w:tcPr>
          <w:p w14:paraId="7435DDD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2,1</w:t>
            </w:r>
          </w:p>
        </w:tc>
        <w:tc>
          <w:tcPr>
            <w:tcW w:w="0" w:type="auto"/>
            <w:vAlign w:val="center"/>
            <w:hideMark/>
          </w:tcPr>
          <w:p w14:paraId="518C606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849</w:t>
            </w:r>
          </w:p>
        </w:tc>
        <w:tc>
          <w:tcPr>
            <w:tcW w:w="0" w:type="auto"/>
            <w:vAlign w:val="center"/>
            <w:hideMark/>
          </w:tcPr>
          <w:p w14:paraId="115B9E2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2380</w:t>
            </w:r>
          </w:p>
        </w:tc>
      </w:tr>
      <w:tr w:rsidR="00DE27A7" w:rsidRPr="00946DEB" w14:paraId="3B6D9D14" w14:textId="77777777" w:rsidTr="00AF6C46">
        <w:trPr>
          <w:tblCellSpacing w:w="15" w:type="dxa"/>
        </w:trPr>
        <w:tc>
          <w:tcPr>
            <w:tcW w:w="0" w:type="auto"/>
            <w:vAlign w:val="center"/>
            <w:hideMark/>
          </w:tcPr>
          <w:p w14:paraId="5330F12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2006</w:t>
            </w:r>
          </w:p>
        </w:tc>
        <w:tc>
          <w:tcPr>
            <w:tcW w:w="0" w:type="auto"/>
            <w:vAlign w:val="center"/>
            <w:hideMark/>
          </w:tcPr>
          <w:p w14:paraId="179F563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1,0</w:t>
            </w:r>
          </w:p>
        </w:tc>
        <w:tc>
          <w:tcPr>
            <w:tcW w:w="0" w:type="auto"/>
            <w:vAlign w:val="center"/>
            <w:hideMark/>
          </w:tcPr>
          <w:p w14:paraId="56BB0A3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899</w:t>
            </w:r>
          </w:p>
        </w:tc>
        <w:tc>
          <w:tcPr>
            <w:tcW w:w="0" w:type="auto"/>
            <w:vAlign w:val="center"/>
            <w:hideMark/>
          </w:tcPr>
          <w:p w14:paraId="6083CD7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2477</w:t>
            </w:r>
          </w:p>
        </w:tc>
      </w:tr>
      <w:tr w:rsidR="00DE27A7" w:rsidRPr="00946DEB" w14:paraId="558E60FF" w14:textId="77777777" w:rsidTr="00AF6C46">
        <w:trPr>
          <w:tblCellSpacing w:w="15" w:type="dxa"/>
        </w:trPr>
        <w:tc>
          <w:tcPr>
            <w:tcW w:w="0" w:type="auto"/>
            <w:vAlign w:val="center"/>
            <w:hideMark/>
          </w:tcPr>
          <w:p w14:paraId="772FDC1B"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2007</w:t>
            </w:r>
          </w:p>
        </w:tc>
        <w:tc>
          <w:tcPr>
            <w:tcW w:w="0" w:type="auto"/>
            <w:vAlign w:val="center"/>
            <w:hideMark/>
          </w:tcPr>
          <w:p w14:paraId="021C01D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2,5</w:t>
            </w:r>
          </w:p>
        </w:tc>
        <w:tc>
          <w:tcPr>
            <w:tcW w:w="0" w:type="auto"/>
            <w:vAlign w:val="center"/>
            <w:hideMark/>
          </w:tcPr>
          <w:p w14:paraId="077EEBF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936</w:t>
            </w:r>
          </w:p>
        </w:tc>
        <w:tc>
          <w:tcPr>
            <w:tcW w:w="0" w:type="auto"/>
            <w:vAlign w:val="center"/>
            <w:hideMark/>
          </w:tcPr>
          <w:p w14:paraId="2B2F6DA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2691</w:t>
            </w:r>
          </w:p>
        </w:tc>
      </w:tr>
      <w:tr w:rsidR="00DE27A7" w:rsidRPr="00946DEB" w14:paraId="475E7E47" w14:textId="77777777" w:rsidTr="00AF6C46">
        <w:trPr>
          <w:tblCellSpacing w:w="15" w:type="dxa"/>
        </w:trPr>
        <w:tc>
          <w:tcPr>
            <w:tcW w:w="0" w:type="auto"/>
            <w:vAlign w:val="center"/>
            <w:hideMark/>
          </w:tcPr>
          <w:p w14:paraId="522BF03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2008</w:t>
            </w:r>
          </w:p>
        </w:tc>
        <w:tc>
          <w:tcPr>
            <w:tcW w:w="0" w:type="auto"/>
            <w:vAlign w:val="center"/>
            <w:hideMark/>
          </w:tcPr>
          <w:p w14:paraId="7AAB3A6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4,2</w:t>
            </w:r>
          </w:p>
        </w:tc>
        <w:tc>
          <w:tcPr>
            <w:tcW w:w="0" w:type="auto"/>
            <w:vAlign w:val="center"/>
            <w:hideMark/>
          </w:tcPr>
          <w:p w14:paraId="15EC8C1D"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1126</w:t>
            </w:r>
          </w:p>
        </w:tc>
        <w:tc>
          <w:tcPr>
            <w:tcW w:w="0" w:type="auto"/>
            <w:vAlign w:val="center"/>
            <w:hideMark/>
          </w:tcPr>
          <w:p w14:paraId="2EC7F06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2943</w:t>
            </w:r>
          </w:p>
        </w:tc>
      </w:tr>
      <w:tr w:rsidR="00DE27A7" w:rsidRPr="00946DEB" w14:paraId="707E31FC" w14:textId="77777777" w:rsidTr="00AF6C46">
        <w:trPr>
          <w:tblCellSpacing w:w="15" w:type="dxa"/>
        </w:trPr>
        <w:tc>
          <w:tcPr>
            <w:tcW w:w="0" w:type="auto"/>
            <w:vAlign w:val="center"/>
            <w:hideMark/>
          </w:tcPr>
          <w:p w14:paraId="0F1F41FD"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2009</w:t>
            </w:r>
          </w:p>
        </w:tc>
        <w:tc>
          <w:tcPr>
            <w:tcW w:w="0" w:type="auto"/>
            <w:vAlign w:val="center"/>
            <w:hideMark/>
          </w:tcPr>
          <w:p w14:paraId="3D33325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3,5</w:t>
            </w:r>
          </w:p>
        </w:tc>
        <w:tc>
          <w:tcPr>
            <w:tcW w:w="0" w:type="auto"/>
            <w:vAlign w:val="center"/>
            <w:hideMark/>
          </w:tcPr>
          <w:p w14:paraId="7020277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1276</w:t>
            </w:r>
          </w:p>
        </w:tc>
        <w:tc>
          <w:tcPr>
            <w:tcW w:w="0" w:type="auto"/>
            <w:vAlign w:val="center"/>
            <w:hideMark/>
          </w:tcPr>
          <w:p w14:paraId="1C97394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3103</w:t>
            </w:r>
          </w:p>
        </w:tc>
      </w:tr>
      <w:tr w:rsidR="00DE27A7" w:rsidRPr="00946DEB" w14:paraId="56821E89" w14:textId="77777777" w:rsidTr="00AF6C46">
        <w:trPr>
          <w:tblCellSpacing w:w="15" w:type="dxa"/>
        </w:trPr>
        <w:tc>
          <w:tcPr>
            <w:tcW w:w="0" w:type="auto"/>
            <w:vAlign w:val="center"/>
            <w:hideMark/>
          </w:tcPr>
          <w:p w14:paraId="345089C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2010</w:t>
            </w:r>
          </w:p>
        </w:tc>
        <w:tc>
          <w:tcPr>
            <w:tcW w:w="0" w:type="auto"/>
            <w:vAlign w:val="center"/>
            <w:hideMark/>
          </w:tcPr>
          <w:p w14:paraId="10C2939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2,6</w:t>
            </w:r>
          </w:p>
        </w:tc>
        <w:tc>
          <w:tcPr>
            <w:tcW w:w="0" w:type="auto"/>
            <w:vAlign w:val="center"/>
            <w:hideMark/>
          </w:tcPr>
          <w:p w14:paraId="13A53B8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1317</w:t>
            </w:r>
          </w:p>
        </w:tc>
        <w:tc>
          <w:tcPr>
            <w:tcW w:w="0" w:type="auto"/>
            <w:vAlign w:val="center"/>
            <w:hideMark/>
          </w:tcPr>
          <w:p w14:paraId="44E9C04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3225</w:t>
            </w:r>
          </w:p>
        </w:tc>
      </w:tr>
      <w:tr w:rsidR="00DE27A7" w:rsidRPr="00946DEB" w14:paraId="418785CF" w14:textId="77777777" w:rsidTr="00AF6C46">
        <w:trPr>
          <w:tblCellSpacing w:w="15" w:type="dxa"/>
        </w:trPr>
        <w:tc>
          <w:tcPr>
            <w:tcW w:w="0" w:type="auto"/>
            <w:vAlign w:val="center"/>
            <w:hideMark/>
          </w:tcPr>
          <w:p w14:paraId="58DA573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2011</w:t>
            </w:r>
          </w:p>
        </w:tc>
        <w:tc>
          <w:tcPr>
            <w:tcW w:w="0" w:type="auto"/>
            <w:vAlign w:val="center"/>
            <w:hideMark/>
          </w:tcPr>
          <w:p w14:paraId="4B4FE27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4,3</w:t>
            </w:r>
          </w:p>
        </w:tc>
        <w:tc>
          <w:tcPr>
            <w:tcW w:w="0" w:type="auto"/>
            <w:vAlign w:val="center"/>
            <w:hideMark/>
          </w:tcPr>
          <w:p w14:paraId="52AEFB9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1386</w:t>
            </w:r>
          </w:p>
        </w:tc>
        <w:tc>
          <w:tcPr>
            <w:tcW w:w="0" w:type="auto"/>
            <w:vAlign w:val="center"/>
            <w:hideMark/>
          </w:tcPr>
          <w:p w14:paraId="1DF7ABD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3400</w:t>
            </w:r>
          </w:p>
        </w:tc>
      </w:tr>
      <w:tr w:rsidR="00DE27A7" w:rsidRPr="00946DEB" w14:paraId="52820EBB" w14:textId="77777777" w:rsidTr="00AF6C46">
        <w:trPr>
          <w:tblCellSpacing w:w="15" w:type="dxa"/>
        </w:trPr>
        <w:tc>
          <w:tcPr>
            <w:tcW w:w="0" w:type="auto"/>
            <w:vAlign w:val="center"/>
            <w:hideMark/>
          </w:tcPr>
          <w:p w14:paraId="07252CF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2012</w:t>
            </w:r>
          </w:p>
        </w:tc>
        <w:tc>
          <w:tcPr>
            <w:tcW w:w="0" w:type="auto"/>
            <w:vAlign w:val="center"/>
            <w:hideMark/>
          </w:tcPr>
          <w:p w14:paraId="383AE69C"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3,7</w:t>
            </w:r>
          </w:p>
        </w:tc>
        <w:tc>
          <w:tcPr>
            <w:tcW w:w="0" w:type="auto"/>
            <w:vAlign w:val="center"/>
            <w:hideMark/>
          </w:tcPr>
          <w:p w14:paraId="46ADB13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1500</w:t>
            </w:r>
          </w:p>
        </w:tc>
        <w:tc>
          <w:tcPr>
            <w:tcW w:w="0" w:type="auto"/>
            <w:vAlign w:val="center"/>
            <w:hideMark/>
          </w:tcPr>
          <w:p w14:paraId="1074237C"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3521</w:t>
            </w:r>
          </w:p>
        </w:tc>
      </w:tr>
      <w:tr w:rsidR="00DE27A7" w:rsidRPr="00946DEB" w14:paraId="5386FA11" w14:textId="77777777" w:rsidTr="00AF6C46">
        <w:trPr>
          <w:tblCellSpacing w:w="15" w:type="dxa"/>
        </w:trPr>
        <w:tc>
          <w:tcPr>
            <w:tcW w:w="0" w:type="auto"/>
            <w:vAlign w:val="center"/>
            <w:hideMark/>
          </w:tcPr>
          <w:p w14:paraId="627C0F1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2013</w:t>
            </w:r>
          </w:p>
        </w:tc>
        <w:tc>
          <w:tcPr>
            <w:tcW w:w="0" w:type="auto"/>
            <w:vAlign w:val="center"/>
            <w:hideMark/>
          </w:tcPr>
          <w:p w14:paraId="4C5C12E4"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0,9</w:t>
            </w:r>
          </w:p>
        </w:tc>
        <w:tc>
          <w:tcPr>
            <w:tcW w:w="0" w:type="auto"/>
            <w:vAlign w:val="center"/>
            <w:hideMark/>
          </w:tcPr>
          <w:p w14:paraId="034D826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1600</w:t>
            </w:r>
          </w:p>
        </w:tc>
        <w:tc>
          <w:tcPr>
            <w:tcW w:w="0" w:type="auto"/>
            <w:vAlign w:val="center"/>
            <w:hideMark/>
          </w:tcPr>
          <w:p w14:paraId="4F8F9D0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3650</w:t>
            </w:r>
          </w:p>
        </w:tc>
      </w:tr>
      <w:tr w:rsidR="00DE27A7" w:rsidRPr="00946DEB" w14:paraId="003AD8FB" w14:textId="77777777" w:rsidTr="00AF6C46">
        <w:trPr>
          <w:tblCellSpacing w:w="15" w:type="dxa"/>
        </w:trPr>
        <w:tc>
          <w:tcPr>
            <w:tcW w:w="0" w:type="auto"/>
            <w:vAlign w:val="center"/>
            <w:hideMark/>
          </w:tcPr>
          <w:p w14:paraId="7C3452B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2014</w:t>
            </w:r>
          </w:p>
        </w:tc>
        <w:tc>
          <w:tcPr>
            <w:tcW w:w="0" w:type="auto"/>
            <w:vAlign w:val="center"/>
            <w:hideMark/>
          </w:tcPr>
          <w:p w14:paraId="7E55151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0,0</w:t>
            </w:r>
          </w:p>
        </w:tc>
        <w:tc>
          <w:tcPr>
            <w:tcW w:w="0" w:type="auto"/>
            <w:vAlign w:val="center"/>
            <w:hideMark/>
          </w:tcPr>
          <w:p w14:paraId="2116BD3E"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1680</w:t>
            </w:r>
          </w:p>
        </w:tc>
        <w:tc>
          <w:tcPr>
            <w:tcW w:w="0" w:type="auto"/>
            <w:vAlign w:val="center"/>
            <w:hideMark/>
          </w:tcPr>
          <w:p w14:paraId="0066BBA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3783</w:t>
            </w:r>
          </w:p>
        </w:tc>
      </w:tr>
      <w:tr w:rsidR="00DE27A7" w:rsidRPr="00946DEB" w14:paraId="054EB4D8" w14:textId="77777777" w:rsidTr="00AF6C46">
        <w:trPr>
          <w:tblCellSpacing w:w="15" w:type="dxa"/>
        </w:trPr>
        <w:tc>
          <w:tcPr>
            <w:tcW w:w="0" w:type="auto"/>
            <w:vAlign w:val="center"/>
            <w:hideMark/>
          </w:tcPr>
          <w:p w14:paraId="6CA2D5B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2015</w:t>
            </w:r>
          </w:p>
        </w:tc>
        <w:tc>
          <w:tcPr>
            <w:tcW w:w="0" w:type="auto"/>
            <w:vAlign w:val="center"/>
            <w:hideMark/>
          </w:tcPr>
          <w:p w14:paraId="3DED04F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-0,9</w:t>
            </w:r>
          </w:p>
        </w:tc>
        <w:tc>
          <w:tcPr>
            <w:tcW w:w="0" w:type="auto"/>
            <w:vAlign w:val="center"/>
            <w:hideMark/>
          </w:tcPr>
          <w:p w14:paraId="48E3461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1750</w:t>
            </w:r>
          </w:p>
        </w:tc>
        <w:tc>
          <w:tcPr>
            <w:tcW w:w="0" w:type="auto"/>
            <w:vAlign w:val="center"/>
            <w:hideMark/>
          </w:tcPr>
          <w:p w14:paraId="52042D6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3899</w:t>
            </w:r>
          </w:p>
        </w:tc>
      </w:tr>
      <w:tr w:rsidR="00DE27A7" w:rsidRPr="00946DEB" w14:paraId="343D74E8" w14:textId="77777777" w:rsidTr="00AF6C46">
        <w:trPr>
          <w:tblCellSpacing w:w="15" w:type="dxa"/>
        </w:trPr>
        <w:tc>
          <w:tcPr>
            <w:tcW w:w="0" w:type="auto"/>
            <w:vAlign w:val="center"/>
            <w:hideMark/>
          </w:tcPr>
          <w:p w14:paraId="377C6F94"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2016</w:t>
            </w:r>
          </w:p>
        </w:tc>
        <w:tc>
          <w:tcPr>
            <w:tcW w:w="0" w:type="auto"/>
            <w:vAlign w:val="center"/>
            <w:hideMark/>
          </w:tcPr>
          <w:p w14:paraId="3BD14194"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-0,6</w:t>
            </w:r>
          </w:p>
        </w:tc>
        <w:tc>
          <w:tcPr>
            <w:tcW w:w="0" w:type="auto"/>
            <w:vAlign w:val="center"/>
            <w:hideMark/>
          </w:tcPr>
          <w:p w14:paraId="65CDA92C"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1850</w:t>
            </w:r>
          </w:p>
        </w:tc>
        <w:tc>
          <w:tcPr>
            <w:tcW w:w="0" w:type="auto"/>
            <w:vAlign w:val="center"/>
            <w:hideMark/>
          </w:tcPr>
          <w:p w14:paraId="1DDFF81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4047</w:t>
            </w:r>
          </w:p>
        </w:tc>
      </w:tr>
      <w:tr w:rsidR="00DE27A7" w:rsidRPr="00946DEB" w14:paraId="2CD9974D" w14:textId="77777777" w:rsidTr="00AF6C46">
        <w:trPr>
          <w:tblCellSpacing w:w="15" w:type="dxa"/>
        </w:trPr>
        <w:tc>
          <w:tcPr>
            <w:tcW w:w="0" w:type="auto"/>
            <w:vAlign w:val="center"/>
            <w:hideMark/>
          </w:tcPr>
          <w:p w14:paraId="34BAA6F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2017</w:t>
            </w:r>
          </w:p>
        </w:tc>
        <w:tc>
          <w:tcPr>
            <w:tcW w:w="0" w:type="auto"/>
            <w:vAlign w:val="center"/>
            <w:hideMark/>
          </w:tcPr>
          <w:p w14:paraId="77A55FB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w:t>
            </w:r>
          </w:p>
        </w:tc>
        <w:tc>
          <w:tcPr>
            <w:tcW w:w="0" w:type="auto"/>
            <w:vAlign w:val="center"/>
            <w:hideMark/>
          </w:tcPr>
          <w:p w14:paraId="1E571DCC"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2000</w:t>
            </w:r>
          </w:p>
        </w:tc>
        <w:tc>
          <w:tcPr>
            <w:tcW w:w="0" w:type="auto"/>
            <w:vAlign w:val="center"/>
            <w:hideMark/>
          </w:tcPr>
          <w:p w14:paraId="0F1ED4E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4271</w:t>
            </w:r>
          </w:p>
        </w:tc>
      </w:tr>
      <w:tr w:rsidR="00DE27A7" w:rsidRPr="00946DEB" w14:paraId="6C6C21DE" w14:textId="77777777" w:rsidTr="00AF6C46">
        <w:trPr>
          <w:tblCellSpacing w:w="15" w:type="dxa"/>
        </w:trPr>
        <w:tc>
          <w:tcPr>
            <w:tcW w:w="0" w:type="auto"/>
            <w:vAlign w:val="center"/>
            <w:hideMark/>
          </w:tcPr>
          <w:p w14:paraId="328E3D7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lastRenderedPageBreak/>
              <w:t>2018</w:t>
            </w:r>
          </w:p>
        </w:tc>
        <w:tc>
          <w:tcPr>
            <w:tcW w:w="0" w:type="auto"/>
            <w:vAlign w:val="center"/>
            <w:hideMark/>
          </w:tcPr>
          <w:p w14:paraId="15D8C59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1,6</w:t>
            </w:r>
          </w:p>
        </w:tc>
        <w:tc>
          <w:tcPr>
            <w:tcW w:w="0" w:type="auto"/>
            <w:vAlign w:val="center"/>
            <w:hideMark/>
          </w:tcPr>
          <w:p w14:paraId="381FFC28"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2100</w:t>
            </w:r>
          </w:p>
        </w:tc>
        <w:tc>
          <w:tcPr>
            <w:tcW w:w="0" w:type="auto"/>
            <w:vAlign w:val="center"/>
            <w:hideMark/>
          </w:tcPr>
          <w:p w14:paraId="3E19520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4585</w:t>
            </w:r>
          </w:p>
        </w:tc>
      </w:tr>
      <w:tr w:rsidR="00DE27A7" w:rsidRPr="00946DEB" w14:paraId="6C5A1FAE" w14:textId="77777777" w:rsidTr="00AF6C46">
        <w:trPr>
          <w:tblCellSpacing w:w="15" w:type="dxa"/>
        </w:trPr>
        <w:tc>
          <w:tcPr>
            <w:tcW w:w="0" w:type="auto"/>
            <w:vAlign w:val="center"/>
            <w:hideMark/>
          </w:tcPr>
          <w:p w14:paraId="0B5C274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2019</w:t>
            </w:r>
          </w:p>
        </w:tc>
        <w:tc>
          <w:tcPr>
            <w:tcW w:w="0" w:type="auto"/>
            <w:vAlign w:val="center"/>
            <w:hideMark/>
          </w:tcPr>
          <w:p w14:paraId="695AA7C7"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2,3</w:t>
            </w:r>
          </w:p>
        </w:tc>
        <w:tc>
          <w:tcPr>
            <w:tcW w:w="0" w:type="auto"/>
            <w:vAlign w:val="center"/>
            <w:hideMark/>
          </w:tcPr>
          <w:p w14:paraId="55E35BD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2250</w:t>
            </w:r>
          </w:p>
        </w:tc>
        <w:tc>
          <w:tcPr>
            <w:tcW w:w="0" w:type="auto"/>
            <w:vAlign w:val="center"/>
            <w:hideMark/>
          </w:tcPr>
          <w:p w14:paraId="0E479CE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4918</w:t>
            </w:r>
          </w:p>
        </w:tc>
      </w:tr>
      <w:tr w:rsidR="00DE27A7" w:rsidRPr="00946DEB" w14:paraId="0CA76F4D" w14:textId="77777777" w:rsidTr="00AF6C46">
        <w:trPr>
          <w:tblCellSpacing w:w="15" w:type="dxa"/>
        </w:trPr>
        <w:tc>
          <w:tcPr>
            <w:tcW w:w="0" w:type="auto"/>
            <w:vAlign w:val="center"/>
            <w:hideMark/>
          </w:tcPr>
          <w:p w14:paraId="587E3C0A"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2020</w:t>
            </w:r>
          </w:p>
        </w:tc>
        <w:tc>
          <w:tcPr>
            <w:tcW w:w="0" w:type="auto"/>
            <w:vAlign w:val="center"/>
            <w:hideMark/>
          </w:tcPr>
          <w:p w14:paraId="7DD21FC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3,4</w:t>
            </w:r>
          </w:p>
        </w:tc>
        <w:tc>
          <w:tcPr>
            <w:tcW w:w="0" w:type="auto"/>
            <w:vAlign w:val="center"/>
            <w:hideMark/>
          </w:tcPr>
          <w:p w14:paraId="0119EE7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2600</w:t>
            </w:r>
          </w:p>
        </w:tc>
        <w:tc>
          <w:tcPr>
            <w:tcW w:w="0" w:type="auto"/>
            <w:vAlign w:val="center"/>
            <w:hideMark/>
          </w:tcPr>
          <w:p w14:paraId="5ADDDE5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5167</w:t>
            </w:r>
          </w:p>
        </w:tc>
      </w:tr>
      <w:tr w:rsidR="00DE27A7" w:rsidRPr="00946DEB" w14:paraId="3D996CA8" w14:textId="77777777" w:rsidTr="00AF6C46">
        <w:trPr>
          <w:tblCellSpacing w:w="15" w:type="dxa"/>
        </w:trPr>
        <w:tc>
          <w:tcPr>
            <w:tcW w:w="0" w:type="auto"/>
            <w:vAlign w:val="center"/>
            <w:hideMark/>
          </w:tcPr>
          <w:p w14:paraId="0E6584B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2021</w:t>
            </w:r>
          </w:p>
        </w:tc>
        <w:tc>
          <w:tcPr>
            <w:tcW w:w="0" w:type="auto"/>
            <w:vAlign w:val="center"/>
            <w:hideMark/>
          </w:tcPr>
          <w:p w14:paraId="67A011C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5,1</w:t>
            </w:r>
          </w:p>
        </w:tc>
        <w:tc>
          <w:tcPr>
            <w:tcW w:w="0" w:type="auto"/>
            <w:vAlign w:val="center"/>
            <w:hideMark/>
          </w:tcPr>
          <w:p w14:paraId="02D5ED5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2800</w:t>
            </w:r>
          </w:p>
        </w:tc>
        <w:tc>
          <w:tcPr>
            <w:tcW w:w="0" w:type="auto"/>
            <w:vAlign w:val="center"/>
            <w:hideMark/>
          </w:tcPr>
          <w:p w14:paraId="63FEB603"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5663</w:t>
            </w:r>
          </w:p>
        </w:tc>
      </w:tr>
      <w:tr w:rsidR="00DE27A7" w:rsidRPr="00946DEB" w14:paraId="1EC10479" w14:textId="77777777" w:rsidTr="00AF6C46">
        <w:trPr>
          <w:tblCellSpacing w:w="15" w:type="dxa"/>
        </w:trPr>
        <w:tc>
          <w:tcPr>
            <w:tcW w:w="0" w:type="auto"/>
            <w:vAlign w:val="center"/>
            <w:hideMark/>
          </w:tcPr>
          <w:p w14:paraId="41EA322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2022</w:t>
            </w:r>
          </w:p>
        </w:tc>
        <w:tc>
          <w:tcPr>
            <w:tcW w:w="0" w:type="auto"/>
            <w:vAlign w:val="center"/>
            <w:hideMark/>
          </w:tcPr>
          <w:p w14:paraId="5093338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14,4</w:t>
            </w:r>
          </w:p>
        </w:tc>
        <w:tc>
          <w:tcPr>
            <w:tcW w:w="0" w:type="auto"/>
            <w:vAlign w:val="center"/>
            <w:hideMark/>
          </w:tcPr>
          <w:p w14:paraId="3A2C7359"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3010</w:t>
            </w:r>
          </w:p>
        </w:tc>
        <w:tc>
          <w:tcPr>
            <w:tcW w:w="0" w:type="auto"/>
            <w:vAlign w:val="center"/>
            <w:hideMark/>
          </w:tcPr>
          <w:p w14:paraId="5651E4BD"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6346</w:t>
            </w:r>
          </w:p>
        </w:tc>
      </w:tr>
      <w:tr w:rsidR="00DE27A7" w:rsidRPr="00946DEB" w14:paraId="43201954" w14:textId="77777777" w:rsidTr="00AF6C46">
        <w:trPr>
          <w:tblCellSpacing w:w="15" w:type="dxa"/>
        </w:trPr>
        <w:tc>
          <w:tcPr>
            <w:tcW w:w="0" w:type="auto"/>
            <w:vAlign w:val="center"/>
            <w:hideMark/>
          </w:tcPr>
          <w:p w14:paraId="6DD5595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2023</w:t>
            </w:r>
          </w:p>
        </w:tc>
        <w:tc>
          <w:tcPr>
            <w:tcW w:w="0" w:type="auto"/>
            <w:vAlign w:val="center"/>
            <w:hideMark/>
          </w:tcPr>
          <w:p w14:paraId="2CD05D9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11,4</w:t>
            </w:r>
          </w:p>
        </w:tc>
        <w:tc>
          <w:tcPr>
            <w:tcW w:w="0" w:type="auto"/>
            <w:vAlign w:val="center"/>
            <w:hideMark/>
          </w:tcPr>
          <w:p w14:paraId="50A2D8F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3490</w:t>
            </w:r>
          </w:p>
        </w:tc>
        <w:tc>
          <w:tcPr>
            <w:tcW w:w="0" w:type="auto"/>
            <w:vAlign w:val="center"/>
            <w:hideMark/>
          </w:tcPr>
          <w:p w14:paraId="126B8D8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7155</w:t>
            </w:r>
          </w:p>
        </w:tc>
      </w:tr>
      <w:tr w:rsidR="00DE27A7" w:rsidRPr="00946DEB" w14:paraId="2D06C682" w14:textId="77777777" w:rsidTr="00AF6C46">
        <w:trPr>
          <w:tblCellSpacing w:w="15" w:type="dxa"/>
        </w:trPr>
        <w:tc>
          <w:tcPr>
            <w:tcW w:w="0" w:type="auto"/>
            <w:vAlign w:val="center"/>
            <w:hideMark/>
          </w:tcPr>
          <w:p w14:paraId="41787D5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2024</w:t>
            </w:r>
          </w:p>
        </w:tc>
        <w:tc>
          <w:tcPr>
            <w:tcW w:w="0" w:type="auto"/>
            <w:vAlign w:val="center"/>
            <w:hideMark/>
          </w:tcPr>
          <w:p w14:paraId="466D3391"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3,7</w:t>
            </w:r>
          </w:p>
        </w:tc>
        <w:tc>
          <w:tcPr>
            <w:tcW w:w="0" w:type="auto"/>
            <w:vAlign w:val="center"/>
            <w:hideMark/>
          </w:tcPr>
          <w:p w14:paraId="66602E05"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4242</w:t>
            </w:r>
          </w:p>
        </w:tc>
        <w:tc>
          <w:tcPr>
            <w:tcW w:w="0" w:type="auto"/>
            <w:vAlign w:val="center"/>
            <w:hideMark/>
          </w:tcPr>
          <w:p w14:paraId="12D268AF"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8182</w:t>
            </w:r>
          </w:p>
        </w:tc>
      </w:tr>
      <w:tr w:rsidR="00DE27A7" w:rsidRPr="00946DEB" w14:paraId="16FCD706" w14:textId="77777777" w:rsidTr="00AF6C46">
        <w:trPr>
          <w:trHeight w:val="26"/>
          <w:tblCellSpacing w:w="15" w:type="dxa"/>
        </w:trPr>
        <w:tc>
          <w:tcPr>
            <w:tcW w:w="0" w:type="auto"/>
            <w:vAlign w:val="center"/>
            <w:hideMark/>
          </w:tcPr>
          <w:p w14:paraId="77FA4742"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2025*</w:t>
            </w:r>
          </w:p>
        </w:tc>
        <w:tc>
          <w:tcPr>
            <w:tcW w:w="0" w:type="auto"/>
            <w:vAlign w:val="center"/>
            <w:hideMark/>
          </w:tcPr>
          <w:p w14:paraId="578CAD9B"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~4,5 (prognoza)</w:t>
            </w:r>
          </w:p>
        </w:tc>
        <w:tc>
          <w:tcPr>
            <w:tcW w:w="0" w:type="auto"/>
            <w:vAlign w:val="center"/>
            <w:hideMark/>
          </w:tcPr>
          <w:p w14:paraId="4AECEC40"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4666</w:t>
            </w:r>
          </w:p>
        </w:tc>
        <w:tc>
          <w:tcPr>
            <w:tcW w:w="0" w:type="auto"/>
            <w:vAlign w:val="center"/>
            <w:hideMark/>
          </w:tcPr>
          <w:p w14:paraId="7E301E06" w14:textId="77777777" w:rsidR="00DE27A7" w:rsidRPr="00946DEB" w:rsidRDefault="00DE27A7" w:rsidP="00AF6C46">
            <w:pPr>
              <w:spacing w:after="0" w:line="360" w:lineRule="auto"/>
              <w:jc w:val="both"/>
              <w:rPr>
                <w:rFonts w:ascii="Bookman Old Style" w:eastAsia="Times New Roman" w:hAnsi="Bookman Old Style" w:cs="Times New Roman"/>
                <w:sz w:val="24"/>
                <w:szCs w:val="24"/>
                <w:lang w:eastAsia="pl-PL"/>
              </w:rPr>
            </w:pPr>
            <w:r w:rsidRPr="00946DEB">
              <w:rPr>
                <w:rFonts w:ascii="Bookman Old Style" w:eastAsia="Times New Roman" w:hAnsi="Bookman Old Style" w:cs="Times New Roman"/>
                <w:sz w:val="24"/>
                <w:szCs w:val="24"/>
                <w:lang w:eastAsia="pl-PL"/>
              </w:rPr>
              <w:t>~8700</w:t>
            </w:r>
          </w:p>
        </w:tc>
      </w:tr>
    </w:tbl>
    <w:p w14:paraId="1FDBFDC2" w14:textId="77777777" w:rsidR="00342CED" w:rsidRPr="00946DEB" w:rsidRDefault="00342CED" w:rsidP="00342CED">
      <w:pPr>
        <w:spacing w:after="0" w:line="360" w:lineRule="auto"/>
        <w:jc w:val="both"/>
        <w:rPr>
          <w:rFonts w:ascii="Bookman Old Style" w:hAnsi="Bookman Old Style" w:cs="Times New Roman"/>
          <w:sz w:val="24"/>
          <w:szCs w:val="24"/>
        </w:rPr>
      </w:pPr>
    </w:p>
    <w:p w14:paraId="1764FC2B" w14:textId="4E294229" w:rsidR="00DE27A7" w:rsidRPr="00946DEB" w:rsidRDefault="00DE27A7" w:rsidP="00342CED">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Analiza powyższych danych nasuwa następujące wnioski.</w:t>
      </w:r>
    </w:p>
    <w:p w14:paraId="182AB033"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 xml:space="preserve">Po pierwsze, realna siła nabywcza przeciętnej pensji w Polsce wzrosła mniej więcej </w:t>
      </w:r>
      <w:r w:rsidRPr="00946DEB">
        <w:rPr>
          <w:rStyle w:val="Pogrubienie"/>
          <w:rFonts w:ascii="Bookman Old Style" w:hAnsi="Bookman Old Style" w:cs="Times New Roman"/>
          <w:b w:val="0"/>
          <w:bCs w:val="0"/>
          <w:sz w:val="24"/>
          <w:szCs w:val="24"/>
        </w:rPr>
        <w:t>2–3 razy od 1995 r.</w:t>
      </w:r>
      <w:r w:rsidRPr="00946DEB">
        <w:rPr>
          <w:rFonts w:ascii="Bookman Old Style" w:hAnsi="Bookman Old Style" w:cs="Times New Roman"/>
          <w:sz w:val="24"/>
          <w:szCs w:val="24"/>
        </w:rPr>
        <w:t xml:space="preserve"> (przy znaczącym wzroście cen).</w:t>
      </w:r>
    </w:p>
    <w:p w14:paraId="38B65F4E"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Style w:val="Pogrubienie"/>
          <w:rFonts w:ascii="Bookman Old Style" w:hAnsi="Bookman Old Style" w:cs="Times New Roman"/>
          <w:b w:val="0"/>
          <w:bCs w:val="0"/>
          <w:sz w:val="24"/>
          <w:szCs w:val="24"/>
        </w:rPr>
        <w:t>Po drugie, płaca minimalna</w:t>
      </w:r>
      <w:r w:rsidRPr="00946DEB">
        <w:rPr>
          <w:rFonts w:ascii="Bookman Old Style" w:hAnsi="Bookman Old Style" w:cs="Times New Roman"/>
          <w:sz w:val="24"/>
          <w:szCs w:val="24"/>
        </w:rPr>
        <w:t xml:space="preserve"> wzrosła z ok. </w:t>
      </w:r>
      <w:r w:rsidRPr="00946DEB">
        <w:rPr>
          <w:rStyle w:val="Pogrubienie"/>
          <w:rFonts w:ascii="Bookman Old Style" w:hAnsi="Bookman Old Style" w:cs="Times New Roman"/>
          <w:b w:val="0"/>
          <w:bCs w:val="0"/>
          <w:sz w:val="24"/>
          <w:szCs w:val="24"/>
        </w:rPr>
        <w:t>260 zł w 1995 r. do ok. 4666 zł w 2025 r.</w:t>
      </w:r>
      <w:r w:rsidRPr="00946DEB">
        <w:rPr>
          <w:rFonts w:ascii="Bookman Old Style" w:hAnsi="Bookman Old Style" w:cs="Times New Roman"/>
          <w:sz w:val="24"/>
          <w:szCs w:val="24"/>
        </w:rPr>
        <w:t xml:space="preserve"> (ponad </w:t>
      </w:r>
      <w:r w:rsidRPr="00946DEB">
        <w:rPr>
          <w:rStyle w:val="Pogrubienie"/>
          <w:rFonts w:ascii="Bookman Old Style" w:hAnsi="Bookman Old Style" w:cs="Times New Roman"/>
          <w:b w:val="0"/>
          <w:bCs w:val="0"/>
          <w:sz w:val="24"/>
          <w:szCs w:val="24"/>
        </w:rPr>
        <w:t>17-krotnie</w:t>
      </w:r>
      <w:r w:rsidRPr="00946DEB">
        <w:rPr>
          <w:rFonts w:ascii="Bookman Old Style" w:hAnsi="Bookman Old Style" w:cs="Times New Roman"/>
          <w:sz w:val="24"/>
          <w:szCs w:val="24"/>
        </w:rPr>
        <w:t xml:space="preserve">). </w:t>
      </w:r>
    </w:p>
    <w:p w14:paraId="477317D1"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Style w:val="Pogrubienie"/>
          <w:rFonts w:ascii="Bookman Old Style" w:hAnsi="Bookman Old Style" w:cs="Times New Roman"/>
          <w:b w:val="0"/>
          <w:bCs w:val="0"/>
          <w:sz w:val="24"/>
          <w:szCs w:val="24"/>
        </w:rPr>
        <w:t>Po trzecie, średnie wynagrodzenie</w:t>
      </w:r>
      <w:r w:rsidRPr="00946DEB">
        <w:rPr>
          <w:rFonts w:ascii="Bookman Old Style" w:hAnsi="Bookman Old Style" w:cs="Times New Roman"/>
          <w:sz w:val="24"/>
          <w:szCs w:val="24"/>
        </w:rPr>
        <w:t xml:space="preserve"> wzrosło z ok. </w:t>
      </w:r>
      <w:r w:rsidRPr="00946DEB">
        <w:rPr>
          <w:rStyle w:val="Pogrubienie"/>
          <w:rFonts w:ascii="Bookman Old Style" w:hAnsi="Bookman Old Style" w:cs="Times New Roman"/>
          <w:b w:val="0"/>
          <w:bCs w:val="0"/>
          <w:sz w:val="24"/>
          <w:szCs w:val="24"/>
        </w:rPr>
        <w:t>702 zł do ponad 8000 zł</w:t>
      </w:r>
      <w:r w:rsidRPr="00946DEB">
        <w:rPr>
          <w:rFonts w:ascii="Bookman Old Style" w:hAnsi="Bookman Old Style" w:cs="Times New Roman"/>
          <w:sz w:val="24"/>
          <w:szCs w:val="24"/>
        </w:rPr>
        <w:t xml:space="preserve"> (ponad </w:t>
      </w:r>
      <w:r w:rsidRPr="00946DEB">
        <w:rPr>
          <w:rStyle w:val="Pogrubienie"/>
          <w:rFonts w:ascii="Bookman Old Style" w:hAnsi="Bookman Old Style" w:cs="Times New Roman"/>
          <w:b w:val="0"/>
          <w:bCs w:val="0"/>
          <w:sz w:val="24"/>
          <w:szCs w:val="24"/>
        </w:rPr>
        <w:t>11-krotnie</w:t>
      </w:r>
      <w:r w:rsidRPr="00946DEB">
        <w:rPr>
          <w:rFonts w:ascii="Bookman Old Style" w:hAnsi="Bookman Old Style" w:cs="Times New Roman"/>
          <w:sz w:val="24"/>
          <w:szCs w:val="24"/>
        </w:rPr>
        <w:t xml:space="preserve">). </w:t>
      </w:r>
    </w:p>
    <w:p w14:paraId="256576A8" w14:textId="25166E4F"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 xml:space="preserve">Po czwarte, inflacja w latach </w:t>
      </w:r>
      <w:r w:rsidRPr="00946DEB">
        <w:rPr>
          <w:rStyle w:val="Pogrubienie"/>
          <w:rFonts w:ascii="Bookman Old Style" w:hAnsi="Bookman Old Style" w:cs="Times New Roman"/>
          <w:b w:val="0"/>
          <w:bCs w:val="0"/>
          <w:sz w:val="24"/>
          <w:szCs w:val="24"/>
        </w:rPr>
        <w:t>1990–2000 była bardzo wysoka</w:t>
      </w:r>
      <w:r w:rsidRPr="00946DEB">
        <w:rPr>
          <w:rFonts w:ascii="Bookman Old Style" w:hAnsi="Bookman Old Style" w:cs="Times New Roman"/>
          <w:sz w:val="24"/>
          <w:szCs w:val="24"/>
        </w:rPr>
        <w:t xml:space="preserve">, a po 2000 r. stabilna aż do skoku w latach 2021–2023.  Wzrost inflacji w latach 1990-2025 był okresem gwałtownych zwrotów- od walki z hiperinflacją w latach 90-tych, przez okresy stabilizacji i deflacji, aż po skok cenowy wywołany pandemią i wojną w Ukrainie. Skumulowana inflacja w okresie od 1995 do 2025r. wyniosła 470-480%. Zaraz po denominacji w 1990r. średnie wynagrodzenie wynosiło 700zł. , chleb kosztował wówczas 0,60-0,80zł., a benzyna 1.40zł. Natomiast w 2025r. średnie wynagrodzenie przekroczyło 8000zł. brutto, a ceny podstawowych produktów wzrosły wielokrotnie (chleb w supermarkecie od 3.50zł. do 5zł., a w piekarniach od 6zł. do nawet 12zł.; benzyna obecnie kosztuje średnio </w:t>
      </w:r>
      <w:r w:rsidR="00016D24" w:rsidRPr="00946DEB">
        <w:rPr>
          <w:rFonts w:ascii="Bookman Old Style" w:hAnsi="Bookman Old Style" w:cs="Times New Roman"/>
          <w:sz w:val="24"/>
          <w:szCs w:val="24"/>
        </w:rPr>
        <w:t>nawet ponad</w:t>
      </w:r>
      <w:r w:rsidRPr="00946DEB">
        <w:rPr>
          <w:rFonts w:ascii="Bookman Old Style" w:hAnsi="Bookman Old Style" w:cs="Times New Roman"/>
          <w:sz w:val="24"/>
          <w:szCs w:val="24"/>
        </w:rPr>
        <w:t xml:space="preserve"> </w:t>
      </w:r>
      <w:r w:rsidR="006623CB" w:rsidRPr="00946DEB">
        <w:rPr>
          <w:rFonts w:ascii="Bookman Old Style" w:hAnsi="Bookman Old Style" w:cs="Times New Roman"/>
          <w:sz w:val="24"/>
          <w:szCs w:val="24"/>
        </w:rPr>
        <w:t>8</w:t>
      </w:r>
      <w:r w:rsidRPr="00946DEB">
        <w:rPr>
          <w:rFonts w:ascii="Bookman Old Style" w:hAnsi="Bookman Old Style" w:cs="Times New Roman"/>
          <w:sz w:val="24"/>
          <w:szCs w:val="24"/>
        </w:rPr>
        <w:t xml:space="preserve">.00zł.; wzrost cen tych produktów wyniósł zatem w przypadku chleba – uwzględniając wzrost ceny najwyższej od 6 do 15 razy, a cena benzyny </w:t>
      </w:r>
      <w:r w:rsidR="00016D24" w:rsidRPr="00946DEB">
        <w:rPr>
          <w:rFonts w:ascii="Bookman Old Style" w:hAnsi="Bookman Old Style" w:cs="Times New Roman"/>
          <w:sz w:val="24"/>
          <w:szCs w:val="24"/>
        </w:rPr>
        <w:t xml:space="preserve">nawet </w:t>
      </w:r>
      <w:r w:rsidR="003E1309" w:rsidRPr="00946DEB">
        <w:rPr>
          <w:rFonts w:ascii="Bookman Old Style" w:hAnsi="Bookman Old Style" w:cs="Times New Roman"/>
          <w:sz w:val="24"/>
          <w:szCs w:val="24"/>
        </w:rPr>
        <w:t>sześciokrotnie</w:t>
      </w:r>
      <w:r w:rsidRPr="00946DEB">
        <w:rPr>
          <w:rFonts w:ascii="Bookman Old Style" w:hAnsi="Bookman Old Style" w:cs="Times New Roman"/>
          <w:sz w:val="24"/>
          <w:szCs w:val="24"/>
        </w:rPr>
        <w:t xml:space="preserve">). </w:t>
      </w:r>
    </w:p>
    <w:p w14:paraId="4085DAAE"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lastRenderedPageBreak/>
        <w:t xml:space="preserve">Po piąte, zasadniczo </w:t>
      </w:r>
      <w:r w:rsidRPr="003B6644">
        <w:rPr>
          <w:rStyle w:val="Pogrubienie"/>
          <w:rFonts w:ascii="Bookman Old Style" w:hAnsi="Bookman Old Style" w:cs="Times New Roman"/>
          <w:b w:val="0"/>
          <w:bCs w:val="0"/>
          <w:sz w:val="24"/>
          <w:szCs w:val="24"/>
        </w:rPr>
        <w:t>realny poziom życia przeciętnego Polaka znacząco wzrósł</w:t>
      </w:r>
      <w:r w:rsidRPr="00946DEB">
        <w:rPr>
          <w:rFonts w:ascii="Bookman Old Style" w:hAnsi="Bookman Old Style" w:cs="Times New Roman"/>
          <w:sz w:val="24"/>
          <w:szCs w:val="24"/>
        </w:rPr>
        <w:t xml:space="preserve"> (większa konsumpcja, dostęp do mieszkań, samochodów, elektroniki itd.).</w:t>
      </w:r>
    </w:p>
    <w:p w14:paraId="6A232245"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Odnosząc poszczególne parametry wzrostu do górnej granicy kary grzywny na poziomie 5000zł. można zatem dojść do następujących wniosków.</w:t>
      </w:r>
    </w:p>
    <w:p w14:paraId="60E6A1D5"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Po pierwsze, gdyby odnieść do górnej granicy tej kary wzrost inflacji od 1995r. do 2025r. to należałoby podwyższyć ją do kwoty 24.000zł. (5000zł. razy 4,8).</w:t>
      </w:r>
    </w:p>
    <w:p w14:paraId="0ADB5062"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Po drugie, gdyby odnieść do górnej granicy kary grzywny wzrost minimalnego wynagrodzenia w rzeczonym okresie, to należałoby przyjąć ją na poziomie 85.000zł. (5000zł. razy 17 ).</w:t>
      </w:r>
    </w:p>
    <w:p w14:paraId="1AA77793" w14:textId="77777777" w:rsidR="00DE27A7" w:rsidRPr="00946DEB" w:rsidRDefault="00DE27A7" w:rsidP="00DE27A7">
      <w:pPr>
        <w:spacing w:after="0" w:line="360" w:lineRule="auto"/>
        <w:ind w:firstLine="708"/>
        <w:jc w:val="both"/>
        <w:rPr>
          <w:rFonts w:ascii="Bookman Old Style" w:hAnsi="Bookman Old Style" w:cs="Times New Roman"/>
          <w:sz w:val="24"/>
          <w:szCs w:val="24"/>
        </w:rPr>
      </w:pPr>
      <w:r w:rsidRPr="00946DEB">
        <w:rPr>
          <w:rFonts w:ascii="Bookman Old Style" w:hAnsi="Bookman Old Style" w:cs="Times New Roman"/>
          <w:sz w:val="24"/>
          <w:szCs w:val="24"/>
        </w:rPr>
        <w:t>Po trzecie, gdyby odnieść do górnej granicy kary grzywny wzrost średniego wynagrodzenia we wskazanym okresie, to należałoby przyjąć, że wynieść ona powinna 55.000zł.</w:t>
      </w:r>
    </w:p>
    <w:p w14:paraId="7BB07D03" w14:textId="79830925" w:rsidR="00DE27A7" w:rsidRPr="00946DEB" w:rsidRDefault="00DE27A7" w:rsidP="0095653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Uśredniając te wielkości, przy uwzględnieniu wszystkich powyższych kryteriów górna granica kary grzywny powinna wynieść 54. 666zł. (24.000+85.000+55.000/3).</w:t>
      </w:r>
    </w:p>
    <w:p w14:paraId="3CB8E728" w14:textId="2EB0DFE7" w:rsidR="00DE27A7" w:rsidRPr="00946DEB" w:rsidRDefault="00FF54D8" w:rsidP="00DE27A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Nie ulega wątpliwości, że o</w:t>
      </w:r>
      <w:r w:rsidR="00DE27A7" w:rsidRPr="00946DEB">
        <w:rPr>
          <w:rFonts w:ascii="Bookman Old Style" w:hAnsi="Bookman Old Style" w:cs="Times New Roman"/>
          <w:sz w:val="24"/>
          <w:szCs w:val="24"/>
        </w:rPr>
        <w:t>becny stan wymaga pilnego uadekwatnienia grzywny tak, aby kara ta przewidziana w prawie wykroczeń</w:t>
      </w:r>
      <w:r w:rsidR="0035777B" w:rsidRPr="00946DEB">
        <w:rPr>
          <w:rFonts w:ascii="Bookman Old Style" w:hAnsi="Bookman Old Style" w:cs="Times New Roman"/>
          <w:sz w:val="24"/>
          <w:szCs w:val="24"/>
        </w:rPr>
        <w:t xml:space="preserve"> systemowo</w:t>
      </w:r>
      <w:r w:rsidR="00DE27A7" w:rsidRPr="00946DEB">
        <w:rPr>
          <w:rFonts w:ascii="Bookman Old Style" w:hAnsi="Bookman Old Style" w:cs="Times New Roman"/>
          <w:sz w:val="24"/>
          <w:szCs w:val="24"/>
        </w:rPr>
        <w:t xml:space="preserve"> stanowiła realną i odpowiednio dolegliwą sankcję. </w:t>
      </w:r>
      <w:r w:rsidR="0035777B" w:rsidRPr="00946DEB">
        <w:rPr>
          <w:rFonts w:ascii="Bookman Old Style" w:hAnsi="Bookman Old Style" w:cs="Times New Roman"/>
          <w:sz w:val="24"/>
          <w:szCs w:val="24"/>
        </w:rPr>
        <w:t>S</w:t>
      </w:r>
      <w:r w:rsidR="00DE27A7" w:rsidRPr="00946DEB">
        <w:rPr>
          <w:rFonts w:ascii="Bookman Old Style" w:hAnsi="Bookman Old Style" w:cs="Times New Roman"/>
          <w:sz w:val="24"/>
          <w:szCs w:val="24"/>
        </w:rPr>
        <w:t xml:space="preserve">ankcje występujące w prawie wykroczeń są w wielu przypadkach nieadekwatne do aktualnych realiów </w:t>
      </w:r>
      <w:proofErr w:type="spellStart"/>
      <w:r w:rsidR="00DE27A7" w:rsidRPr="00946DEB">
        <w:rPr>
          <w:rFonts w:ascii="Bookman Old Style" w:hAnsi="Bookman Old Style" w:cs="Times New Roman"/>
          <w:sz w:val="24"/>
          <w:szCs w:val="24"/>
        </w:rPr>
        <w:t>społeczno</w:t>
      </w:r>
      <w:proofErr w:type="spellEnd"/>
      <w:r w:rsidR="00DE27A7" w:rsidRPr="00946DEB">
        <w:rPr>
          <w:rFonts w:ascii="Bookman Old Style" w:hAnsi="Bookman Old Style" w:cs="Times New Roman"/>
          <w:sz w:val="24"/>
          <w:szCs w:val="24"/>
        </w:rPr>
        <w:t xml:space="preserve">–gospodarczych. </w:t>
      </w:r>
      <w:r w:rsidR="0035777B" w:rsidRPr="00946DEB">
        <w:rPr>
          <w:rFonts w:ascii="Bookman Old Style" w:hAnsi="Bookman Old Style" w:cs="Times New Roman"/>
          <w:sz w:val="24"/>
          <w:szCs w:val="24"/>
        </w:rPr>
        <w:t>Konieczność zmian w tym zakresie podyktowana jest również tym, aby</w:t>
      </w:r>
      <w:r w:rsidR="00DE27A7" w:rsidRPr="00946DEB">
        <w:rPr>
          <w:rFonts w:ascii="Bookman Old Style" w:hAnsi="Bookman Old Style" w:cs="Times New Roman"/>
          <w:sz w:val="24"/>
          <w:szCs w:val="24"/>
        </w:rPr>
        <w:t xml:space="preserve"> zachę</w:t>
      </w:r>
      <w:r w:rsidR="0035777B" w:rsidRPr="00946DEB">
        <w:rPr>
          <w:rFonts w:ascii="Bookman Old Style" w:hAnsi="Bookman Old Style" w:cs="Times New Roman"/>
          <w:sz w:val="24"/>
          <w:szCs w:val="24"/>
        </w:rPr>
        <w:t>cić</w:t>
      </w:r>
      <w:r w:rsidR="00DE27A7" w:rsidRPr="00946DEB">
        <w:rPr>
          <w:rFonts w:ascii="Bookman Old Style" w:hAnsi="Bookman Old Style" w:cs="Times New Roman"/>
          <w:sz w:val="24"/>
          <w:szCs w:val="24"/>
        </w:rPr>
        <w:t xml:space="preserve"> do częstszego sięgania po instrumenty prawa wykroczeń zamiast sankcji administracyjnych</w:t>
      </w:r>
      <w:r w:rsidR="0035777B" w:rsidRPr="00946DEB">
        <w:rPr>
          <w:rFonts w:ascii="Bookman Old Style" w:hAnsi="Bookman Old Style" w:cs="Times New Roman"/>
          <w:sz w:val="24"/>
          <w:szCs w:val="24"/>
        </w:rPr>
        <w:t xml:space="preserve">, </w:t>
      </w:r>
      <w:r w:rsidR="00DE27A7" w:rsidRPr="00946DEB">
        <w:rPr>
          <w:rFonts w:ascii="Bookman Old Style" w:hAnsi="Bookman Old Style" w:cs="Times New Roman"/>
          <w:sz w:val="24"/>
          <w:szCs w:val="24"/>
        </w:rPr>
        <w:t xml:space="preserve">przy </w:t>
      </w:r>
      <w:r w:rsidR="0035777B" w:rsidRPr="00946DEB">
        <w:rPr>
          <w:rFonts w:ascii="Bookman Old Style" w:hAnsi="Bookman Old Style" w:cs="Times New Roman"/>
          <w:sz w:val="24"/>
          <w:szCs w:val="24"/>
        </w:rPr>
        <w:t>cz</w:t>
      </w:r>
      <w:r w:rsidR="00DE27A7" w:rsidRPr="00946DEB">
        <w:rPr>
          <w:rFonts w:ascii="Bookman Old Style" w:hAnsi="Bookman Old Style" w:cs="Times New Roman"/>
          <w:sz w:val="24"/>
          <w:szCs w:val="24"/>
        </w:rPr>
        <w:t xml:space="preserve">ym, sankcje w prawie wykroczeń pełnią nie tylko funkcję represyjną, lecz także istotną funkcję prewencyjną. </w:t>
      </w:r>
    </w:p>
    <w:p w14:paraId="1C88C82B" w14:textId="2C35559F" w:rsidR="00DE27A7" w:rsidRPr="00946DEB" w:rsidRDefault="00D04A86" w:rsidP="00DE27A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Za podwyższeniem górnej granicy kary grzywny w art. 1§1kw</w:t>
      </w:r>
      <w:r w:rsidR="005957C4" w:rsidRPr="00946DEB">
        <w:rPr>
          <w:rFonts w:ascii="Bookman Old Style" w:hAnsi="Bookman Old Style" w:cs="Times New Roman"/>
          <w:sz w:val="24"/>
          <w:szCs w:val="24"/>
        </w:rPr>
        <w:t xml:space="preserve"> , obok kryteriów natury ekonomicznej przemawia również i to, </w:t>
      </w:r>
      <w:r w:rsidR="00513D3C" w:rsidRPr="00946DEB">
        <w:rPr>
          <w:rFonts w:ascii="Bookman Old Style" w:hAnsi="Bookman Old Style" w:cs="Times New Roman"/>
          <w:sz w:val="24"/>
          <w:szCs w:val="24"/>
        </w:rPr>
        <w:t>że</w:t>
      </w:r>
      <w:r w:rsidR="00DE27A7" w:rsidRPr="00946DEB">
        <w:rPr>
          <w:rFonts w:ascii="Bookman Old Style" w:hAnsi="Bookman Old Style" w:cs="Times New Roman"/>
          <w:sz w:val="24"/>
          <w:szCs w:val="24"/>
        </w:rPr>
        <w:t xml:space="preserve"> </w:t>
      </w:r>
      <w:r w:rsidR="00513D3C" w:rsidRPr="00946DEB">
        <w:rPr>
          <w:rFonts w:ascii="Bookman Old Style" w:hAnsi="Bookman Old Style" w:cs="Times New Roman"/>
          <w:sz w:val="24"/>
          <w:szCs w:val="24"/>
        </w:rPr>
        <w:t>k</w:t>
      </w:r>
      <w:r w:rsidR="00DE27A7" w:rsidRPr="00946DEB">
        <w:rPr>
          <w:rFonts w:ascii="Bookman Old Style" w:hAnsi="Bookman Old Style" w:cs="Times New Roman"/>
          <w:sz w:val="24"/>
          <w:szCs w:val="24"/>
        </w:rPr>
        <w:t xml:space="preserve">ara </w:t>
      </w:r>
      <w:r w:rsidR="00513D3C" w:rsidRPr="00946DEB">
        <w:rPr>
          <w:rFonts w:ascii="Bookman Old Style" w:hAnsi="Bookman Old Style" w:cs="Times New Roman"/>
          <w:sz w:val="24"/>
          <w:szCs w:val="24"/>
        </w:rPr>
        <w:t>taka</w:t>
      </w:r>
      <w:r w:rsidR="00DE27A7" w:rsidRPr="00946DEB">
        <w:rPr>
          <w:rFonts w:ascii="Bookman Old Style" w:hAnsi="Bookman Old Style" w:cs="Times New Roman"/>
          <w:sz w:val="24"/>
          <w:szCs w:val="24"/>
        </w:rPr>
        <w:t xml:space="preserve"> w  wysokości 30 000 zł występuje m.in. w odniesieniu do niektórych wykroczeń komunikacyjnych, wykroczeń przeciwpożarowych. Warto przypomnieć, że już na przełomie lat 2000/2001 rozważano podniesienie górnej granicy kary grzywny do 15 000 zł.</w:t>
      </w:r>
      <w:r w:rsidR="00513D3C" w:rsidRPr="00946DEB">
        <w:rPr>
          <w:rFonts w:ascii="Bookman Old Style" w:hAnsi="Bookman Old Style" w:cs="Times New Roman"/>
          <w:sz w:val="24"/>
          <w:szCs w:val="24"/>
        </w:rPr>
        <w:t>, jednakże wówczas do tego nie doszło.</w:t>
      </w:r>
      <w:r w:rsidR="00DE27A7" w:rsidRPr="00946DEB">
        <w:rPr>
          <w:rFonts w:ascii="Bookman Old Style" w:hAnsi="Bookman Old Style" w:cs="Times New Roman"/>
          <w:sz w:val="24"/>
          <w:szCs w:val="24"/>
        </w:rPr>
        <w:t xml:space="preserve"> </w:t>
      </w:r>
    </w:p>
    <w:p w14:paraId="4673DCE8" w14:textId="3007DFBE" w:rsidR="00DE27A7" w:rsidRPr="00946DEB" w:rsidRDefault="00513D3C" w:rsidP="00DE27A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lastRenderedPageBreak/>
        <w:t>G</w:t>
      </w:r>
      <w:r w:rsidR="00DE27A7" w:rsidRPr="00946DEB">
        <w:rPr>
          <w:rFonts w:ascii="Bookman Old Style" w:hAnsi="Bookman Old Style" w:cs="Times New Roman"/>
          <w:sz w:val="24"/>
          <w:szCs w:val="24"/>
        </w:rPr>
        <w:t>órna granica grzywny w wysokości 30 000 zł stanowi realną dolegliwość. Wynosi ona nieco ponad połowę kwoty 54. 666zł., która mogłaby ewentualnie stanowić górną granicę</w:t>
      </w:r>
      <w:r w:rsidR="00DB7469">
        <w:rPr>
          <w:rFonts w:ascii="Bookman Old Style" w:hAnsi="Bookman Old Style" w:cs="Times New Roman"/>
          <w:sz w:val="24"/>
          <w:szCs w:val="24"/>
        </w:rPr>
        <w:t xml:space="preserve"> tej</w:t>
      </w:r>
      <w:r w:rsidR="00DE27A7" w:rsidRPr="00946DEB">
        <w:rPr>
          <w:rFonts w:ascii="Bookman Old Style" w:hAnsi="Bookman Old Style" w:cs="Times New Roman"/>
          <w:sz w:val="24"/>
          <w:szCs w:val="24"/>
        </w:rPr>
        <w:t xml:space="preserve"> kary przy uwzględnieniu wzrostu inflacji, minimalnego oraz średniego wynagrodzenia. Warto w tym kontekście przywołać również dane historyczne – w okresie międzywojennym płaca urzędnicza wynosiła 304 zł, podczas gdy górna granica grzywny za wykrocznie sięgała 3000 zł, co oznaczało, że kara </w:t>
      </w:r>
      <w:r w:rsidR="00DB7469">
        <w:rPr>
          <w:rFonts w:ascii="Bookman Old Style" w:hAnsi="Bookman Old Style" w:cs="Times New Roman"/>
          <w:sz w:val="24"/>
          <w:szCs w:val="24"/>
        </w:rPr>
        <w:t>ta</w:t>
      </w:r>
      <w:r w:rsidR="00DE27A7" w:rsidRPr="00946DEB">
        <w:rPr>
          <w:rFonts w:ascii="Bookman Old Style" w:hAnsi="Bookman Old Style" w:cs="Times New Roman"/>
          <w:sz w:val="24"/>
          <w:szCs w:val="24"/>
        </w:rPr>
        <w:t xml:space="preserve"> mogła być nawet dziesięciokrotnie wyższa. </w:t>
      </w:r>
      <w:r w:rsidR="007D5D0A" w:rsidRPr="00946DEB">
        <w:rPr>
          <w:rFonts w:ascii="Bookman Old Style" w:hAnsi="Bookman Old Style" w:cs="Times New Roman"/>
          <w:sz w:val="24"/>
          <w:szCs w:val="24"/>
        </w:rPr>
        <w:t>U</w:t>
      </w:r>
      <w:r w:rsidR="00DE27A7" w:rsidRPr="00946DEB">
        <w:rPr>
          <w:rFonts w:ascii="Bookman Old Style" w:hAnsi="Bookman Old Style" w:cs="Times New Roman"/>
          <w:sz w:val="24"/>
          <w:szCs w:val="24"/>
        </w:rPr>
        <w:t xml:space="preserve">stalenie jej wysokości na poziomie 54.000zł. byłoby zbyt radykalnym posunięciem zwłaszcza, gdy uwzględni się, że wykroczenia są czynami drobnymi. </w:t>
      </w:r>
    </w:p>
    <w:p w14:paraId="0BDC5170" w14:textId="677E45D2" w:rsidR="00DE27A7" w:rsidRPr="00946DEB" w:rsidRDefault="00497638" w:rsidP="00042B94">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P</w:t>
      </w:r>
      <w:r w:rsidR="00DE27A7" w:rsidRPr="00946DEB">
        <w:rPr>
          <w:rFonts w:ascii="Bookman Old Style" w:hAnsi="Bookman Old Style" w:cs="Times New Roman"/>
          <w:sz w:val="24"/>
          <w:szCs w:val="24"/>
        </w:rPr>
        <w:t>rojekt zakłada jedynie podwyższenie górnej granicy grzywny.</w:t>
      </w:r>
      <w:r w:rsidR="00956537" w:rsidRPr="00946DEB">
        <w:rPr>
          <w:rFonts w:ascii="Bookman Old Style" w:hAnsi="Bookman Old Style" w:cs="Times New Roman"/>
          <w:sz w:val="24"/>
          <w:szCs w:val="24"/>
        </w:rPr>
        <w:t xml:space="preserve"> Dolna granica </w:t>
      </w:r>
      <w:r w:rsidR="00530ABD">
        <w:rPr>
          <w:rFonts w:ascii="Bookman Old Style" w:hAnsi="Bookman Old Style" w:cs="Times New Roman"/>
          <w:sz w:val="24"/>
          <w:szCs w:val="24"/>
        </w:rPr>
        <w:t xml:space="preserve">w </w:t>
      </w:r>
      <w:r w:rsidR="00956537" w:rsidRPr="00946DEB">
        <w:rPr>
          <w:rFonts w:ascii="Bookman Old Style" w:hAnsi="Bookman Old Style" w:cs="Times New Roman"/>
          <w:sz w:val="24"/>
          <w:szCs w:val="24"/>
        </w:rPr>
        <w:t>art. 24§1kw pozostaje bez zmian.</w:t>
      </w:r>
      <w:r w:rsidR="00DE27A7" w:rsidRPr="00946DEB">
        <w:rPr>
          <w:rFonts w:ascii="Bookman Old Style" w:hAnsi="Bookman Old Style" w:cs="Times New Roman"/>
          <w:sz w:val="24"/>
          <w:szCs w:val="24"/>
        </w:rPr>
        <w:t xml:space="preserve"> Rozwiązanie to pozostawia sądowi lub innemu właściwemu organowi odpowiednią swobodę w zakresie wymiaru tej kary, umożliwiając jej adekwatne dostosowanie do okoliczności konkretnej sprawy zwłaszcza tam, gdzie przepis typizujący czyn zabroniony przewiduje grzywnę w sankcji bez wskazania jej górnej i dolnej granicy. W konsekwencji rozwiązanie to sprzyja pełniejszej realizacji zasady indywidualizacji odpowiedzialności za wykroczenie, zasady winy oraz adekwatności kary do stopnia społecznej szkodliwości.</w:t>
      </w:r>
      <w:r w:rsidR="00042B94" w:rsidRPr="00946DEB">
        <w:rPr>
          <w:rFonts w:ascii="Bookman Old Style" w:hAnsi="Bookman Old Style" w:cs="Times New Roman"/>
          <w:sz w:val="24"/>
          <w:szCs w:val="24"/>
        </w:rPr>
        <w:t xml:space="preserve"> P</w:t>
      </w:r>
      <w:r w:rsidR="00DE27A7" w:rsidRPr="00946DEB">
        <w:rPr>
          <w:rFonts w:ascii="Bookman Old Style" w:hAnsi="Bookman Old Style" w:cs="Times New Roman"/>
          <w:sz w:val="24"/>
          <w:szCs w:val="24"/>
        </w:rPr>
        <w:t xml:space="preserve">odwyższenie dolnej granicy kary grzywny mogłoby prowadzić do rzeczywistego zaostrzenia prawa wykroczeń, podczas gdy podwyższenie jedynie górnej granicy kary grzywny rozszerza przede wszystkim zakres decyzyjny sądu. </w:t>
      </w:r>
    </w:p>
    <w:p w14:paraId="4BEA9508" w14:textId="47C1747B" w:rsidR="0055697D" w:rsidRPr="00946DEB" w:rsidRDefault="00DE27A7" w:rsidP="009E36D9">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Ostatecznie proponuj</w:t>
      </w:r>
      <w:r w:rsidR="00042B94" w:rsidRPr="00946DEB">
        <w:rPr>
          <w:rFonts w:ascii="Bookman Old Style" w:hAnsi="Bookman Old Style" w:cs="Times New Roman"/>
          <w:sz w:val="24"/>
          <w:szCs w:val="24"/>
        </w:rPr>
        <w:t>e się</w:t>
      </w:r>
      <w:r w:rsidRPr="00946DEB">
        <w:rPr>
          <w:rFonts w:ascii="Bookman Old Style" w:hAnsi="Bookman Old Style" w:cs="Times New Roman"/>
          <w:sz w:val="24"/>
          <w:szCs w:val="24"/>
        </w:rPr>
        <w:t xml:space="preserve"> przyjęcie górnej granicy grzywny na poziomie 30.000zł. Wskazano przy tym, że automatyczne podnoszenie</w:t>
      </w:r>
      <w:r w:rsidR="0061260E">
        <w:rPr>
          <w:rFonts w:ascii="Bookman Old Style" w:hAnsi="Bookman Old Style" w:cs="Times New Roman"/>
          <w:sz w:val="24"/>
          <w:szCs w:val="24"/>
        </w:rPr>
        <w:t xml:space="preserve"> jej</w:t>
      </w:r>
      <w:r w:rsidRPr="00946DEB">
        <w:rPr>
          <w:rFonts w:ascii="Bookman Old Style" w:hAnsi="Bookman Old Style" w:cs="Times New Roman"/>
          <w:sz w:val="24"/>
          <w:szCs w:val="24"/>
        </w:rPr>
        <w:t xml:space="preserve"> wysokości stanowi jedynie jej uadekwatnienie. Ewentualne dalsze różnicowanie sankcji przewidzianych za poszczególne wykroczenia może natomiast nastąpić na etapie prac nad nowym Kodeksem wykroczeń.</w:t>
      </w:r>
    </w:p>
    <w:p w14:paraId="033A1547" w14:textId="20D4F2BD" w:rsidR="00CD6FA4" w:rsidRPr="00946DEB" w:rsidRDefault="00C070D9" w:rsidP="009E36D9">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 xml:space="preserve">Podwyższenie górnej granicy grzywny w art. 1§1kw powoduje </w:t>
      </w:r>
      <w:r w:rsidR="00637D81" w:rsidRPr="00946DEB">
        <w:rPr>
          <w:rFonts w:ascii="Bookman Old Style" w:hAnsi="Bookman Old Style" w:cs="Times New Roman"/>
          <w:sz w:val="24"/>
          <w:szCs w:val="24"/>
        </w:rPr>
        <w:t>określone konsekwencje na gruncie dalszych przepisów części ogólnej Kodeksu wykroczeń.</w:t>
      </w:r>
      <w:r w:rsidR="00193DD0" w:rsidRPr="00946DEB">
        <w:rPr>
          <w:rFonts w:ascii="Bookman Old Style" w:hAnsi="Bookman Old Style" w:cs="Times New Roman"/>
          <w:sz w:val="24"/>
          <w:szCs w:val="24"/>
        </w:rPr>
        <w:t xml:space="preserve"> Są to następujące zmiany.</w:t>
      </w:r>
    </w:p>
    <w:p w14:paraId="7835D628" w14:textId="2387EC3D" w:rsidR="004B4209" w:rsidRPr="00946DEB" w:rsidRDefault="00193DD0" w:rsidP="00DE27A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 xml:space="preserve">Po </w:t>
      </w:r>
      <w:r w:rsidR="009E36D9" w:rsidRPr="00946DEB">
        <w:rPr>
          <w:rFonts w:ascii="Bookman Old Style" w:hAnsi="Bookman Old Style" w:cs="Times New Roman"/>
          <w:sz w:val="24"/>
          <w:szCs w:val="24"/>
        </w:rPr>
        <w:t>pierwsze</w:t>
      </w:r>
      <w:r w:rsidRPr="00946DEB">
        <w:rPr>
          <w:rFonts w:ascii="Bookman Old Style" w:hAnsi="Bookman Old Style" w:cs="Times New Roman"/>
          <w:sz w:val="24"/>
          <w:szCs w:val="24"/>
        </w:rPr>
        <w:t xml:space="preserve">, </w:t>
      </w:r>
      <w:r w:rsidR="004B4209" w:rsidRPr="00946DEB">
        <w:rPr>
          <w:rFonts w:ascii="Bookman Old Style" w:hAnsi="Bookman Old Style" w:cs="Times New Roman"/>
          <w:sz w:val="24"/>
          <w:szCs w:val="24"/>
        </w:rPr>
        <w:t>z</w:t>
      </w:r>
      <w:r w:rsidR="00EC119E" w:rsidRPr="00946DEB">
        <w:rPr>
          <w:rFonts w:ascii="Bookman Old Style" w:hAnsi="Bookman Old Style" w:cs="Times New Roman"/>
          <w:sz w:val="24"/>
          <w:szCs w:val="24"/>
        </w:rPr>
        <w:t xml:space="preserve"> uwagi na sześciokrotne podwyższenie górnej granicy tej kary, również w art. </w:t>
      </w:r>
      <w:r w:rsidR="00942FAC" w:rsidRPr="00946DEB">
        <w:rPr>
          <w:rFonts w:ascii="Bookman Old Style" w:hAnsi="Bookman Old Style" w:cs="Times New Roman"/>
          <w:sz w:val="24"/>
          <w:szCs w:val="24"/>
        </w:rPr>
        <w:t xml:space="preserve">2a§1kw proponuje się sześciokrotne podniesienie górnej granicy przedziału przelicznika z </w:t>
      </w:r>
      <w:r w:rsidR="00D345D9" w:rsidRPr="00946DEB">
        <w:rPr>
          <w:rFonts w:ascii="Bookman Old Style" w:hAnsi="Bookman Old Style" w:cs="Times New Roman"/>
          <w:sz w:val="24"/>
          <w:szCs w:val="24"/>
        </w:rPr>
        <w:t xml:space="preserve">250zł. do 1500zł., natomiast dolna granica tego </w:t>
      </w:r>
      <w:r w:rsidR="00D345D9" w:rsidRPr="00946DEB">
        <w:rPr>
          <w:rFonts w:ascii="Bookman Old Style" w:hAnsi="Bookman Old Style" w:cs="Times New Roman"/>
          <w:sz w:val="24"/>
          <w:szCs w:val="24"/>
        </w:rPr>
        <w:lastRenderedPageBreak/>
        <w:t>przelicznika podwyższona została do 20zł.</w:t>
      </w:r>
      <w:r w:rsidR="00E75D92" w:rsidRPr="00946DEB">
        <w:rPr>
          <w:rFonts w:ascii="Bookman Old Style" w:hAnsi="Bookman Old Style" w:cs="Times New Roman"/>
          <w:sz w:val="24"/>
          <w:szCs w:val="24"/>
        </w:rPr>
        <w:t xml:space="preserve">, skoro dokładnie tyle wynosi dolna granica kary grzywny. Rozwiązanie takie ma na celu zwiększenie swobody sądu przy </w:t>
      </w:r>
      <w:r w:rsidR="00E907E3" w:rsidRPr="00946DEB">
        <w:rPr>
          <w:rFonts w:ascii="Bookman Old Style" w:hAnsi="Bookman Old Style" w:cs="Times New Roman"/>
          <w:sz w:val="24"/>
          <w:szCs w:val="24"/>
        </w:rPr>
        <w:t>dokonywaniu przeliczenia</w:t>
      </w:r>
      <w:r w:rsidR="00805C34" w:rsidRPr="00946DEB">
        <w:rPr>
          <w:rFonts w:ascii="Bookman Old Style" w:hAnsi="Bookman Old Style" w:cs="Times New Roman"/>
          <w:sz w:val="24"/>
          <w:szCs w:val="24"/>
        </w:rPr>
        <w:t>. Z kolei</w:t>
      </w:r>
      <w:r w:rsidR="00864817">
        <w:rPr>
          <w:rFonts w:ascii="Bookman Old Style" w:hAnsi="Bookman Old Style" w:cs="Times New Roman"/>
          <w:sz w:val="24"/>
          <w:szCs w:val="24"/>
        </w:rPr>
        <w:t xml:space="preserve"> z identycznych powodów</w:t>
      </w:r>
      <w:r w:rsidR="00805C34" w:rsidRPr="00946DEB">
        <w:rPr>
          <w:rFonts w:ascii="Bookman Old Style" w:hAnsi="Bookman Old Style" w:cs="Times New Roman"/>
          <w:sz w:val="24"/>
          <w:szCs w:val="24"/>
        </w:rPr>
        <w:t xml:space="preserve"> w art. 2</w:t>
      </w:r>
      <w:r w:rsidR="00E3619D" w:rsidRPr="00946DEB">
        <w:rPr>
          <w:rFonts w:ascii="Bookman Old Style" w:hAnsi="Bookman Old Style" w:cs="Times New Roman"/>
          <w:sz w:val="24"/>
          <w:szCs w:val="24"/>
        </w:rPr>
        <w:t>a</w:t>
      </w:r>
      <w:r w:rsidR="00805C34" w:rsidRPr="00946DEB">
        <w:rPr>
          <w:rFonts w:ascii="Bookman Old Style" w:hAnsi="Bookman Old Style" w:cs="Times New Roman"/>
          <w:sz w:val="24"/>
          <w:szCs w:val="24"/>
        </w:rPr>
        <w:t>§</w:t>
      </w:r>
      <w:r w:rsidR="00E3619D" w:rsidRPr="00946DEB">
        <w:rPr>
          <w:rFonts w:ascii="Bookman Old Style" w:hAnsi="Bookman Old Style" w:cs="Times New Roman"/>
          <w:sz w:val="24"/>
          <w:szCs w:val="24"/>
        </w:rPr>
        <w:t>2kw podwyższono górną granic</w:t>
      </w:r>
      <w:r w:rsidR="00864817">
        <w:rPr>
          <w:rFonts w:ascii="Bookman Old Style" w:hAnsi="Bookman Old Style" w:cs="Times New Roman"/>
          <w:sz w:val="24"/>
          <w:szCs w:val="24"/>
        </w:rPr>
        <w:t>ę</w:t>
      </w:r>
      <w:r w:rsidR="00E3619D" w:rsidRPr="00946DEB">
        <w:rPr>
          <w:rFonts w:ascii="Bookman Old Style" w:hAnsi="Bookman Old Style" w:cs="Times New Roman"/>
          <w:sz w:val="24"/>
          <w:szCs w:val="24"/>
        </w:rPr>
        <w:t xml:space="preserve"> przelicznika o 100% tj. do kwoty 5000zł</w:t>
      </w:r>
      <w:r w:rsidR="003F4AAC" w:rsidRPr="00946DEB">
        <w:rPr>
          <w:rFonts w:ascii="Bookman Old Style" w:hAnsi="Bookman Old Style" w:cs="Times New Roman"/>
          <w:sz w:val="24"/>
          <w:szCs w:val="24"/>
        </w:rPr>
        <w:t>.</w:t>
      </w:r>
      <w:r w:rsidR="007E2355" w:rsidRPr="00946DEB">
        <w:rPr>
          <w:rFonts w:ascii="Bookman Old Style" w:hAnsi="Bookman Old Style" w:cs="Times New Roman"/>
          <w:sz w:val="24"/>
          <w:szCs w:val="24"/>
        </w:rPr>
        <w:t xml:space="preserve"> </w:t>
      </w:r>
    </w:p>
    <w:p w14:paraId="1E2CDFE0" w14:textId="4A08E714" w:rsidR="00DE27A7" w:rsidRPr="00946DEB" w:rsidRDefault="004B4209" w:rsidP="00DE27A7">
      <w:pPr>
        <w:spacing w:after="0" w:line="360" w:lineRule="auto"/>
        <w:ind w:firstLine="360"/>
        <w:jc w:val="both"/>
        <w:rPr>
          <w:rFonts w:ascii="Bookman Old Style" w:hAnsi="Bookman Old Style" w:cs="Times New Roman"/>
          <w:sz w:val="24"/>
          <w:szCs w:val="24"/>
        </w:rPr>
      </w:pPr>
      <w:r w:rsidRPr="00946DEB">
        <w:rPr>
          <w:rFonts w:ascii="Bookman Old Style" w:hAnsi="Bookman Old Style" w:cs="Times New Roman"/>
          <w:sz w:val="24"/>
          <w:szCs w:val="24"/>
        </w:rPr>
        <w:t xml:space="preserve">Po </w:t>
      </w:r>
      <w:r w:rsidR="009E36D9" w:rsidRPr="00946DEB">
        <w:rPr>
          <w:rFonts w:ascii="Bookman Old Style" w:hAnsi="Bookman Old Style" w:cs="Times New Roman"/>
          <w:sz w:val="24"/>
          <w:szCs w:val="24"/>
        </w:rPr>
        <w:t>drugie</w:t>
      </w:r>
      <w:r w:rsidRPr="00946DEB">
        <w:rPr>
          <w:rFonts w:ascii="Bookman Old Style" w:hAnsi="Bookman Old Style" w:cs="Times New Roman"/>
          <w:sz w:val="24"/>
          <w:szCs w:val="24"/>
        </w:rPr>
        <w:t>, p</w:t>
      </w:r>
      <w:r w:rsidR="007E2355" w:rsidRPr="00946DEB">
        <w:rPr>
          <w:rFonts w:ascii="Bookman Old Style" w:hAnsi="Bookman Old Style" w:cs="Times New Roman"/>
          <w:sz w:val="24"/>
          <w:szCs w:val="24"/>
        </w:rPr>
        <w:t>roponuje się również zmianę przelicznika w art. 10§2kw</w:t>
      </w:r>
      <w:r w:rsidR="007E7955" w:rsidRPr="00946DEB">
        <w:rPr>
          <w:rFonts w:ascii="Bookman Old Style" w:hAnsi="Bookman Old Style" w:cs="Times New Roman"/>
          <w:sz w:val="24"/>
          <w:szCs w:val="24"/>
        </w:rPr>
        <w:t xml:space="preserve">, zgodnie z którym obecnie jeden dzień aresztu jest równoważny jednemu dniowi </w:t>
      </w:r>
      <w:r w:rsidR="00BE1D2A" w:rsidRPr="00946DEB">
        <w:rPr>
          <w:rFonts w:ascii="Bookman Old Style" w:hAnsi="Bookman Old Style" w:cs="Times New Roman"/>
          <w:sz w:val="24"/>
          <w:szCs w:val="24"/>
        </w:rPr>
        <w:t xml:space="preserve">pozbawienia wolności, dwóm dniom kary ograniczenia wolności oraz grzywnie od 20 do 150zł. </w:t>
      </w:r>
      <w:r w:rsidR="00DD4667" w:rsidRPr="00946DEB">
        <w:rPr>
          <w:rFonts w:ascii="Bookman Old Style" w:hAnsi="Bookman Old Style" w:cs="Times New Roman"/>
          <w:sz w:val="24"/>
          <w:szCs w:val="24"/>
        </w:rPr>
        <w:t xml:space="preserve">Zgodnie z propozycją zawartą w projekcie, podwyższeniu ulega górna granica tego przedziału do kwoty </w:t>
      </w:r>
      <w:r w:rsidR="0048482B" w:rsidRPr="00946DEB">
        <w:rPr>
          <w:rFonts w:ascii="Bookman Old Style" w:hAnsi="Bookman Old Style" w:cs="Times New Roman"/>
          <w:sz w:val="24"/>
          <w:szCs w:val="24"/>
        </w:rPr>
        <w:t xml:space="preserve">1000zł. </w:t>
      </w:r>
      <w:r w:rsidR="00030AD6" w:rsidRPr="00946DEB">
        <w:rPr>
          <w:rFonts w:ascii="Bookman Old Style" w:hAnsi="Bookman Old Style" w:cs="Times New Roman"/>
          <w:sz w:val="24"/>
          <w:szCs w:val="24"/>
        </w:rPr>
        <w:t xml:space="preserve">Podwyższenie tej kwoty o więcej niż 6 razy jest uzasadnione tym, że </w:t>
      </w:r>
      <w:r w:rsidR="002911E2" w:rsidRPr="00946DEB">
        <w:rPr>
          <w:rFonts w:ascii="Bookman Old Style" w:hAnsi="Bookman Old Style" w:cs="Times New Roman"/>
          <w:sz w:val="24"/>
          <w:szCs w:val="24"/>
        </w:rPr>
        <w:t xml:space="preserve">w razie konieczności </w:t>
      </w:r>
      <w:r w:rsidR="00E57BE9" w:rsidRPr="00946DEB">
        <w:rPr>
          <w:rFonts w:ascii="Bookman Old Style" w:hAnsi="Bookman Old Style" w:cs="Times New Roman"/>
          <w:sz w:val="24"/>
          <w:szCs w:val="24"/>
        </w:rPr>
        <w:t>zaliczenia</w:t>
      </w:r>
      <w:r w:rsidR="00C30CD3" w:rsidRPr="00946DEB">
        <w:rPr>
          <w:rFonts w:ascii="Bookman Old Style" w:hAnsi="Bookman Old Style" w:cs="Times New Roman"/>
          <w:sz w:val="24"/>
          <w:szCs w:val="24"/>
        </w:rPr>
        <w:t xml:space="preserve"> wykonanej</w:t>
      </w:r>
      <w:r w:rsidR="00E57BE9" w:rsidRPr="00946DEB">
        <w:rPr>
          <w:rFonts w:ascii="Bookman Old Style" w:hAnsi="Bookman Old Style" w:cs="Times New Roman"/>
          <w:sz w:val="24"/>
          <w:szCs w:val="24"/>
        </w:rPr>
        <w:t xml:space="preserve"> kary grzywny</w:t>
      </w:r>
      <w:r w:rsidR="00C30CD3" w:rsidRPr="00946DEB">
        <w:rPr>
          <w:rFonts w:ascii="Bookman Old Style" w:hAnsi="Bookman Old Style" w:cs="Times New Roman"/>
          <w:sz w:val="24"/>
          <w:szCs w:val="24"/>
        </w:rPr>
        <w:t xml:space="preserve"> orzeczonej za przestępstwo</w:t>
      </w:r>
      <w:r w:rsidR="00E57BE9" w:rsidRPr="00946DEB">
        <w:rPr>
          <w:rFonts w:ascii="Bookman Old Style" w:hAnsi="Bookman Old Style" w:cs="Times New Roman"/>
          <w:sz w:val="24"/>
          <w:szCs w:val="24"/>
        </w:rPr>
        <w:t xml:space="preserve"> na</w:t>
      </w:r>
      <w:r w:rsidR="00C30CD3" w:rsidRPr="00946DEB">
        <w:rPr>
          <w:rFonts w:ascii="Bookman Old Style" w:hAnsi="Bookman Old Style" w:cs="Times New Roman"/>
          <w:sz w:val="24"/>
          <w:szCs w:val="24"/>
        </w:rPr>
        <w:t xml:space="preserve"> poczet</w:t>
      </w:r>
      <w:r w:rsidR="00E57BE9" w:rsidRPr="00946DEB">
        <w:rPr>
          <w:rFonts w:ascii="Bookman Old Style" w:hAnsi="Bookman Old Style" w:cs="Times New Roman"/>
          <w:sz w:val="24"/>
          <w:szCs w:val="24"/>
        </w:rPr>
        <w:t xml:space="preserve"> kar</w:t>
      </w:r>
      <w:r w:rsidR="00C30CD3" w:rsidRPr="00946DEB">
        <w:rPr>
          <w:rFonts w:ascii="Bookman Old Style" w:hAnsi="Bookman Old Style" w:cs="Times New Roman"/>
          <w:sz w:val="24"/>
          <w:szCs w:val="24"/>
        </w:rPr>
        <w:t>y</w:t>
      </w:r>
      <w:r w:rsidR="00E57BE9" w:rsidRPr="00946DEB">
        <w:rPr>
          <w:rFonts w:ascii="Bookman Old Style" w:hAnsi="Bookman Old Style" w:cs="Times New Roman"/>
          <w:sz w:val="24"/>
          <w:szCs w:val="24"/>
        </w:rPr>
        <w:t xml:space="preserve"> aresztu,</w:t>
      </w:r>
      <w:r w:rsidR="00623990" w:rsidRPr="00946DEB">
        <w:rPr>
          <w:rFonts w:ascii="Bookman Old Style" w:hAnsi="Bookman Old Style" w:cs="Times New Roman"/>
          <w:sz w:val="24"/>
          <w:szCs w:val="24"/>
        </w:rPr>
        <w:t xml:space="preserve"> który wynosić ma maksymalnie 30 dni</w:t>
      </w:r>
      <w:r w:rsidR="00885A89" w:rsidRPr="00946DEB">
        <w:rPr>
          <w:rFonts w:ascii="Bookman Old Style" w:hAnsi="Bookman Old Style" w:cs="Times New Roman"/>
          <w:sz w:val="24"/>
          <w:szCs w:val="24"/>
        </w:rPr>
        <w:t>, zaliczenia kara grzywny</w:t>
      </w:r>
      <w:r w:rsidR="00E91FC3" w:rsidRPr="00946DEB">
        <w:rPr>
          <w:rFonts w:ascii="Bookman Old Style" w:hAnsi="Bookman Old Style" w:cs="Times New Roman"/>
          <w:sz w:val="24"/>
          <w:szCs w:val="24"/>
        </w:rPr>
        <w:t xml:space="preserve"> pokrywać się</w:t>
      </w:r>
      <w:r w:rsidR="00D53ACB" w:rsidRPr="00946DEB">
        <w:rPr>
          <w:rFonts w:ascii="Bookman Old Style" w:hAnsi="Bookman Old Style" w:cs="Times New Roman"/>
          <w:sz w:val="24"/>
          <w:szCs w:val="24"/>
        </w:rPr>
        <w:t xml:space="preserve"> będzie</w:t>
      </w:r>
      <w:r w:rsidR="00E91FC3" w:rsidRPr="00946DEB">
        <w:rPr>
          <w:rFonts w:ascii="Bookman Old Style" w:hAnsi="Bookman Old Style" w:cs="Times New Roman"/>
          <w:sz w:val="24"/>
          <w:szCs w:val="24"/>
        </w:rPr>
        <w:t xml:space="preserve"> w pełni z karą aresztu</w:t>
      </w:r>
      <w:r w:rsidR="00AB3D6B" w:rsidRPr="00946DEB">
        <w:rPr>
          <w:rFonts w:ascii="Bookman Old Style" w:hAnsi="Bookman Old Style" w:cs="Times New Roman"/>
          <w:sz w:val="24"/>
          <w:szCs w:val="24"/>
        </w:rPr>
        <w:t>.</w:t>
      </w:r>
      <w:r w:rsidR="00E91FC3" w:rsidRPr="00946DEB">
        <w:rPr>
          <w:rFonts w:ascii="Bookman Old Style" w:hAnsi="Bookman Old Style" w:cs="Times New Roman"/>
          <w:sz w:val="24"/>
          <w:szCs w:val="24"/>
        </w:rPr>
        <w:t xml:space="preserve"> </w:t>
      </w:r>
      <w:r w:rsidR="00D53ACB" w:rsidRPr="00946DEB">
        <w:rPr>
          <w:rFonts w:ascii="Bookman Old Style" w:hAnsi="Bookman Old Style" w:cs="Times New Roman"/>
          <w:sz w:val="24"/>
          <w:szCs w:val="24"/>
        </w:rPr>
        <w:t xml:space="preserve">Jeden dzień aresztu jako równoważny kwocie 1000zł. daje </w:t>
      </w:r>
      <w:r w:rsidR="00B402A2" w:rsidRPr="00946DEB">
        <w:rPr>
          <w:rFonts w:ascii="Bookman Old Style" w:hAnsi="Bookman Old Style" w:cs="Times New Roman"/>
          <w:sz w:val="24"/>
          <w:szCs w:val="24"/>
        </w:rPr>
        <w:t xml:space="preserve">przy maksymalnym wymiarze kary izolacyjnej 30.000zł. grzywny. </w:t>
      </w:r>
      <w:r w:rsidR="00E57BE9" w:rsidRPr="00946DEB">
        <w:rPr>
          <w:rFonts w:ascii="Bookman Old Style" w:hAnsi="Bookman Old Style" w:cs="Times New Roman"/>
          <w:sz w:val="24"/>
          <w:szCs w:val="24"/>
        </w:rPr>
        <w:t xml:space="preserve"> </w:t>
      </w:r>
    </w:p>
    <w:p w14:paraId="197DA265" w14:textId="4314B9B8" w:rsidR="00DE27A7" w:rsidRPr="00946DEB" w:rsidRDefault="00956537"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r>
      <w:r w:rsidR="004B4209" w:rsidRPr="00946DEB">
        <w:rPr>
          <w:rFonts w:ascii="Bookman Old Style" w:hAnsi="Bookman Old Style"/>
          <w:sz w:val="24"/>
          <w:szCs w:val="24"/>
        </w:rPr>
        <w:t xml:space="preserve">Po </w:t>
      </w:r>
      <w:r w:rsidR="009E36D9" w:rsidRPr="00946DEB">
        <w:rPr>
          <w:rFonts w:ascii="Bookman Old Style" w:hAnsi="Bookman Old Style"/>
          <w:sz w:val="24"/>
          <w:szCs w:val="24"/>
        </w:rPr>
        <w:t>trzecie</w:t>
      </w:r>
      <w:r w:rsidR="004B4209" w:rsidRPr="00946DEB">
        <w:rPr>
          <w:rFonts w:ascii="Bookman Old Style" w:hAnsi="Bookman Old Style"/>
          <w:sz w:val="24"/>
          <w:szCs w:val="24"/>
        </w:rPr>
        <w:t xml:space="preserve">, zmianie musiał ulec również przelicznik w art. </w:t>
      </w:r>
      <w:r w:rsidR="00173B66" w:rsidRPr="00946DEB">
        <w:rPr>
          <w:rFonts w:ascii="Bookman Old Style" w:hAnsi="Bookman Old Style"/>
          <w:sz w:val="24"/>
          <w:szCs w:val="24"/>
        </w:rPr>
        <w:t xml:space="preserve">25§4kw, gdzie- analogicznie do art. 10§2kw </w:t>
      </w:r>
      <w:r w:rsidR="00F47CED">
        <w:rPr>
          <w:rFonts w:ascii="Bookman Old Style" w:hAnsi="Bookman Old Style"/>
          <w:sz w:val="24"/>
          <w:szCs w:val="24"/>
        </w:rPr>
        <w:t>wynosi on</w:t>
      </w:r>
      <w:r w:rsidR="00173B66" w:rsidRPr="00946DEB">
        <w:rPr>
          <w:rFonts w:ascii="Bookman Old Style" w:hAnsi="Bookman Old Style"/>
          <w:sz w:val="24"/>
          <w:szCs w:val="24"/>
        </w:rPr>
        <w:t xml:space="preserve"> od 20 do 150zł. </w:t>
      </w:r>
      <w:r w:rsidR="000D0CAD" w:rsidRPr="00946DEB">
        <w:rPr>
          <w:rFonts w:ascii="Bookman Old Style" w:hAnsi="Bookman Old Style"/>
          <w:sz w:val="24"/>
          <w:szCs w:val="24"/>
        </w:rPr>
        <w:t>Ponieważ unormowanie to dotyczy zmiany kary grzywny na karę aresztu należało podwyższyć górną granicę tego przedziału w taki sposób , aby odpowiadała ona maksymalnej karze aresztu (tj. 30 dni)</w:t>
      </w:r>
      <w:r w:rsidR="00DE6B2E" w:rsidRPr="00946DEB">
        <w:rPr>
          <w:rFonts w:ascii="Bookman Old Style" w:hAnsi="Bookman Old Style"/>
          <w:sz w:val="24"/>
          <w:szCs w:val="24"/>
        </w:rPr>
        <w:t xml:space="preserve"> oraz maksymalnej karze grzywny w wysokości 30.000zł. Przyjęto zatem górną granicę na poziomie 1000zł. </w:t>
      </w:r>
      <w:r w:rsidR="00880685" w:rsidRPr="00946DEB">
        <w:rPr>
          <w:rFonts w:ascii="Bookman Old Style" w:hAnsi="Bookman Old Style"/>
          <w:sz w:val="24"/>
          <w:szCs w:val="24"/>
        </w:rPr>
        <w:t>W tej sytuacji</w:t>
      </w:r>
      <w:r w:rsidR="00C1679E" w:rsidRPr="00946DEB">
        <w:rPr>
          <w:rFonts w:ascii="Bookman Old Style" w:hAnsi="Bookman Old Style"/>
          <w:sz w:val="24"/>
          <w:szCs w:val="24"/>
        </w:rPr>
        <w:t>, na gruncie Kodeksu wykroczeń,</w:t>
      </w:r>
      <w:r w:rsidR="00880685" w:rsidRPr="00946DEB">
        <w:rPr>
          <w:rFonts w:ascii="Bookman Old Style" w:hAnsi="Bookman Old Style"/>
          <w:sz w:val="24"/>
          <w:szCs w:val="24"/>
        </w:rPr>
        <w:t xml:space="preserve"> wymierzenie grzywny w maksymalnym wymiarze 30.000zł. powoduje, że w razie potrzeby zamiany j</w:t>
      </w:r>
      <w:r w:rsidR="009C2C00" w:rsidRPr="00946DEB">
        <w:rPr>
          <w:rFonts w:ascii="Bookman Old Style" w:hAnsi="Bookman Old Style"/>
          <w:sz w:val="24"/>
          <w:szCs w:val="24"/>
        </w:rPr>
        <w:t>e</w:t>
      </w:r>
      <w:r w:rsidR="00880685" w:rsidRPr="00946DEB">
        <w:rPr>
          <w:rFonts w:ascii="Bookman Old Style" w:hAnsi="Bookman Old Style"/>
          <w:sz w:val="24"/>
          <w:szCs w:val="24"/>
        </w:rPr>
        <w:t>j na kar</w:t>
      </w:r>
      <w:r w:rsidR="009C2C00" w:rsidRPr="00946DEB">
        <w:rPr>
          <w:rFonts w:ascii="Bookman Old Style" w:hAnsi="Bookman Old Style"/>
          <w:sz w:val="24"/>
          <w:szCs w:val="24"/>
        </w:rPr>
        <w:t>ę</w:t>
      </w:r>
      <w:r w:rsidR="00880685" w:rsidRPr="00946DEB">
        <w:rPr>
          <w:rFonts w:ascii="Bookman Old Style" w:hAnsi="Bookman Old Style"/>
          <w:sz w:val="24"/>
          <w:szCs w:val="24"/>
        </w:rPr>
        <w:t xml:space="preserve"> aresztu </w:t>
      </w:r>
      <w:r w:rsidR="00703AF5" w:rsidRPr="00946DEB">
        <w:rPr>
          <w:rFonts w:ascii="Bookman Old Style" w:hAnsi="Bookman Old Style"/>
          <w:sz w:val="24"/>
          <w:szCs w:val="24"/>
        </w:rPr>
        <w:t xml:space="preserve">nie można przyjąć przelicznika wyższego niż 1000zł. co daje łącznie 30 dni aresztu i nie pozwala przekroczyć tego maksimum przy takiej zamianie. </w:t>
      </w:r>
      <w:r w:rsidR="00B34C49" w:rsidRPr="00946DEB">
        <w:rPr>
          <w:rFonts w:ascii="Bookman Old Style" w:hAnsi="Bookman Old Style"/>
          <w:sz w:val="24"/>
          <w:szCs w:val="24"/>
        </w:rPr>
        <w:t>Nie jest jednocześnie konieczne wprowadzanie regulacji wskazującej, że zastępcza kara aresztu nie może przekroczyć 30 dni, albowiem przyjęcie maksymalnej kwoty przelicznika na poziomie 1000zł. i tak nie pozwala na wymierzenie surowszej zastępczej kary izolacyjnej.</w:t>
      </w:r>
    </w:p>
    <w:p w14:paraId="5F1F6D04" w14:textId="76D6E31B" w:rsidR="009E36D9" w:rsidRPr="00946DEB" w:rsidRDefault="009E36D9"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Po czwarte</w:t>
      </w:r>
      <w:r w:rsidRPr="00946DEB">
        <w:rPr>
          <w:rFonts w:ascii="Bookman Old Style" w:hAnsi="Bookman Old Style" w:cs="Times New Roman"/>
          <w:sz w:val="24"/>
          <w:szCs w:val="24"/>
        </w:rPr>
        <w:t>, zmiany wymagał przepis art. 24§1kk, w którym konsekwentnie podwyższono górną granic</w:t>
      </w:r>
      <w:r w:rsidR="00E43ADB">
        <w:rPr>
          <w:rFonts w:ascii="Bookman Old Style" w:hAnsi="Bookman Old Style" w:cs="Times New Roman"/>
          <w:sz w:val="24"/>
          <w:szCs w:val="24"/>
        </w:rPr>
        <w:t>ę</w:t>
      </w:r>
      <w:r w:rsidRPr="00946DEB">
        <w:rPr>
          <w:rFonts w:ascii="Bookman Old Style" w:hAnsi="Bookman Old Style" w:cs="Times New Roman"/>
          <w:sz w:val="24"/>
          <w:szCs w:val="24"/>
        </w:rPr>
        <w:t xml:space="preserve"> grzywny do 30.000zł., ale jednocześnie postanowiono o uchyleniu przepisu art. 24§1a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który przewidywał karę w takim wymiarze za niektóre wykroczenia w części szczególnej Kodeksu. Unormowanie to stało się bezprzedmiotowe.</w:t>
      </w:r>
      <w:r w:rsidR="00AE257F" w:rsidRPr="00946DEB">
        <w:rPr>
          <w:rFonts w:ascii="Bookman Old Style" w:hAnsi="Bookman Old Style" w:cs="Times New Roman"/>
          <w:sz w:val="24"/>
          <w:szCs w:val="24"/>
        </w:rPr>
        <w:t xml:space="preserve"> Wobec </w:t>
      </w:r>
      <w:r w:rsidR="00AE257F" w:rsidRPr="00946DEB">
        <w:rPr>
          <w:rFonts w:ascii="Bookman Old Style" w:hAnsi="Bookman Old Style" w:cs="Times New Roman"/>
          <w:sz w:val="24"/>
          <w:szCs w:val="24"/>
        </w:rPr>
        <w:lastRenderedPageBreak/>
        <w:t>faktu, że w ustawodawstwie szczególnym występują wyższ</w:t>
      </w:r>
      <w:r w:rsidR="00483FC9" w:rsidRPr="00946DEB">
        <w:rPr>
          <w:rFonts w:ascii="Bookman Old Style" w:hAnsi="Bookman Old Style" w:cs="Times New Roman"/>
          <w:sz w:val="24"/>
          <w:szCs w:val="24"/>
        </w:rPr>
        <w:t xml:space="preserve">e niż 30.000zł. kary za wykroczenia, pozostawiono zastrzeżenie „chyba że ustawa stanowi inaczej”. Trzeba jednak podkreślić, że należy uznać za wysoce niepożądany stan, w którym przepis ogólny, tj. art. 1§1kw przewiduje górną granicy grzywny za wykroczenie na poziomie 30.000zł. </w:t>
      </w:r>
      <w:r w:rsidR="00440ED3" w:rsidRPr="00946DEB">
        <w:rPr>
          <w:rFonts w:ascii="Bookman Old Style" w:hAnsi="Bookman Old Style" w:cs="Times New Roman"/>
          <w:sz w:val="24"/>
          <w:szCs w:val="24"/>
        </w:rPr>
        <w:t xml:space="preserve">, a ustawodawstwo szczególne czyni od tego wyjątki. </w:t>
      </w:r>
      <w:r w:rsidR="001A72D6" w:rsidRPr="00946DEB">
        <w:rPr>
          <w:rFonts w:ascii="Bookman Old Style" w:hAnsi="Bookman Old Style" w:cs="Times New Roman"/>
          <w:sz w:val="24"/>
          <w:szCs w:val="24"/>
        </w:rPr>
        <w:t xml:space="preserve">Wydaje się, że przy opracowywaniu kompleksowej reformy prawa wykroczeń taka regulacja będzie musiała ulec zmianie. </w:t>
      </w:r>
    </w:p>
    <w:p w14:paraId="7C636B13" w14:textId="77777777" w:rsidR="0068045F" w:rsidRPr="00946DEB" w:rsidRDefault="002827D8" w:rsidP="00F90E1D">
      <w:pPr>
        <w:spacing w:line="360" w:lineRule="auto"/>
        <w:ind w:firstLine="425"/>
        <w:jc w:val="both"/>
        <w:rPr>
          <w:rFonts w:ascii="Bookman Old Style" w:hAnsi="Bookman Old Style" w:cs="Times New Roman"/>
          <w:color w:val="ED7D31" w:themeColor="accent2"/>
          <w:sz w:val="24"/>
          <w:szCs w:val="24"/>
          <w:lang w:bidi="hi-IN"/>
        </w:rPr>
      </w:pPr>
      <w:r w:rsidRPr="00946DEB">
        <w:rPr>
          <w:rFonts w:ascii="Bookman Old Style" w:hAnsi="Bookman Old Style" w:cs="Times New Roman"/>
          <w:sz w:val="24"/>
          <w:szCs w:val="24"/>
        </w:rPr>
        <w:t xml:space="preserve">Zdecydowano się na wprowadzenie zmian w obszarze </w:t>
      </w:r>
      <w:r w:rsidR="00CF774E" w:rsidRPr="00946DEB">
        <w:rPr>
          <w:rFonts w:ascii="Bookman Old Style" w:hAnsi="Bookman Old Style" w:cs="Times New Roman"/>
          <w:sz w:val="24"/>
          <w:szCs w:val="24"/>
        </w:rPr>
        <w:t xml:space="preserve">zasad odpowiedzialności za współdziałanie w popełnieniu wykroczenia. </w:t>
      </w:r>
      <w:r w:rsidRPr="00946DEB">
        <w:rPr>
          <w:rFonts w:ascii="Bookman Old Style" w:hAnsi="Bookman Old Style" w:cs="Times New Roman"/>
          <w:sz w:val="24"/>
          <w:szCs w:val="24"/>
        </w:rPr>
        <w:t xml:space="preserve">Komisja kodyfikacyjna przygotowująca </w:t>
      </w:r>
      <w:r w:rsidR="00CF774E" w:rsidRPr="00946DEB">
        <w:rPr>
          <w:rFonts w:ascii="Bookman Old Style" w:hAnsi="Bookman Old Style" w:cs="Times New Roman"/>
          <w:sz w:val="24"/>
          <w:szCs w:val="24"/>
        </w:rPr>
        <w:t>K</w:t>
      </w:r>
      <w:r w:rsidRPr="00946DEB">
        <w:rPr>
          <w:rFonts w:ascii="Bookman Old Style" w:hAnsi="Bookman Old Style" w:cs="Times New Roman"/>
          <w:sz w:val="24"/>
          <w:szCs w:val="24"/>
        </w:rPr>
        <w:t xml:space="preserve">odeks wykroczeń uchwalony w 1971 r. przyjęła założenie całkowicie samodzielnego charakteru części ogólnej projektu, rezygnując z jakichkolwiek odesłań do przepisów Kodeksu karnego (por. także postanowienie Sądu Najwyższego z dnia 25 lutego 2004 r., sygn. akt II KK 393/03, LEX 102913). Równocześnie recypowane instytucje części ogólnej prawa karnego zostały odpowiednio zmodyfikowane z uwzględnieniem charakteru wykroczeń jako czynów karalnych różniących się od przestępstw stopniem społecznego niebezpieczeństwa czynu (M. Łysko: Udział przedstawicieli nauki w pracach nad kodyfikacją materialnego prawa wykroczeń w Polsce Ludowej, Czasopismo Prawno-Historyczne 2015, T. LXVII, z. 1, s. 150). To ostatecznie miało – z założenia – doprowadzić do uproszczenia regulacji będących odpowiednikiem instytucji prawa karnego. Bardzo często polegało to na pominięciu części przepisu lub nawet całej regulacji odnoszącej się do danej instytucji. Taki zabieg techniczno-legislacyjny spowodował, że na gruncie prawa wykroczeń pojawia się wiele wątpliwości co do istnienia, zakresu oraz prawnych konsekwencji licznych konstrukcji znanych Kodeksowi karnemu, a pominiętych w prawie wykroczeń. Problem ten dotyczy również sprawczych form współdziałania – współsprawstwa, sprawstwa kierowniczego i </w:t>
      </w:r>
      <w:proofErr w:type="spellStart"/>
      <w:r w:rsidRPr="00946DEB">
        <w:rPr>
          <w:rFonts w:ascii="Bookman Old Style" w:hAnsi="Bookman Old Style" w:cs="Times New Roman"/>
          <w:sz w:val="24"/>
          <w:szCs w:val="24"/>
        </w:rPr>
        <w:t>poleceniowego</w:t>
      </w:r>
      <w:proofErr w:type="spellEnd"/>
      <w:r w:rsidRPr="00946DEB">
        <w:rPr>
          <w:rFonts w:ascii="Bookman Old Style" w:hAnsi="Bookman Old Style" w:cs="Times New Roman"/>
          <w:sz w:val="24"/>
          <w:szCs w:val="24"/>
        </w:rPr>
        <w:t xml:space="preserve"> (polecającego). Obecnie w doktrynie prezentowane są dwa przeciwstawne stanowiska odnośnie do współsprawstwa. Według pierwszego współsprawstwo jest możliwe także w prawie wykroczeń, mimo braku odpowiednika art. 18 § 1 zdanie drugie k.k. Pogląd ten uzasadnia się możliwością odwołania się do konstrukcji prawa karnego, wykładnią historyczną, użyciem w art. 14 § 2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pojęcia </w:t>
      </w:r>
      <w:r w:rsidRPr="00946DEB">
        <w:rPr>
          <w:rFonts w:ascii="Bookman Old Style" w:hAnsi="Bookman Old Style" w:cs="Times New Roman"/>
          <w:sz w:val="24"/>
          <w:szCs w:val="24"/>
        </w:rPr>
        <w:lastRenderedPageBreak/>
        <w:t xml:space="preserve">„współdziałający”, a także względami spójności systemowej i równości wobec prawa. Zwolennicy tego stanowiska uważają, że przepisy części szczególnej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stanowią wystarczającą podstawę odpowiedzialności niezależnie od tego, czy sprawca działa sam, czy wspólnie z inną osobą. Przeciwne stanowisko zakłada, że współsprawstwa nie można konstruować bez wyraźnej podstawy ustawowej. </w:t>
      </w:r>
      <w:r w:rsidR="00C82F59" w:rsidRPr="00946DEB">
        <w:rPr>
          <w:rFonts w:ascii="Bookman Old Style" w:hAnsi="Bookman Old Style" w:cs="Times New Roman"/>
          <w:sz w:val="24"/>
          <w:szCs w:val="24"/>
        </w:rPr>
        <w:t>Przepis a</w:t>
      </w:r>
      <w:r w:rsidRPr="00946DEB">
        <w:rPr>
          <w:rFonts w:ascii="Bookman Old Style" w:hAnsi="Bookman Old Style" w:cs="Times New Roman"/>
          <w:sz w:val="24"/>
          <w:szCs w:val="24"/>
        </w:rPr>
        <w:t xml:space="preserve">rt. 18 § 1 k.k. nie może modyfikować norm sankcjonujących wynikających z przepisów Kodeksu wykroczeń, a znamiona wykroczenia popełnionego we współsprawstwie nie zostały zakodowane w żadnym przepisie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Kodeks wykroczeń nie reguluje również sprawstwa kierowniczego ani </w:t>
      </w:r>
      <w:proofErr w:type="spellStart"/>
      <w:r w:rsidRPr="00946DEB">
        <w:rPr>
          <w:rFonts w:ascii="Bookman Old Style" w:hAnsi="Bookman Old Style" w:cs="Times New Roman"/>
          <w:sz w:val="24"/>
          <w:szCs w:val="24"/>
        </w:rPr>
        <w:t>poleceniowego</w:t>
      </w:r>
      <w:proofErr w:type="spellEnd"/>
      <w:r w:rsidRPr="00946DEB">
        <w:rPr>
          <w:rFonts w:ascii="Bookman Old Style" w:hAnsi="Bookman Old Style" w:cs="Times New Roman"/>
          <w:sz w:val="24"/>
          <w:szCs w:val="24"/>
        </w:rPr>
        <w:t xml:space="preserve"> (polecającego). Doktryna zasadniczo odrzuca możliwość stosowania tych konstrukcji, ponieważ osoby kierujące wykonaniem czynu lub polecające jego popełnienie same nie realizują znamion wykroczenia, a brakuje przepisu pozwalającego uznać je za sprawców. Ich zachowanie może być zatem kwalifikowane jedynie jako podżeganie lub pomocnictwo, o ile ustawa przewiduje karalność tych form. Podżeganie i pomocnictwo nie stanowią pełnego substytutu tych postaci sprawstwa: mają odmienny charakter prawny, a ich karalność w prawie wykroczeń jest ograniczona. Współsprawstwo oraz sprawstwo kierownicze i polecające nie mogą stanowić podstawy odpowiedzialności za wykroczenie bez jednoznacznej regulacji ustawowej, nawet jeżeli przemawiałyby za tym względy systemowe lub </w:t>
      </w:r>
      <w:proofErr w:type="spellStart"/>
      <w:r w:rsidRPr="00946DEB">
        <w:rPr>
          <w:rFonts w:ascii="Bookman Old Style" w:hAnsi="Bookman Old Style" w:cs="Times New Roman"/>
          <w:sz w:val="24"/>
          <w:szCs w:val="24"/>
        </w:rPr>
        <w:t>kryminalnopolityczne</w:t>
      </w:r>
      <w:proofErr w:type="spellEnd"/>
      <w:r w:rsidRPr="00946DEB">
        <w:rPr>
          <w:rFonts w:ascii="Bookman Old Style" w:hAnsi="Bookman Old Style" w:cs="Times New Roman"/>
          <w:sz w:val="24"/>
          <w:szCs w:val="24"/>
        </w:rPr>
        <w:t xml:space="preserve">. Brak takiej regulacji może jednak wskazywać na lukę wymagającą interwencji ustawodawcy. W opinii projektodawcy wprowadzenie w zakresie omawianych zagadnień pełnego katalogu form współdziałania jawi się więc jako niezbędne. </w:t>
      </w:r>
    </w:p>
    <w:p w14:paraId="0E56F363" w14:textId="37BDFD33" w:rsidR="00047BE5" w:rsidRPr="00946DEB" w:rsidRDefault="002827D8" w:rsidP="00047BE5">
      <w:pPr>
        <w:spacing w:line="360" w:lineRule="auto"/>
        <w:ind w:firstLine="425"/>
        <w:jc w:val="both"/>
        <w:rPr>
          <w:rFonts w:ascii="Bookman Old Style" w:hAnsi="Bookman Old Style" w:cs="Times New Roman"/>
          <w:color w:val="ED7D31" w:themeColor="accent2"/>
          <w:sz w:val="24"/>
          <w:szCs w:val="24"/>
          <w:lang w:bidi="hi-IN"/>
        </w:rPr>
      </w:pPr>
      <w:r w:rsidRPr="00946DEB">
        <w:rPr>
          <w:rFonts w:ascii="Bookman Old Style" w:hAnsi="Bookman Old Style" w:cs="Times New Roman"/>
          <w:sz w:val="24"/>
          <w:szCs w:val="24"/>
        </w:rPr>
        <w:t xml:space="preserve">Równocześnie należy zauważyć, że na poziomie generalnym zakres kryminalizacji w przypadku wykroczeń jest zasadniczo szerszy ze względu na rozleglejszy zakres strony podmiotowej poszczególnych typizacji wykroczeniowych (co wynika z zasady ekwiwalencji strony podmiotowej w wykroczeniach – art. 5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Same zaś wykroczenia cechuje niższy stopień społecznej szkodliwości (w porównaniu z przestępstwami). W konsekwencji proponowana nowelizacja nie mogła sprowadzać się do mechanicznego przeniesienia zasad odpowiedzialności za sprawcze formy współdziałania do prawa wykroczeń – należało wprowadzić mechanizm uadekwatniający zakres </w:t>
      </w:r>
      <w:r w:rsidRPr="00946DEB">
        <w:rPr>
          <w:rFonts w:ascii="Bookman Old Style" w:hAnsi="Bookman Old Style" w:cs="Times New Roman"/>
          <w:sz w:val="24"/>
          <w:szCs w:val="24"/>
        </w:rPr>
        <w:lastRenderedPageBreak/>
        <w:t xml:space="preserve">tej odpowiedzialności, szczególnie w przypadku tzw. </w:t>
      </w:r>
      <w:proofErr w:type="spellStart"/>
      <w:r w:rsidRPr="00946DEB">
        <w:rPr>
          <w:rFonts w:ascii="Bookman Old Style" w:hAnsi="Bookman Old Style" w:cs="Times New Roman"/>
          <w:sz w:val="24"/>
          <w:szCs w:val="24"/>
        </w:rPr>
        <w:t>niewykonawczych</w:t>
      </w:r>
      <w:proofErr w:type="spellEnd"/>
      <w:r w:rsidRPr="00946DEB">
        <w:rPr>
          <w:rFonts w:ascii="Bookman Old Style" w:hAnsi="Bookman Old Style" w:cs="Times New Roman"/>
          <w:sz w:val="24"/>
          <w:szCs w:val="24"/>
        </w:rPr>
        <w:t xml:space="preserve"> postaci sprawczego współdziałania. O ile bowiem proponowany art. 11a § 1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stanowi odbicie art. 18 § 1 </w:t>
      </w:r>
      <w:proofErr w:type="spellStart"/>
      <w:r w:rsidRPr="00946DEB">
        <w:rPr>
          <w:rFonts w:ascii="Bookman Old Style" w:hAnsi="Bookman Old Style" w:cs="Times New Roman"/>
          <w:sz w:val="24"/>
          <w:szCs w:val="24"/>
        </w:rPr>
        <w:t>zd</w:t>
      </w:r>
      <w:proofErr w:type="spellEnd"/>
      <w:r w:rsidRPr="00946DEB">
        <w:rPr>
          <w:rFonts w:ascii="Bookman Old Style" w:hAnsi="Bookman Old Style" w:cs="Times New Roman"/>
          <w:sz w:val="24"/>
          <w:szCs w:val="24"/>
        </w:rPr>
        <w:t xml:space="preserve">. 1 i 2 k.k. (przewidziane w przepisach kodeksu karnego definicje sprawstwa pojedynczego i współsprawstwa są adekwatne także na gruncie prawa wykroczeń), o tyle art. 11a § 2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znacznie ogranicza odpowiedzialność za sprawstwo kierownicze i polecające w porównaniu ze swoim odpowiednikiem w kodeksie karnym, pozostawiając jednak główny trzon definicyjny tych postaci sprawczego współdziałania. Także na gruncie prawa wykroczeń sprawstwo kierownicze definiowane jest jako kierowanie wykonaniem czynu zabronionego przez inną osobę, zaś sprawstwo polecające jako polecenie wykonania czynu zabronionego przy wykorzystaniu uzależnienia innej osoby od siebie. Różnica sprowadza się, po pierwsze, do wyraźnego wskazania, że chodzi o odpowiedzialność za sprawstwo wykroczenia umyślnego (zatem nie można zrealizować znamion wykroczenia nieumyślnego w formie sprawstwa kierowniczego i polecającego) i to nie każdego, ale tylko takiego, w przypadku którego karalne jest podżeganie i pomocnictwo, i tylko wtedy, gdy bezpośredni wykonawca dokonał czynu zabronionego (art. 14 § 2</w:t>
      </w:r>
      <w:r w:rsidR="00FB7A06">
        <w:rPr>
          <w:rFonts w:ascii="Bookman Old Style" w:hAnsi="Bookman Old Style" w:cs="Times New Roman"/>
          <w:sz w:val="24"/>
          <w:szCs w:val="24"/>
        </w:rPr>
        <w:t>a</w:t>
      </w:r>
      <w:r w:rsidRPr="00946DEB">
        <w:rPr>
          <w:rFonts w:ascii="Bookman Old Style" w:hAnsi="Bookman Old Style" w:cs="Times New Roman"/>
          <w:sz w:val="24"/>
          <w:szCs w:val="24"/>
        </w:rPr>
        <w:t xml:space="preserve">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Na gruncie prawa wykroczeń mamy zatem także do czynienia z akcesoryjnym charakterem odpowiedzialności za sprawstwo kierownicze i polecające, przy czym sposób sformułowania projektowanego art. 14 § 2</w:t>
      </w:r>
      <w:r w:rsidR="00FB7A06">
        <w:rPr>
          <w:rFonts w:ascii="Bookman Old Style" w:hAnsi="Bookman Old Style" w:cs="Times New Roman"/>
          <w:sz w:val="24"/>
          <w:szCs w:val="24"/>
        </w:rPr>
        <w:t>a</w:t>
      </w:r>
      <w:r w:rsidRPr="00946DEB">
        <w:rPr>
          <w:rFonts w:ascii="Bookman Old Style" w:hAnsi="Bookman Old Style" w:cs="Times New Roman"/>
          <w:sz w:val="24"/>
          <w:szCs w:val="24"/>
        </w:rPr>
        <w:t xml:space="preserve">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wskazuje na brak możliwości pociągnięcia sprawcy kierowniczego i polecającego (podobnie jak podżegacza i pomocnika) do odpowiedzialności za usiłowanie popełnienia czynu zabronionego. </w:t>
      </w:r>
    </w:p>
    <w:p w14:paraId="24DCBE3E" w14:textId="50B0165E" w:rsidR="002827D8" w:rsidRPr="00946DEB" w:rsidRDefault="002827D8" w:rsidP="00047BE5">
      <w:pPr>
        <w:spacing w:line="360" w:lineRule="auto"/>
        <w:ind w:firstLine="425"/>
        <w:jc w:val="both"/>
        <w:rPr>
          <w:rFonts w:ascii="Bookman Old Style" w:hAnsi="Bookman Old Style" w:cs="Times New Roman"/>
          <w:color w:val="ED7D31" w:themeColor="accent2"/>
          <w:sz w:val="24"/>
          <w:szCs w:val="24"/>
          <w:lang w:bidi="hi-IN"/>
        </w:rPr>
      </w:pPr>
      <w:r w:rsidRPr="00946DEB">
        <w:rPr>
          <w:rFonts w:ascii="Bookman Old Style" w:hAnsi="Bookman Old Style" w:cs="Times New Roman"/>
          <w:sz w:val="24"/>
          <w:szCs w:val="24"/>
        </w:rPr>
        <w:t xml:space="preserve">Celem projektodawcy było także </w:t>
      </w:r>
      <w:proofErr w:type="spellStart"/>
      <w:r w:rsidRPr="00946DEB">
        <w:rPr>
          <w:rFonts w:ascii="Bookman Old Style" w:hAnsi="Bookman Old Style" w:cs="Times New Roman"/>
          <w:sz w:val="24"/>
          <w:szCs w:val="24"/>
        </w:rPr>
        <w:t>uspójnienie</w:t>
      </w:r>
      <w:proofErr w:type="spellEnd"/>
      <w:r w:rsidRPr="00946DEB">
        <w:rPr>
          <w:rFonts w:ascii="Bookman Old Style" w:hAnsi="Bookman Old Style" w:cs="Times New Roman"/>
          <w:sz w:val="24"/>
          <w:szCs w:val="24"/>
        </w:rPr>
        <w:t xml:space="preserve"> zasad odpowiedzialności za współdziałanie w całym prawie wykroczeń z wykorzystaniem dorobku doktryny prawa karnego, co oznaczało przyjęcie na gruncie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zasad wprost sformułowanych w kodeksie karnym. W konsekwencji w projekcie nowelizacji kodeksu wykroczeń przewidziano nowe przepisy art. 14b i art. 14c. Dotychczasowe brzmienie art. 14 § 2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zostało oznaczone jako art. 14a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a jego „nowe” usytuowanie po uregulowaniach dotyczących sprawczych postaci współdziałania ma znaczenie z perspektywy wykładni systemowej. Nie powinno w tym momencie budzić wątpliwości, że odnosi się on nie tylko – jak </w:t>
      </w:r>
      <w:r w:rsidRPr="00946DEB">
        <w:rPr>
          <w:rFonts w:ascii="Bookman Old Style" w:hAnsi="Bookman Old Style" w:cs="Times New Roman"/>
          <w:sz w:val="24"/>
          <w:szCs w:val="24"/>
        </w:rPr>
        <w:lastRenderedPageBreak/>
        <w:t xml:space="preserve">dotychczas – do podżegania i pomocnictwa, ale także do współsprawstwa, sprawstwa kierowniczego i sprawstwa polecającego. </w:t>
      </w:r>
    </w:p>
    <w:p w14:paraId="437B0CC4" w14:textId="77777777" w:rsidR="002827D8" w:rsidRPr="00946DEB" w:rsidRDefault="002827D8" w:rsidP="00F12C4C">
      <w:pPr>
        <w:spacing w:line="360" w:lineRule="auto"/>
        <w:ind w:firstLine="425"/>
        <w:jc w:val="both"/>
        <w:rPr>
          <w:rFonts w:ascii="Bookman Old Style" w:hAnsi="Bookman Old Style" w:cs="Times New Roman"/>
          <w:color w:val="ED7D31" w:themeColor="accent2"/>
          <w:sz w:val="24"/>
          <w:szCs w:val="24"/>
          <w:shd w:val="clear" w:color="auto" w:fill="FFFFFF"/>
        </w:rPr>
      </w:pPr>
      <w:r w:rsidRPr="00946DEB">
        <w:rPr>
          <w:rFonts w:ascii="Bookman Old Style" w:hAnsi="Bookman Old Style" w:cs="Times New Roman"/>
          <w:sz w:val="24"/>
          <w:szCs w:val="24"/>
        </w:rPr>
        <w:t xml:space="preserve">O ile ze względu na konstrukcję podżegania i pomocnictwa nie pojawiał się dotychczas problem odpowiedzialności za współdziałanie przy wykroczeniach indywidualnych, o tyle w przypadku sprawczych postaci współdziałania taki problem może wystąpić. Stąd decyzja o wprowadzeniu art. 14b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stanowiącego odpowiednik art. 22 § 1 i 2 k.k. Art. 14b pozwala zatem na pociągnięcie do odpowiedzialności za wykroczenie indywidualne </w:t>
      </w:r>
      <w:proofErr w:type="spellStart"/>
      <w:r w:rsidRPr="00946DEB">
        <w:rPr>
          <w:rFonts w:ascii="Bookman Old Style" w:hAnsi="Bookman Old Style" w:cs="Times New Roman"/>
          <w:sz w:val="24"/>
          <w:szCs w:val="24"/>
        </w:rPr>
        <w:t>ekstraneusa</w:t>
      </w:r>
      <w:proofErr w:type="spellEnd"/>
      <w:r w:rsidRPr="00946DEB">
        <w:rPr>
          <w:rFonts w:ascii="Bookman Old Style" w:hAnsi="Bookman Old Style" w:cs="Times New Roman"/>
          <w:sz w:val="24"/>
          <w:szCs w:val="24"/>
        </w:rPr>
        <w:t xml:space="preserve">, ale tylko wtedy, gdy współdziałał on w jego popełnieniu z </w:t>
      </w:r>
      <w:proofErr w:type="spellStart"/>
      <w:r w:rsidRPr="00946DEB">
        <w:rPr>
          <w:rFonts w:ascii="Bookman Old Style" w:hAnsi="Bookman Old Style" w:cs="Times New Roman"/>
          <w:sz w:val="24"/>
          <w:szCs w:val="24"/>
        </w:rPr>
        <w:t>intraneusem</w:t>
      </w:r>
      <w:proofErr w:type="spellEnd"/>
      <w:r w:rsidRPr="00946DEB">
        <w:rPr>
          <w:rFonts w:ascii="Bookman Old Style" w:hAnsi="Bookman Old Style" w:cs="Times New Roman"/>
          <w:sz w:val="24"/>
          <w:szCs w:val="24"/>
        </w:rPr>
        <w:t xml:space="preserve"> i o tym fakcie wiedział.  </w:t>
      </w:r>
    </w:p>
    <w:p w14:paraId="3C2E9EE1" w14:textId="2CBC7515" w:rsidR="00EB5838" w:rsidRPr="00946DEB" w:rsidRDefault="002827D8" w:rsidP="002239B3">
      <w:pPr>
        <w:spacing w:after="0" w:line="360" w:lineRule="auto"/>
        <w:ind w:firstLine="425"/>
        <w:jc w:val="both"/>
        <w:rPr>
          <w:rFonts w:ascii="Bookman Old Style" w:hAnsi="Bookman Old Style"/>
          <w:sz w:val="24"/>
          <w:szCs w:val="24"/>
        </w:rPr>
      </w:pPr>
      <w:r w:rsidRPr="00946DEB">
        <w:rPr>
          <w:rFonts w:ascii="Bookman Old Style" w:hAnsi="Bookman Old Style" w:cs="Times New Roman"/>
          <w:sz w:val="24"/>
          <w:szCs w:val="24"/>
        </w:rPr>
        <w:t xml:space="preserve">W kodeksie wykroczeń ustawodawca nie przewidywał instytucji niepodlegania karze jako konsekwencji okazanego przez sprawcę czynnego żalu. Po części uzasadnione było to </w:t>
      </w:r>
      <w:proofErr w:type="spellStart"/>
      <w:r w:rsidRPr="00946DEB">
        <w:rPr>
          <w:rFonts w:ascii="Bookman Old Style" w:hAnsi="Bookman Old Style" w:cs="Times New Roman"/>
          <w:sz w:val="24"/>
          <w:szCs w:val="24"/>
        </w:rPr>
        <w:t>dekompletyzacją</w:t>
      </w:r>
      <w:proofErr w:type="spellEnd"/>
      <w:r w:rsidRPr="00946DEB">
        <w:rPr>
          <w:rFonts w:ascii="Bookman Old Style" w:hAnsi="Bookman Old Style" w:cs="Times New Roman"/>
          <w:sz w:val="24"/>
          <w:szCs w:val="24"/>
        </w:rPr>
        <w:t xml:space="preserve"> katalogu form współdziałania, a niektórzy upatrywali jego uzasadnienia w przesłankach karalności podżegania i pomocnictwa, m.in. w postaci dokonania wykroczenia. Dla zwolenników tezy, że przepisy części szczególnej są podstawą odpowiedzialności za współsprawstwo przy wykroczeniu, funkcję degresji karania pełnić może art. 39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(niebędący jednak konstrukcją niepodlegania karze). Zaproponowana nowelizacja i poszerzenie katalogu form sprawczych oznaczają, że konstrukcja niepodlegania karze powiązana z czynnym żalem okazanym przez sprawcę musi się pojawić w kodeksie wykroczeń. Równocześnie kodeks wykroczeń nie będzie przewidywał szczególnej regulacji dotyczącej nieskutecznego czynnego żalu (analogicznie do art. 11 § 4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projektodawca bowiem stoi na stanowisku, że do redukcji karalności wystarczy art. 39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(pełniący w tym zakresie funkcję analogiczną do funkcji art. 15 § 2 i art. 23 § 2 k.k., a przy tym o nawet szerszym zakresie degresji). Przepis art. 14c posługuje się sformułowaniami dobrze osadzonymi w siatce pojęciowej prawa karnego, zatem ich wykładnia nie powinna nastręczać szczególnych trudności. Z uwagi na treść art. 14 § 2</w:t>
      </w:r>
      <w:r w:rsidR="001D2C6A">
        <w:rPr>
          <w:rFonts w:ascii="Bookman Old Style" w:hAnsi="Bookman Old Style" w:cs="Times New Roman"/>
          <w:sz w:val="24"/>
          <w:szCs w:val="24"/>
        </w:rPr>
        <w:t>a</w:t>
      </w:r>
      <w:r w:rsidRPr="00946DEB">
        <w:rPr>
          <w:rFonts w:ascii="Bookman Old Style" w:hAnsi="Bookman Old Style" w:cs="Times New Roman"/>
          <w:sz w:val="24"/>
          <w:szCs w:val="24"/>
        </w:rPr>
        <w:t xml:space="preserve">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(warunek karalności w postaci dokonania) przepis art. 14c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 xml:space="preserve">. odnosić się będzie </w:t>
      </w:r>
      <w:r w:rsidRPr="00946DEB">
        <w:rPr>
          <w:rFonts w:ascii="Bookman Old Style" w:hAnsi="Bookman Old Style" w:cs="Times New Roman"/>
          <w:i/>
          <w:iCs/>
          <w:sz w:val="24"/>
          <w:szCs w:val="24"/>
        </w:rPr>
        <w:t>de facto</w:t>
      </w:r>
      <w:r w:rsidRPr="00946DEB">
        <w:rPr>
          <w:rFonts w:ascii="Bookman Old Style" w:hAnsi="Bookman Old Style" w:cs="Times New Roman"/>
          <w:sz w:val="24"/>
          <w:szCs w:val="24"/>
        </w:rPr>
        <w:t xml:space="preserve"> do współsprawstwa (ewentualnie innych form współuczestnictwa przewidzianych w prawie wykroczeń, np. poruczeń – art. 70 </w:t>
      </w:r>
      <w:proofErr w:type="spellStart"/>
      <w:r w:rsidRPr="00946DEB">
        <w:rPr>
          <w:rFonts w:ascii="Bookman Old Style" w:hAnsi="Bookman Old Style" w:cs="Times New Roman"/>
          <w:sz w:val="24"/>
          <w:szCs w:val="24"/>
        </w:rPr>
        <w:t>k.w</w:t>
      </w:r>
      <w:proofErr w:type="spellEnd"/>
      <w:r w:rsidRPr="00946DEB">
        <w:rPr>
          <w:rFonts w:ascii="Bookman Old Style" w:hAnsi="Bookman Old Style" w:cs="Times New Roman"/>
          <w:sz w:val="24"/>
          <w:szCs w:val="24"/>
        </w:rPr>
        <w:t>.).</w:t>
      </w:r>
    </w:p>
    <w:p w14:paraId="7CAB35A3" w14:textId="047FF6E0" w:rsidR="00040D56" w:rsidRPr="00946DEB" w:rsidRDefault="00040D56" w:rsidP="00EB5838">
      <w:pPr>
        <w:spacing w:after="0" w:line="360" w:lineRule="auto"/>
        <w:ind w:firstLine="708"/>
        <w:jc w:val="both"/>
        <w:rPr>
          <w:rFonts w:ascii="Bookman Old Style" w:hAnsi="Bookman Old Style"/>
          <w:sz w:val="24"/>
          <w:szCs w:val="24"/>
        </w:rPr>
      </w:pPr>
      <w:r w:rsidRPr="00946DEB">
        <w:rPr>
          <w:rFonts w:ascii="Bookman Old Style" w:hAnsi="Bookman Old Style"/>
          <w:sz w:val="24"/>
          <w:szCs w:val="24"/>
        </w:rPr>
        <w:lastRenderedPageBreak/>
        <w:t>Zdecydowano się na uchylenie przepisu art. 21§2</w:t>
      </w:r>
      <w:r w:rsidR="00466062" w:rsidRPr="00946DEB">
        <w:rPr>
          <w:rFonts w:ascii="Bookman Old Style" w:hAnsi="Bookman Old Style"/>
          <w:sz w:val="24"/>
          <w:szCs w:val="24"/>
        </w:rPr>
        <w:t xml:space="preserve"> </w:t>
      </w:r>
      <w:proofErr w:type="spellStart"/>
      <w:r w:rsidR="00466062" w:rsidRPr="00946DEB">
        <w:rPr>
          <w:rFonts w:ascii="Bookman Old Style" w:hAnsi="Bookman Old Style"/>
          <w:sz w:val="24"/>
          <w:szCs w:val="24"/>
        </w:rPr>
        <w:t>kw</w:t>
      </w:r>
      <w:proofErr w:type="spellEnd"/>
      <w:r w:rsidR="00466062" w:rsidRPr="00946DEB">
        <w:rPr>
          <w:rFonts w:ascii="Bookman Old Style" w:hAnsi="Bookman Old Style"/>
          <w:sz w:val="24"/>
          <w:szCs w:val="24"/>
        </w:rPr>
        <w:t xml:space="preserve"> tj. unormowania dotyczącego kary ograniczenia wolności w postaci potrąceń z wynagrodzenia za pracę. Powodem takiego rozwiązania jest</w:t>
      </w:r>
      <w:r w:rsidR="00F72BB6" w:rsidRPr="00946DEB">
        <w:rPr>
          <w:rFonts w:ascii="Bookman Old Style" w:hAnsi="Bookman Old Style"/>
          <w:sz w:val="24"/>
          <w:szCs w:val="24"/>
        </w:rPr>
        <w:t xml:space="preserve"> przede wszystkim marginalny odsetek sięgania po ten wariant kary ograniczenia wolności, a także</w:t>
      </w:r>
      <w:r w:rsidR="00466062" w:rsidRPr="00946DEB">
        <w:rPr>
          <w:rFonts w:ascii="Bookman Old Style" w:hAnsi="Bookman Old Style"/>
          <w:sz w:val="24"/>
          <w:szCs w:val="24"/>
        </w:rPr>
        <w:t xml:space="preserve"> to, że obecny kształt tego przewiduje </w:t>
      </w:r>
      <w:r w:rsidR="002307A8" w:rsidRPr="00946DEB">
        <w:rPr>
          <w:rFonts w:ascii="Bookman Old Style" w:hAnsi="Bookman Old Style"/>
          <w:sz w:val="24"/>
          <w:szCs w:val="24"/>
        </w:rPr>
        <w:t xml:space="preserve">min. potrącenia na rzecz Skarbu Państwa, co powoduje , że kara ta </w:t>
      </w:r>
      <w:r w:rsidR="00561B7A" w:rsidRPr="00946DEB">
        <w:rPr>
          <w:rFonts w:ascii="Bookman Old Style" w:hAnsi="Bookman Old Style"/>
          <w:sz w:val="24"/>
          <w:szCs w:val="24"/>
        </w:rPr>
        <w:t>nie różni się niczym od grzywny rozłożonej na raty</w:t>
      </w:r>
      <w:r w:rsidR="00F72BB6" w:rsidRPr="00946DEB">
        <w:rPr>
          <w:rFonts w:ascii="Bookman Old Style" w:hAnsi="Bookman Old Style"/>
          <w:sz w:val="24"/>
          <w:szCs w:val="24"/>
        </w:rPr>
        <w:t xml:space="preserve"> (por. </w:t>
      </w:r>
      <w:r w:rsidR="00F978C7" w:rsidRPr="00946DEB">
        <w:rPr>
          <w:rFonts w:ascii="Bookman Old Style" w:hAnsi="Bookman Old Style"/>
          <w:sz w:val="24"/>
          <w:szCs w:val="24"/>
        </w:rPr>
        <w:t xml:space="preserve">J. Jakubowska-Hara [w:] Reforma prawa wykroczeń. Tom I, red. P. Daniluk, Warszawa </w:t>
      </w:r>
      <w:r w:rsidR="009814BE" w:rsidRPr="00946DEB">
        <w:rPr>
          <w:rFonts w:ascii="Bookman Old Style" w:hAnsi="Bookman Old Style"/>
          <w:sz w:val="24"/>
          <w:szCs w:val="24"/>
        </w:rPr>
        <w:t>2019, s. 245</w:t>
      </w:r>
      <w:r w:rsidR="00F72BB6" w:rsidRPr="00946DEB">
        <w:rPr>
          <w:rFonts w:ascii="Bookman Old Style" w:hAnsi="Bookman Old Style"/>
          <w:sz w:val="24"/>
          <w:szCs w:val="24"/>
        </w:rPr>
        <w:t>).</w:t>
      </w:r>
    </w:p>
    <w:p w14:paraId="6FFCD4B6" w14:textId="293F7D15" w:rsidR="00D34744" w:rsidRDefault="00561B7A" w:rsidP="001730F3">
      <w:pPr>
        <w:spacing w:after="0" w:line="360" w:lineRule="auto"/>
        <w:jc w:val="both"/>
        <w:rPr>
          <w:rFonts w:ascii="Bookman Old Style" w:hAnsi="Bookman Old Style"/>
          <w:sz w:val="24"/>
          <w:szCs w:val="24"/>
        </w:rPr>
      </w:pPr>
      <w:r w:rsidRPr="00946DEB">
        <w:rPr>
          <w:rFonts w:ascii="Bookman Old Style" w:hAnsi="Bookman Old Style"/>
          <w:sz w:val="24"/>
          <w:szCs w:val="24"/>
        </w:rPr>
        <w:tab/>
      </w:r>
      <w:r w:rsidR="00AE1E53" w:rsidRPr="00946DEB">
        <w:rPr>
          <w:rFonts w:ascii="Bookman Old Style" w:hAnsi="Bookman Old Style"/>
          <w:sz w:val="24"/>
          <w:szCs w:val="24"/>
        </w:rPr>
        <w:t xml:space="preserve">Postanowiono również zwiększyć swobodę sądu przy orzekaniu kary grzywny obok kary aresztu oraz </w:t>
      </w:r>
      <w:r w:rsidR="006B356A" w:rsidRPr="00946DEB">
        <w:rPr>
          <w:rFonts w:ascii="Bookman Old Style" w:hAnsi="Bookman Old Style"/>
          <w:sz w:val="24"/>
          <w:szCs w:val="24"/>
        </w:rPr>
        <w:t>kary zastępczej aresztu za niezapłaconą grzywnę. W tym pierwszym przypadku zmianie uległ przepis art.</w:t>
      </w:r>
      <w:r w:rsidR="0038384A" w:rsidRPr="00946DEB">
        <w:rPr>
          <w:rFonts w:ascii="Bookman Old Style" w:hAnsi="Bookman Old Style"/>
          <w:sz w:val="24"/>
          <w:szCs w:val="24"/>
        </w:rPr>
        <w:t xml:space="preserve"> 24§2kw, który przewiduje obecnie obligatoryjne orzekanie kary grzywny </w:t>
      </w:r>
      <w:r w:rsidR="005E4F70" w:rsidRPr="00946DEB">
        <w:rPr>
          <w:rFonts w:ascii="Bookman Old Style" w:hAnsi="Bookman Old Style"/>
          <w:sz w:val="24"/>
          <w:szCs w:val="24"/>
        </w:rPr>
        <w:t>w przypadku wymierzenia kary aresztu za wykroczenie popełnione w celu osiągnięcia korzyści majątkowej</w:t>
      </w:r>
      <w:r w:rsidR="00F11F82" w:rsidRPr="00946DEB">
        <w:rPr>
          <w:rFonts w:ascii="Bookman Old Style" w:hAnsi="Bookman Old Style"/>
          <w:sz w:val="24"/>
          <w:szCs w:val="24"/>
        </w:rPr>
        <w:t xml:space="preserve"> poprzez wprowadzenie fakultatywności grzywny kumulatywnej. W tym drugim </w:t>
      </w:r>
      <w:r w:rsidR="00FB16E5" w:rsidRPr="00946DEB">
        <w:rPr>
          <w:rFonts w:ascii="Bookman Old Style" w:hAnsi="Bookman Old Style"/>
          <w:sz w:val="24"/>
          <w:szCs w:val="24"/>
        </w:rPr>
        <w:t xml:space="preserve">przypadku, na gruncie przepisu art. 23§1kw obecnie przewidziane jest obligatoryjne zarządzenie zastępczej kary aresztu , które proponuje się zmienić na zarządzenie fakultatywnych. Obydwie zmiany mają sprzyjać </w:t>
      </w:r>
      <w:r w:rsidR="00AF5E42" w:rsidRPr="00946DEB">
        <w:rPr>
          <w:rFonts w:ascii="Bookman Old Style" w:hAnsi="Bookman Old Style"/>
          <w:sz w:val="24"/>
          <w:szCs w:val="24"/>
        </w:rPr>
        <w:t xml:space="preserve">pełniejszej realizacji zasady indywidualizacji odpowiedzialności za wykroczenie, która na gruncie obecnego kształtu obu przepisów doznaje uszczerbku poprzez uniemożliwienie dostosowania </w:t>
      </w:r>
      <w:r w:rsidR="00A06AC3" w:rsidRPr="00946DEB">
        <w:rPr>
          <w:rFonts w:ascii="Bookman Old Style" w:hAnsi="Bookman Old Style"/>
          <w:sz w:val="24"/>
          <w:szCs w:val="24"/>
        </w:rPr>
        <w:t xml:space="preserve">bezpośredniej reakcji na wykroczenie albo uchylanie się od kary grzywny. Takie rozwiązanie </w:t>
      </w:r>
      <w:r w:rsidR="00AE3625" w:rsidRPr="00946DEB">
        <w:rPr>
          <w:rFonts w:ascii="Bookman Old Style" w:hAnsi="Bookman Old Style"/>
          <w:sz w:val="24"/>
          <w:szCs w:val="24"/>
        </w:rPr>
        <w:t>w pełniejszym zakresie uwzględnia zasadę swobody sędziowskiej przy orzekaniu kary grzywny kumulatywnej oraz zastępczej kary aresztu.</w:t>
      </w:r>
      <w:r w:rsidR="00D34744">
        <w:rPr>
          <w:rFonts w:ascii="Bookman Old Style" w:hAnsi="Bookman Old Style"/>
          <w:sz w:val="24"/>
          <w:szCs w:val="24"/>
        </w:rPr>
        <w:t xml:space="preserve"> </w:t>
      </w:r>
    </w:p>
    <w:p w14:paraId="386C6A79" w14:textId="42221CD6" w:rsidR="001730F3" w:rsidRPr="001730F3" w:rsidRDefault="001730F3" w:rsidP="001730F3">
      <w:pPr>
        <w:spacing w:after="120" w:line="360" w:lineRule="auto"/>
        <w:ind w:firstLine="567"/>
        <w:jc w:val="both"/>
        <w:rPr>
          <w:rFonts w:ascii="Bookman Old Style" w:hAnsi="Bookman Old Style"/>
          <w:sz w:val="24"/>
          <w:szCs w:val="24"/>
        </w:rPr>
      </w:pPr>
      <w:r w:rsidRPr="001730F3">
        <w:rPr>
          <w:rFonts w:ascii="Bookman Old Style" w:hAnsi="Bookman Old Style"/>
          <w:sz w:val="24"/>
          <w:szCs w:val="24"/>
        </w:rPr>
        <w:t xml:space="preserve">Nowe brzmienie art. 35 </w:t>
      </w:r>
      <w:proofErr w:type="spellStart"/>
      <w:r w:rsidRPr="001730F3">
        <w:rPr>
          <w:rFonts w:ascii="Bookman Old Style" w:hAnsi="Bookman Old Style"/>
          <w:sz w:val="24"/>
          <w:szCs w:val="24"/>
        </w:rPr>
        <w:t>k.w</w:t>
      </w:r>
      <w:proofErr w:type="spellEnd"/>
      <w:r w:rsidRPr="001730F3">
        <w:rPr>
          <w:rFonts w:ascii="Bookman Old Style" w:hAnsi="Bookman Old Style"/>
          <w:sz w:val="24"/>
          <w:szCs w:val="24"/>
        </w:rPr>
        <w:t xml:space="preserve">. </w:t>
      </w:r>
      <w:r w:rsidR="00767CDE">
        <w:rPr>
          <w:rFonts w:ascii="Bookman Old Style" w:hAnsi="Bookman Old Style"/>
          <w:sz w:val="24"/>
          <w:szCs w:val="24"/>
        </w:rPr>
        <w:t>stanowi</w:t>
      </w:r>
      <w:r w:rsidRPr="001730F3">
        <w:rPr>
          <w:rFonts w:ascii="Bookman Old Style" w:hAnsi="Bookman Old Style"/>
          <w:sz w:val="24"/>
          <w:szCs w:val="24"/>
        </w:rPr>
        <w:t xml:space="preserve">, że jeżeli ustawa przewiduje możliwość wyboru rodzaju kary, a wykroczenie zagrożone jest karą aresztu, sąd orzeka tę karę tylko wtedy, gdy wykroczenie zostało popełnione umyślnie, a inna kara lub środek karny nie może spełnić celów kary. Zamiast dotychczasowych, </w:t>
      </w:r>
      <w:proofErr w:type="spellStart"/>
      <w:r w:rsidRPr="001730F3">
        <w:rPr>
          <w:rFonts w:ascii="Bookman Old Style" w:hAnsi="Bookman Old Style"/>
          <w:sz w:val="24"/>
          <w:szCs w:val="24"/>
        </w:rPr>
        <w:t>ocennych</w:t>
      </w:r>
      <w:proofErr w:type="spellEnd"/>
      <w:r w:rsidRPr="001730F3">
        <w:rPr>
          <w:rFonts w:ascii="Bookman Old Style" w:hAnsi="Bookman Old Style"/>
          <w:sz w:val="24"/>
          <w:szCs w:val="24"/>
        </w:rPr>
        <w:t xml:space="preserve"> przesłanek (waga czynu, okoliczności świadczące o demoralizacji sprawcy, sposób działania zasługujący na szczególne potępienie) przepis wprowadza regułę kary izolacyjnej jako </w:t>
      </w:r>
      <w:r w:rsidRPr="001730F3">
        <w:rPr>
          <w:rFonts w:ascii="Bookman Old Style" w:hAnsi="Bookman Old Style"/>
          <w:i/>
          <w:iCs/>
          <w:sz w:val="24"/>
          <w:szCs w:val="24"/>
        </w:rPr>
        <w:t>ultima ratio</w:t>
      </w:r>
      <w:r w:rsidRPr="001730F3">
        <w:rPr>
          <w:rFonts w:ascii="Bookman Old Style" w:hAnsi="Bookman Old Style"/>
          <w:sz w:val="24"/>
          <w:szCs w:val="24"/>
        </w:rPr>
        <w:t xml:space="preserve">, sformułowaną analogicznie jak w art. 58 § 1 k.k. Proponowane brzmienie przepisu pozwala na realizację w wyższym stopniu zasady proporcjonalności, wynikającej z art. 31 ust. 3 Konstytucji RP. Ponadto przesłanki zastosowania </w:t>
      </w:r>
      <w:r w:rsidRPr="001730F3">
        <w:rPr>
          <w:rFonts w:ascii="Bookman Old Style" w:hAnsi="Bookman Old Style"/>
          <w:sz w:val="24"/>
          <w:szCs w:val="24"/>
        </w:rPr>
        <w:lastRenderedPageBreak/>
        <w:t>kary aresztu ulec mają zaostrzeniu, co sprzyjać będzie mniejszej arbitralności w decyzjach sądów</w:t>
      </w:r>
      <w:r w:rsidR="001F52B6">
        <w:rPr>
          <w:rFonts w:ascii="Bookman Old Style" w:hAnsi="Bookman Old Style"/>
          <w:sz w:val="24"/>
          <w:szCs w:val="24"/>
        </w:rPr>
        <w:t xml:space="preserve"> przy orzekaniu tej kary najsurowszej</w:t>
      </w:r>
      <w:r w:rsidRPr="001730F3">
        <w:rPr>
          <w:rFonts w:ascii="Bookman Old Style" w:hAnsi="Bookman Old Style"/>
          <w:sz w:val="24"/>
          <w:szCs w:val="24"/>
        </w:rPr>
        <w:t>. Wzorowanie regulacji na art. 58 § 1 k.k. pozwoli na wykorzystanie przy jej wykładni dorobku orzeczniczego i doktrynalnego wypracowanego na gruncie tego przepisu</w:t>
      </w:r>
      <w:r>
        <w:rPr>
          <w:rFonts w:ascii="Bookman Old Style" w:hAnsi="Bookman Old Style"/>
          <w:sz w:val="24"/>
          <w:szCs w:val="24"/>
        </w:rPr>
        <w:t>.</w:t>
      </w:r>
    </w:p>
    <w:p w14:paraId="7003AEBF" w14:textId="474F64D4" w:rsidR="00DD318D" w:rsidRPr="00DD318D" w:rsidRDefault="00DD318D" w:rsidP="00DD318D">
      <w:pPr>
        <w:spacing w:after="120" w:line="360" w:lineRule="auto"/>
        <w:ind w:firstLine="567"/>
        <w:jc w:val="both"/>
        <w:rPr>
          <w:rFonts w:ascii="Bookman Old Style" w:hAnsi="Bookman Old Style"/>
          <w:sz w:val="24"/>
          <w:szCs w:val="24"/>
        </w:rPr>
      </w:pPr>
      <w:r w:rsidRPr="00DD318D">
        <w:rPr>
          <w:rFonts w:ascii="Bookman Old Style" w:hAnsi="Bookman Old Style"/>
          <w:sz w:val="24"/>
          <w:szCs w:val="24"/>
        </w:rPr>
        <w:t xml:space="preserve">W projekcie proponuje się uchylenie art. 36 </w:t>
      </w:r>
      <w:proofErr w:type="spellStart"/>
      <w:r w:rsidRPr="00DD318D">
        <w:rPr>
          <w:rFonts w:ascii="Bookman Old Style" w:hAnsi="Bookman Old Style"/>
          <w:sz w:val="24"/>
          <w:szCs w:val="24"/>
        </w:rPr>
        <w:t>k.w</w:t>
      </w:r>
      <w:proofErr w:type="spellEnd"/>
      <w:r w:rsidRPr="00DD318D">
        <w:rPr>
          <w:rFonts w:ascii="Bookman Old Style" w:hAnsi="Bookman Old Style"/>
          <w:sz w:val="24"/>
          <w:szCs w:val="24"/>
        </w:rPr>
        <w:t xml:space="preserve">. Przepis § 1 </w:t>
      </w:r>
      <w:r w:rsidR="00333F00">
        <w:rPr>
          <w:rFonts w:ascii="Bookman Old Style" w:hAnsi="Bookman Old Style"/>
          <w:sz w:val="24"/>
          <w:szCs w:val="24"/>
        </w:rPr>
        <w:t>zawiera</w:t>
      </w:r>
      <w:r w:rsidRPr="00DD318D">
        <w:rPr>
          <w:rFonts w:ascii="Bookman Old Style" w:hAnsi="Bookman Old Style"/>
          <w:sz w:val="24"/>
          <w:szCs w:val="24"/>
        </w:rPr>
        <w:t xml:space="preserve"> </w:t>
      </w:r>
      <w:r w:rsidR="00D62D8E">
        <w:rPr>
          <w:rFonts w:ascii="Bookman Old Style" w:hAnsi="Bookman Old Style"/>
          <w:sz w:val="24"/>
          <w:szCs w:val="24"/>
        </w:rPr>
        <w:t>szczególne</w:t>
      </w:r>
      <w:r w:rsidRPr="00DD318D">
        <w:rPr>
          <w:rFonts w:ascii="Bookman Old Style" w:hAnsi="Bookman Old Style"/>
          <w:sz w:val="24"/>
          <w:szCs w:val="24"/>
        </w:rPr>
        <w:t xml:space="preserve"> przesłanki orzeczenia najłagodniejszej kary przewidzianej w </w:t>
      </w:r>
      <w:proofErr w:type="spellStart"/>
      <w:r w:rsidRPr="00DD318D">
        <w:rPr>
          <w:rFonts w:ascii="Bookman Old Style" w:hAnsi="Bookman Old Style"/>
          <w:sz w:val="24"/>
          <w:szCs w:val="24"/>
        </w:rPr>
        <w:t>k.w</w:t>
      </w:r>
      <w:proofErr w:type="spellEnd"/>
      <w:r w:rsidRPr="00DD318D">
        <w:rPr>
          <w:rFonts w:ascii="Bookman Old Style" w:hAnsi="Bookman Old Style"/>
          <w:sz w:val="24"/>
          <w:szCs w:val="24"/>
        </w:rPr>
        <w:t xml:space="preserve">. Wymaga to dodatkowego uzasadnienia spełnienia </w:t>
      </w:r>
      <w:r w:rsidR="00D62D8E">
        <w:rPr>
          <w:rFonts w:ascii="Bookman Old Style" w:hAnsi="Bookman Old Style"/>
          <w:sz w:val="24"/>
          <w:szCs w:val="24"/>
        </w:rPr>
        <w:t>warunku</w:t>
      </w:r>
      <w:r w:rsidRPr="00DD318D">
        <w:rPr>
          <w:rFonts w:ascii="Bookman Old Style" w:hAnsi="Bookman Old Style"/>
          <w:sz w:val="24"/>
          <w:szCs w:val="24"/>
        </w:rPr>
        <w:t xml:space="preserve"> materialnoprawne</w:t>
      </w:r>
      <w:r w:rsidR="00D62D8E">
        <w:rPr>
          <w:rFonts w:ascii="Bookman Old Style" w:hAnsi="Bookman Old Style"/>
          <w:sz w:val="24"/>
          <w:szCs w:val="24"/>
        </w:rPr>
        <w:t>go</w:t>
      </w:r>
      <w:r w:rsidRPr="00DD318D">
        <w:rPr>
          <w:rFonts w:ascii="Bookman Old Style" w:hAnsi="Bookman Old Style"/>
          <w:sz w:val="24"/>
          <w:szCs w:val="24"/>
        </w:rPr>
        <w:t xml:space="preserve"> i w efekcie zniechęca sądy do sięgania po naganę. Po uchyleniu art. 36 </w:t>
      </w:r>
      <w:proofErr w:type="spellStart"/>
      <w:r w:rsidRPr="00DD318D">
        <w:rPr>
          <w:rFonts w:ascii="Bookman Old Style" w:hAnsi="Bookman Old Style"/>
          <w:sz w:val="24"/>
          <w:szCs w:val="24"/>
        </w:rPr>
        <w:t>k.w</w:t>
      </w:r>
      <w:proofErr w:type="spellEnd"/>
      <w:r w:rsidRPr="00DD318D">
        <w:rPr>
          <w:rFonts w:ascii="Bookman Old Style" w:hAnsi="Bookman Old Style"/>
          <w:sz w:val="24"/>
          <w:szCs w:val="24"/>
        </w:rPr>
        <w:t xml:space="preserve">. nagana pozostanie w katalogu kar, a przy decyzji o jej orzeczeniu będzie się stosowało ogólne dyrektywy sądowego wymiaru kary. Uchylenie art. 36 § 1 </w:t>
      </w:r>
      <w:proofErr w:type="spellStart"/>
      <w:r w:rsidRPr="00DD318D">
        <w:rPr>
          <w:rFonts w:ascii="Bookman Old Style" w:hAnsi="Bookman Old Style"/>
          <w:sz w:val="24"/>
          <w:szCs w:val="24"/>
        </w:rPr>
        <w:t>k.w</w:t>
      </w:r>
      <w:proofErr w:type="spellEnd"/>
      <w:r w:rsidRPr="00DD318D">
        <w:rPr>
          <w:rFonts w:ascii="Bookman Old Style" w:hAnsi="Bookman Old Style"/>
          <w:sz w:val="24"/>
          <w:szCs w:val="24"/>
        </w:rPr>
        <w:t xml:space="preserve">. powinno przyczynić </w:t>
      </w:r>
      <w:r w:rsidR="00327B34">
        <w:rPr>
          <w:rFonts w:ascii="Bookman Old Style" w:hAnsi="Bookman Old Style"/>
          <w:sz w:val="24"/>
          <w:szCs w:val="24"/>
        </w:rPr>
        <w:t xml:space="preserve">się </w:t>
      </w:r>
      <w:r w:rsidRPr="00DD318D">
        <w:rPr>
          <w:rFonts w:ascii="Bookman Old Style" w:hAnsi="Bookman Old Style"/>
          <w:sz w:val="24"/>
          <w:szCs w:val="24"/>
        </w:rPr>
        <w:t>do szerszego stosowania kary nagany, która w dzisiejszej praktyce wymiaru sprawiedliwości stosowana jest niezwykle rzadko.</w:t>
      </w:r>
    </w:p>
    <w:p w14:paraId="396843F4" w14:textId="10C24AA4" w:rsidR="00DD318D" w:rsidRPr="00DD318D" w:rsidRDefault="00DD318D" w:rsidP="00DD318D">
      <w:pPr>
        <w:spacing w:after="120" w:line="360" w:lineRule="auto"/>
        <w:ind w:firstLine="567"/>
        <w:jc w:val="both"/>
        <w:rPr>
          <w:rFonts w:ascii="Bookman Old Style" w:hAnsi="Bookman Old Style"/>
          <w:sz w:val="24"/>
          <w:szCs w:val="24"/>
        </w:rPr>
      </w:pPr>
      <w:r w:rsidRPr="00DD318D">
        <w:rPr>
          <w:rFonts w:ascii="Bookman Old Style" w:hAnsi="Bookman Old Style"/>
          <w:sz w:val="24"/>
          <w:szCs w:val="24"/>
        </w:rPr>
        <w:t xml:space="preserve">W projekcie przewiduje się także uchylenie art. 36 § 2 </w:t>
      </w:r>
      <w:proofErr w:type="spellStart"/>
      <w:r w:rsidRPr="00DD318D">
        <w:rPr>
          <w:rFonts w:ascii="Bookman Old Style" w:hAnsi="Bookman Old Style"/>
          <w:sz w:val="24"/>
          <w:szCs w:val="24"/>
        </w:rPr>
        <w:t>k.w</w:t>
      </w:r>
      <w:proofErr w:type="spellEnd"/>
      <w:r w:rsidRPr="00DD318D">
        <w:rPr>
          <w:rFonts w:ascii="Bookman Old Style" w:hAnsi="Bookman Old Style"/>
          <w:sz w:val="24"/>
          <w:szCs w:val="24"/>
        </w:rPr>
        <w:t xml:space="preserve">., </w:t>
      </w:r>
      <w:r w:rsidR="00327B34">
        <w:rPr>
          <w:rFonts w:ascii="Bookman Old Style" w:hAnsi="Bookman Old Style"/>
          <w:sz w:val="24"/>
          <w:szCs w:val="24"/>
        </w:rPr>
        <w:t>zawierającego</w:t>
      </w:r>
      <w:r w:rsidRPr="00DD318D">
        <w:rPr>
          <w:rFonts w:ascii="Bookman Old Style" w:hAnsi="Bookman Old Style"/>
          <w:sz w:val="24"/>
          <w:szCs w:val="24"/>
        </w:rPr>
        <w:t xml:space="preserve"> zakaz orzekania kary nagany w przypadku wykroczenia o charakterze chuligańskim. Zakaz ten ma charakter nieracjonalny, prowadzi do nadmiernego </w:t>
      </w:r>
      <w:proofErr w:type="spellStart"/>
      <w:r w:rsidRPr="00DD318D">
        <w:rPr>
          <w:rFonts w:ascii="Bookman Old Style" w:hAnsi="Bookman Old Style"/>
          <w:sz w:val="24"/>
          <w:szCs w:val="24"/>
        </w:rPr>
        <w:t>punitywizmu</w:t>
      </w:r>
      <w:proofErr w:type="spellEnd"/>
      <w:r w:rsidRPr="00DD318D">
        <w:rPr>
          <w:rFonts w:ascii="Bookman Old Style" w:hAnsi="Bookman Old Style"/>
          <w:sz w:val="24"/>
          <w:szCs w:val="24"/>
        </w:rPr>
        <w:t xml:space="preserve"> regulacji wykroczeniowej.</w:t>
      </w:r>
    </w:p>
    <w:p w14:paraId="61674C99" w14:textId="17695FB4" w:rsidR="0043644C" w:rsidRPr="00666709" w:rsidRDefault="0043644C" w:rsidP="00666709">
      <w:pPr>
        <w:spacing w:after="120" w:line="360" w:lineRule="auto"/>
        <w:ind w:firstLine="708"/>
        <w:jc w:val="both"/>
        <w:rPr>
          <w:rFonts w:ascii="Bookman Old Style" w:hAnsi="Bookman Old Style"/>
          <w:sz w:val="24"/>
          <w:szCs w:val="24"/>
        </w:rPr>
      </w:pPr>
      <w:r w:rsidRPr="0043644C">
        <w:rPr>
          <w:rFonts w:ascii="Bookman Old Style" w:hAnsi="Bookman Old Style"/>
          <w:sz w:val="24"/>
          <w:szCs w:val="24"/>
        </w:rPr>
        <w:t xml:space="preserve">W projekcie proponuje się uchylenie art. 39 § 4 </w:t>
      </w:r>
      <w:proofErr w:type="spellStart"/>
      <w:r w:rsidRPr="0043644C">
        <w:rPr>
          <w:rFonts w:ascii="Bookman Old Style" w:hAnsi="Bookman Old Style"/>
          <w:sz w:val="24"/>
          <w:szCs w:val="24"/>
        </w:rPr>
        <w:t>k.w</w:t>
      </w:r>
      <w:proofErr w:type="spellEnd"/>
      <w:r w:rsidRPr="0043644C">
        <w:rPr>
          <w:rFonts w:ascii="Bookman Old Style" w:hAnsi="Bookman Old Style"/>
          <w:sz w:val="24"/>
          <w:szCs w:val="24"/>
        </w:rPr>
        <w:t xml:space="preserve">., który przewiduje możliwość zastosowania wobec sprawcy – w razie odstąpienia od wymierzenia kary – środka oddziaływania społecznego, polegającego „zwłaszcza” na przeproszeniu pokrzywdzonego, uroczystym zapewnieniu niepopełniania więcej takiego czynu albo zobowiązaniu do przywrócenia stanu poprzedniego. Decyzja o uchyleniu tego przepisu motywowana jest przede wszystkim brakiem jakiejkolwiek dolegliwości wynikającej z zastosowania środka oddziaływania społecznego. W praktyce regulacja nie realizuje żadnej funkcji, jaką przypisuje się prawu wykroczeń. Ponadto z punktu widzenia gwarancji konstytucyjnych zasadnicze wątpliwości budzi otwarty katalog środków, które mogą zostać zastosowane na podstawie tego przepisu. </w:t>
      </w:r>
    </w:p>
    <w:p w14:paraId="4859FFFC" w14:textId="1EEEF785" w:rsidR="00A36A6F" w:rsidRPr="008876BD" w:rsidRDefault="00B0481E" w:rsidP="008876BD">
      <w:pPr>
        <w:spacing w:after="120" w:line="360" w:lineRule="auto"/>
        <w:ind w:firstLine="708"/>
        <w:jc w:val="both"/>
        <w:rPr>
          <w:rFonts w:ascii="Bookman Old Style" w:eastAsia="Times New Roman" w:hAnsi="Bookman Old Style" w:cs="Times New Roman"/>
          <w:kern w:val="0"/>
          <w:sz w:val="24"/>
          <w:szCs w:val="24"/>
          <w:lang w:eastAsia="pl-PL"/>
          <w14:ligatures w14:val="none"/>
        </w:rPr>
      </w:pPr>
      <w:r>
        <w:rPr>
          <w:rFonts w:ascii="Bookman Old Style" w:eastAsia="Times New Roman" w:hAnsi="Bookman Old Style" w:cs="Times New Roman"/>
          <w:kern w:val="0"/>
          <w:sz w:val="24"/>
          <w:szCs w:val="24"/>
          <w:lang w:eastAsia="pl-PL"/>
          <w14:ligatures w14:val="none"/>
        </w:rPr>
        <w:t>Zaproponowano także</w:t>
      </w:r>
      <w:r w:rsidR="00A36A6F" w:rsidRPr="00A36A6F">
        <w:rPr>
          <w:rFonts w:ascii="Bookman Old Style" w:eastAsia="Times New Roman" w:hAnsi="Bookman Old Style" w:cs="Times New Roman"/>
          <w:kern w:val="0"/>
          <w:sz w:val="24"/>
          <w:szCs w:val="24"/>
          <w:lang w:eastAsia="pl-PL"/>
          <w14:ligatures w14:val="none"/>
        </w:rPr>
        <w:t xml:space="preserve"> zmianę art. 41 </w:t>
      </w:r>
      <w:proofErr w:type="spellStart"/>
      <w:r w:rsidR="00A36A6F" w:rsidRPr="00A36A6F">
        <w:rPr>
          <w:rFonts w:ascii="Bookman Old Style" w:eastAsia="Times New Roman" w:hAnsi="Bookman Old Style" w:cs="Times New Roman"/>
          <w:kern w:val="0"/>
          <w:sz w:val="24"/>
          <w:szCs w:val="24"/>
          <w:lang w:eastAsia="pl-PL"/>
          <w14:ligatures w14:val="none"/>
        </w:rPr>
        <w:t>k.w</w:t>
      </w:r>
      <w:proofErr w:type="spellEnd"/>
      <w:r w:rsidR="00A36A6F" w:rsidRPr="00A36A6F">
        <w:rPr>
          <w:rFonts w:ascii="Bookman Old Style" w:eastAsia="Times New Roman" w:hAnsi="Bookman Old Style" w:cs="Times New Roman"/>
          <w:kern w:val="0"/>
          <w:sz w:val="24"/>
          <w:szCs w:val="24"/>
          <w:lang w:eastAsia="pl-PL"/>
          <w14:ligatures w14:val="none"/>
        </w:rPr>
        <w:t xml:space="preserve">., dotyczącego tzw. środków oddziaływania wychowawczego, polegającą przede wszystkim na ograniczeniu i zamknięciu ich katalogu. Aktualne brzmienie przepisu przewiduje możliwość poprzestania na pouczeniu, zwróceniu uwagi, ostrzeżeniu „lub na </w:t>
      </w:r>
      <w:r w:rsidR="00A36A6F" w:rsidRPr="00A36A6F">
        <w:rPr>
          <w:rFonts w:ascii="Bookman Old Style" w:eastAsia="Times New Roman" w:hAnsi="Bookman Old Style" w:cs="Times New Roman"/>
          <w:kern w:val="0"/>
          <w:sz w:val="24"/>
          <w:szCs w:val="24"/>
          <w:lang w:eastAsia="pl-PL"/>
          <w14:ligatures w14:val="none"/>
        </w:rPr>
        <w:lastRenderedPageBreak/>
        <w:t>zastosowaniu innych środków oddziaływania wychowawczego”. Zespół wskazał na potrzebę usunięcia otwartego katalogu tych środków, który ze względu na swoją nieprecyzyjność umożliwia ich dowolne kształtowanie w zależności od okoliczności konkretnej sprawy. Dla zapewnienia większej przejrzystości i jednolitości stosowania prawa, a także pełniejszej realizacji gwarancji konstytucyjnych, katalog środków oddziaływania wychowawczego powinien mieć charakter zamknięty i ograniczać się do pouczenia, zwrócenia uwagi i ostrzeżenia</w:t>
      </w:r>
      <w:r w:rsidR="008876BD">
        <w:rPr>
          <w:rFonts w:ascii="Bookman Old Style" w:eastAsia="Times New Roman" w:hAnsi="Bookman Old Style" w:cs="Times New Roman"/>
          <w:kern w:val="0"/>
          <w:sz w:val="24"/>
          <w:szCs w:val="24"/>
          <w:lang w:eastAsia="pl-PL"/>
          <w14:ligatures w14:val="none"/>
        </w:rPr>
        <w:t>.</w:t>
      </w:r>
    </w:p>
    <w:p w14:paraId="358A0283" w14:textId="0FD72E2A" w:rsidR="008876BD" w:rsidRPr="008876BD" w:rsidRDefault="008876BD" w:rsidP="008876BD">
      <w:pPr>
        <w:spacing w:after="120" w:line="360" w:lineRule="auto"/>
        <w:ind w:firstLine="567"/>
        <w:jc w:val="both"/>
        <w:rPr>
          <w:rFonts w:ascii="Bookman Old Style" w:eastAsia="Times New Roman" w:hAnsi="Bookman Old Style" w:cs="Times New Roman"/>
          <w:kern w:val="0"/>
          <w:sz w:val="24"/>
          <w:szCs w:val="24"/>
          <w:lang w:eastAsia="pl-PL"/>
          <w14:ligatures w14:val="none"/>
        </w:rPr>
      </w:pPr>
      <w:r w:rsidRPr="008876BD">
        <w:rPr>
          <w:rFonts w:ascii="Bookman Old Style" w:eastAsia="Times New Roman" w:hAnsi="Bookman Old Style" w:cs="Times New Roman"/>
          <w:kern w:val="0"/>
          <w:sz w:val="24"/>
          <w:szCs w:val="24"/>
          <w:lang w:eastAsia="pl-PL"/>
          <w14:ligatures w14:val="none"/>
        </w:rPr>
        <w:t>Projekt uchyla rozdział IV Kodeksu wykroczeń, dotyczący możliwości warunkowego zawieszenia wykonania kary aresztu. Należy wskazać, że przesłanki warunkowego zawieszenia wykonania kary aresztu popadają w kolizję z dyrektywami orzekania tej kary: areszt może być orzeczony tylko wtedy, gdy inna kara nie może spełnić swoich celów, a zarazem jego wykonanie miałoby być zawieszane. Mając ponadto na uwadze, że kara aresztu jest stosowana w sprawach o wykroczenia incydentalnie w praktyce, dalsze utrzymywanie instytucj</w:t>
      </w:r>
      <w:r w:rsidR="005E065B">
        <w:rPr>
          <w:rFonts w:ascii="Bookman Old Style" w:eastAsia="Times New Roman" w:hAnsi="Bookman Old Style" w:cs="Times New Roman"/>
          <w:kern w:val="0"/>
          <w:sz w:val="24"/>
          <w:szCs w:val="24"/>
          <w:lang w:eastAsia="pl-PL"/>
          <w14:ligatures w14:val="none"/>
        </w:rPr>
        <w:t>i</w:t>
      </w:r>
      <w:r w:rsidRPr="008876BD">
        <w:rPr>
          <w:rFonts w:ascii="Bookman Old Style" w:eastAsia="Times New Roman" w:hAnsi="Bookman Old Style" w:cs="Times New Roman"/>
          <w:kern w:val="0"/>
          <w:sz w:val="24"/>
          <w:szCs w:val="24"/>
          <w:lang w:eastAsia="pl-PL"/>
          <w14:ligatures w14:val="none"/>
        </w:rPr>
        <w:t xml:space="preserve"> warunkowego zawieszenia jej wykonania uznano za niecelow</w:t>
      </w:r>
      <w:r w:rsidR="005E065B">
        <w:rPr>
          <w:rFonts w:ascii="Bookman Old Style" w:eastAsia="Times New Roman" w:hAnsi="Bookman Old Style" w:cs="Times New Roman"/>
          <w:kern w:val="0"/>
          <w:sz w:val="24"/>
          <w:szCs w:val="24"/>
          <w:lang w:eastAsia="pl-PL"/>
          <w14:ligatures w14:val="none"/>
        </w:rPr>
        <w:t>e</w:t>
      </w:r>
      <w:r w:rsidRPr="008876BD">
        <w:rPr>
          <w:rFonts w:ascii="Bookman Old Style" w:eastAsia="Times New Roman" w:hAnsi="Bookman Old Style" w:cs="Times New Roman"/>
          <w:kern w:val="0"/>
          <w:sz w:val="24"/>
          <w:szCs w:val="24"/>
          <w:lang w:eastAsia="pl-PL"/>
          <w14:ligatures w14:val="none"/>
        </w:rPr>
        <w:t>.</w:t>
      </w:r>
    </w:p>
    <w:p w14:paraId="62A27632" w14:textId="514A96DA" w:rsidR="005E74F4" w:rsidRPr="00946DEB" w:rsidRDefault="005E74F4" w:rsidP="00D34744">
      <w:pPr>
        <w:suppressAutoHyphens/>
        <w:spacing w:line="360" w:lineRule="auto"/>
        <w:ind w:firstLine="708"/>
        <w:jc w:val="both"/>
        <w:rPr>
          <w:rFonts w:ascii="Bookman Old Style" w:hAnsi="Bookman Old Style" w:cs="Times New Roman"/>
          <w:color w:val="000000"/>
          <w:sz w:val="24"/>
          <w:szCs w:val="24"/>
        </w:rPr>
      </w:pPr>
      <w:r w:rsidRPr="00946DEB">
        <w:rPr>
          <w:rFonts w:ascii="Bookman Old Style" w:hAnsi="Bookman Old Style" w:cs="Times New Roman"/>
          <w:bCs/>
          <w:sz w:val="24"/>
          <w:szCs w:val="24"/>
        </w:rPr>
        <w:t xml:space="preserve">Proponowana jest zmiana brzmienia art. 46 </w:t>
      </w:r>
      <w:r w:rsidRPr="00946DEB">
        <w:rPr>
          <w:rFonts w:ascii="Bookman Old Style" w:eastAsia="SimSun" w:hAnsi="Bookman Old Style" w:cs="Times New Roman"/>
          <w:bCs/>
          <w:sz w:val="24"/>
          <w:szCs w:val="24"/>
        </w:rPr>
        <w:t>§</w:t>
      </w:r>
      <w:r w:rsidRPr="00946DEB">
        <w:rPr>
          <w:rFonts w:ascii="Bookman Old Style" w:hAnsi="Bookman Old Style" w:cs="Times New Roman"/>
          <w:bCs/>
          <w:sz w:val="24"/>
          <w:szCs w:val="24"/>
        </w:rPr>
        <w:t xml:space="preserve"> 1 i 2 </w:t>
      </w:r>
      <w:proofErr w:type="spellStart"/>
      <w:r w:rsidRPr="00946DEB">
        <w:rPr>
          <w:rFonts w:ascii="Bookman Old Style" w:hAnsi="Bookman Old Style" w:cs="Times New Roman"/>
          <w:bCs/>
          <w:sz w:val="24"/>
          <w:szCs w:val="24"/>
        </w:rPr>
        <w:t>k.w</w:t>
      </w:r>
      <w:proofErr w:type="spellEnd"/>
      <w:r w:rsidRPr="00946DEB">
        <w:rPr>
          <w:rFonts w:ascii="Bookman Old Style" w:hAnsi="Bookman Old Style" w:cs="Times New Roman"/>
          <w:bCs/>
          <w:sz w:val="24"/>
          <w:szCs w:val="24"/>
        </w:rPr>
        <w:t xml:space="preserve">., co wynika z dążenia do wprowadzenia spójności systemowej między prawem karnym a prawem wykroczeń w zakresie regulacji zatarcia skazania/ukarania. </w:t>
      </w:r>
      <w:r w:rsidRPr="00946DEB">
        <w:rPr>
          <w:rFonts w:ascii="Bookman Old Style" w:hAnsi="Bookman Old Style" w:cs="Times New Roman"/>
          <w:sz w:val="24"/>
          <w:szCs w:val="24"/>
        </w:rPr>
        <w:t>Zgodnie z art. 107</w:t>
      </w:r>
      <w:r w:rsidR="00182E1E" w:rsidRPr="00946DEB">
        <w:rPr>
          <w:rFonts w:ascii="Bookman Old Style" w:hAnsi="Bookman Old Style" w:cs="Times New Roman"/>
          <w:sz w:val="24"/>
          <w:szCs w:val="24"/>
        </w:rPr>
        <w:t>§</w:t>
      </w:r>
      <w:r w:rsidRPr="00946DEB">
        <w:rPr>
          <w:rFonts w:ascii="Bookman Old Style" w:hAnsi="Bookman Old Style" w:cs="Times New Roman"/>
          <w:sz w:val="24"/>
          <w:szCs w:val="24"/>
        </w:rPr>
        <w:t xml:space="preserve"> 4a k.k., dodanym przez ustawę z 20 lutego 2015 r. o zmianie ustawy - Kodeks karny oraz niektórych innych ustaw (Dz.U.2015.396), w razie skazania na grzywnę zatarcie skazania następuje z mocy prawa z upływem roku od wykonania lub darowania kary albo od przedawnienia jej wykonania (wcześniej wymagany do zatarcia skazania okres wynosił 3 lata). Zatem zmiana wprowadzona do kodeksu karnego w 2015 r</w:t>
      </w:r>
      <w:r w:rsidR="00182E1E" w:rsidRPr="00946DEB">
        <w:rPr>
          <w:rFonts w:ascii="Bookman Old Style" w:hAnsi="Bookman Old Style" w:cs="Times New Roman"/>
          <w:sz w:val="24"/>
          <w:szCs w:val="24"/>
        </w:rPr>
        <w:t>.</w:t>
      </w:r>
      <w:r w:rsidRPr="00946DEB">
        <w:rPr>
          <w:rFonts w:ascii="Bookman Old Style" w:hAnsi="Bookman Old Style" w:cs="Times New Roman"/>
          <w:sz w:val="24"/>
          <w:szCs w:val="24"/>
        </w:rPr>
        <w:t xml:space="preserve"> spowodowała, że czas wymagany do zatarcia skazania na karę grzywny za przestępstwo stał się krótszy niż w przypadku ukarania sprawcy analogiczną karą za wykroczenie. Taki stan rzeczy wymaga korekty ustawodawcy, bowiem co do zasady konsekwencje popełnienia wykroczenia nie powinny być bardziej surowe niż skutki popełnienia przestępstwa. Dlatego należało skrócić czas wymagany do zatarcia ukarania za wykroczenie w przypadku, gdy orzeczono wobec sprawcy </w:t>
      </w:r>
      <w:r w:rsidRPr="00946DEB">
        <w:rPr>
          <w:rFonts w:ascii="Bookman Old Style" w:hAnsi="Bookman Old Style" w:cs="Times New Roman"/>
          <w:sz w:val="24"/>
          <w:szCs w:val="24"/>
        </w:rPr>
        <w:lastRenderedPageBreak/>
        <w:t xml:space="preserve">grzywnę (lub najłagodniejszą z kar za wykroczenia - karę nagany) do jednego roku. </w:t>
      </w:r>
    </w:p>
    <w:p w14:paraId="19656A0F" w14:textId="25CD1904" w:rsidR="005E74F4" w:rsidRPr="00946DEB" w:rsidRDefault="005E74F4" w:rsidP="005E74F4">
      <w:pPr>
        <w:suppressAutoHyphens/>
        <w:spacing w:line="360" w:lineRule="auto"/>
        <w:ind w:firstLine="708"/>
        <w:jc w:val="both"/>
        <w:rPr>
          <w:rFonts w:ascii="Bookman Old Style" w:hAnsi="Bookman Old Style" w:cs="Times New Roman"/>
          <w:bCs/>
          <w:sz w:val="24"/>
          <w:szCs w:val="24"/>
        </w:rPr>
      </w:pPr>
      <w:r w:rsidRPr="00946DEB">
        <w:rPr>
          <w:rFonts w:ascii="Bookman Old Style" w:hAnsi="Bookman Old Style" w:cs="Times New Roman"/>
          <w:color w:val="000000"/>
          <w:sz w:val="24"/>
          <w:szCs w:val="24"/>
        </w:rPr>
        <w:t xml:space="preserve">Zmiana brzmienia art. 46 § 2 </w:t>
      </w:r>
      <w:proofErr w:type="spellStart"/>
      <w:r w:rsidRPr="00946DEB">
        <w:rPr>
          <w:rFonts w:ascii="Bookman Old Style" w:hAnsi="Bookman Old Style" w:cs="Times New Roman"/>
          <w:color w:val="000000"/>
          <w:sz w:val="24"/>
          <w:szCs w:val="24"/>
        </w:rPr>
        <w:t>k.w</w:t>
      </w:r>
      <w:proofErr w:type="spellEnd"/>
      <w:r w:rsidRPr="00946DEB">
        <w:rPr>
          <w:rFonts w:ascii="Bookman Old Style" w:hAnsi="Bookman Old Style" w:cs="Times New Roman"/>
          <w:color w:val="000000"/>
          <w:sz w:val="24"/>
          <w:szCs w:val="24"/>
        </w:rPr>
        <w:t>. z jednej strony upraszcza dotychczasowe jego ujęcie, zbliżając je do brzmienia analogicznego przepisu Kodeksu Karnego (108 k.k.), z drugiej jednak strony rozszerza nieco surowsze zasady zatarcia ukarania także na przypadki, gdy sprawca wcześniej popełnił wykroczenie, za które ukarano go karą nagany. Do tej pory wcześniejsze ukaranie tą karą zawsze podlegało zatarciu na zasadach ogólnych i późniejsze popełnienie nowego wykroczenia nie miało żadnego znaczenia</w:t>
      </w:r>
      <w:r w:rsidR="00285B73" w:rsidRPr="00946DEB">
        <w:rPr>
          <w:rFonts w:ascii="Bookman Old Style" w:hAnsi="Bookman Old Style" w:cs="Times New Roman"/>
          <w:color w:val="000000"/>
          <w:sz w:val="24"/>
          <w:szCs w:val="24"/>
        </w:rPr>
        <w:t>.</w:t>
      </w:r>
      <w:r w:rsidRPr="00946DEB">
        <w:rPr>
          <w:rFonts w:ascii="Bookman Old Style" w:hAnsi="Bookman Old Style" w:cs="Times New Roman"/>
          <w:color w:val="000000"/>
          <w:sz w:val="24"/>
          <w:szCs w:val="24"/>
        </w:rPr>
        <w:t xml:space="preserve"> Trudno znaleźć merytoryczne powody dla takiego rozwiązania i innego traktowania jednej z kar w katalogu, nawet jeśli jest to kara najłagodniejsza. Stąd proponowana zmiana.</w:t>
      </w:r>
      <w:r w:rsidRPr="00946DEB">
        <w:rPr>
          <w:rFonts w:ascii="Bookman Old Style" w:hAnsi="Bookman Old Style" w:cs="Times New Roman"/>
          <w:sz w:val="24"/>
          <w:szCs w:val="24"/>
        </w:rPr>
        <w:t xml:space="preserve"> </w:t>
      </w:r>
    </w:p>
    <w:p w14:paraId="1B5E8D45" w14:textId="49A954C0" w:rsidR="005E065B" w:rsidRPr="005E065B" w:rsidRDefault="005E065B" w:rsidP="005E065B">
      <w:pPr>
        <w:spacing w:after="120" w:line="360" w:lineRule="auto"/>
        <w:ind w:firstLine="567"/>
        <w:jc w:val="both"/>
        <w:rPr>
          <w:rFonts w:ascii="Bookman Old Style" w:eastAsia="Times New Roman" w:hAnsi="Bookman Old Style" w:cs="Times New Roman"/>
          <w:kern w:val="0"/>
          <w:sz w:val="24"/>
          <w:szCs w:val="24"/>
          <w:lang w:eastAsia="pl-PL"/>
          <w14:ligatures w14:val="none"/>
        </w:rPr>
      </w:pPr>
      <w:r w:rsidRPr="005E065B">
        <w:rPr>
          <w:rFonts w:ascii="Bookman Old Style" w:eastAsia="Times New Roman" w:hAnsi="Bookman Old Style" w:cs="Times New Roman"/>
          <w:kern w:val="0"/>
          <w:sz w:val="24"/>
          <w:szCs w:val="24"/>
          <w:lang w:eastAsia="pl-PL"/>
          <w14:ligatures w14:val="none"/>
        </w:rPr>
        <w:t xml:space="preserve">Zmiany w art. 47 § 6 i 7 </w:t>
      </w:r>
      <w:proofErr w:type="spellStart"/>
      <w:r w:rsidRPr="005E065B">
        <w:rPr>
          <w:rFonts w:ascii="Bookman Old Style" w:eastAsia="Times New Roman" w:hAnsi="Bookman Old Style" w:cs="Times New Roman"/>
          <w:kern w:val="0"/>
          <w:sz w:val="24"/>
          <w:szCs w:val="24"/>
          <w:lang w:eastAsia="pl-PL"/>
          <w14:ligatures w14:val="none"/>
        </w:rPr>
        <w:t>k.w</w:t>
      </w:r>
      <w:proofErr w:type="spellEnd"/>
      <w:r w:rsidRPr="005E065B">
        <w:rPr>
          <w:rFonts w:ascii="Bookman Old Style" w:eastAsia="Times New Roman" w:hAnsi="Bookman Old Style" w:cs="Times New Roman"/>
          <w:kern w:val="0"/>
          <w:sz w:val="24"/>
          <w:szCs w:val="24"/>
          <w:lang w:eastAsia="pl-PL"/>
          <w14:ligatures w14:val="none"/>
        </w:rPr>
        <w:t>. zmierzają do ujednolicenia definicji ustawowych z Kodeksem karnym. W § 6 kryteria oceny stopnia społecznej szkodliwości czynu obejmą – tak jak w art. 115 § 2 k.k. – rodzaj i charakter nie tylko naruszonego, lecz także zagrożonego dobra. W § 7 pojęcie rzeczy ruchomej lub przedmiotu obejmie – tak jak w art. 115 § 9 k.k. – także środek pieniężny zapisany na rachunku.</w:t>
      </w:r>
    </w:p>
    <w:p w14:paraId="17DC94E6" w14:textId="626A196E" w:rsidR="004F70F9" w:rsidRPr="00946DEB" w:rsidRDefault="00D91FD4" w:rsidP="008259B7">
      <w:pPr>
        <w:spacing w:after="0" w:line="360" w:lineRule="auto"/>
        <w:ind w:firstLine="708"/>
        <w:jc w:val="both"/>
        <w:rPr>
          <w:rFonts w:ascii="Bookman Old Style" w:hAnsi="Bookman Old Style"/>
          <w:sz w:val="24"/>
          <w:szCs w:val="24"/>
        </w:rPr>
      </w:pPr>
      <w:r w:rsidRPr="00946DEB">
        <w:rPr>
          <w:rFonts w:ascii="Bookman Old Style" w:hAnsi="Bookman Old Style" w:cs="Times New Roman"/>
          <w:bCs/>
          <w:sz w:val="24"/>
          <w:szCs w:val="24"/>
        </w:rPr>
        <w:t xml:space="preserve">Nie budzi wątpliwości, że część szczególna prawa wykroczeń wymaga gruntownej zmiany, co wynika m.in. z faktu uchwalenia jej ponad 50 lat temu, w zupełnie innej rzeczywistości społecznej i prawnej. Powoduje to, że wiele typów czynów zabronionych odnosi się do </w:t>
      </w:r>
      <w:proofErr w:type="spellStart"/>
      <w:r w:rsidRPr="00946DEB">
        <w:rPr>
          <w:rFonts w:ascii="Bookman Old Style" w:hAnsi="Bookman Old Style" w:cs="Times New Roman"/>
          <w:bCs/>
          <w:sz w:val="24"/>
          <w:szCs w:val="24"/>
        </w:rPr>
        <w:t>zachowań</w:t>
      </w:r>
      <w:proofErr w:type="spellEnd"/>
      <w:r w:rsidRPr="00946DEB">
        <w:rPr>
          <w:rFonts w:ascii="Bookman Old Style" w:hAnsi="Bookman Old Style" w:cs="Times New Roman"/>
          <w:bCs/>
          <w:sz w:val="24"/>
          <w:szCs w:val="24"/>
        </w:rPr>
        <w:t xml:space="preserve">, które z perspektywy obecnej aksjologii budzą wiele wątpliwości co do konieczności ich penalizowania, nawet jako wykroczenia. Nie sposób też nie zauważyć, że także uwzględniając perspektywę semantyczną uregulowania części szczególnej Kodeksu wykroczeń wymagają zmiany. Terminologia używana w tych przepisach jest bowiem archaiczna i trudno zrozumiała szczególnie dla młodszego pokolenia. Taka gruntowna reforma części szczególnej Kodeksu wykroczeń nie może być jednak przeprowadzona w trybie pilnej nowelizacji. Z tego względu ograniczono się do poprawy przepisów, w których zawarto rozwiązania błędne– częściowo będące efektem niespójnych nowelizacji, jak też takich, których obowiązywanie jest sprzeczne z aksjologią demokratycznego </w:t>
      </w:r>
      <w:r w:rsidRPr="00946DEB">
        <w:rPr>
          <w:rFonts w:ascii="Bookman Old Style" w:hAnsi="Bookman Old Style" w:cs="Times New Roman"/>
          <w:bCs/>
          <w:sz w:val="24"/>
          <w:szCs w:val="24"/>
        </w:rPr>
        <w:lastRenderedPageBreak/>
        <w:t>państwa prawnego lub które wymagają natychmiastowej korekty.</w:t>
      </w:r>
      <w:r w:rsidR="008259B7">
        <w:rPr>
          <w:rFonts w:ascii="Bookman Old Style" w:hAnsi="Bookman Old Style"/>
          <w:sz w:val="24"/>
          <w:szCs w:val="24"/>
        </w:rPr>
        <w:t xml:space="preserve"> Co do zasady,</w:t>
      </w:r>
      <w:r w:rsidR="00B01641" w:rsidRPr="00946DEB">
        <w:rPr>
          <w:rFonts w:ascii="Bookman Old Style" w:hAnsi="Bookman Old Style"/>
          <w:sz w:val="24"/>
          <w:szCs w:val="24"/>
        </w:rPr>
        <w:t xml:space="preserve"> proponuje się </w:t>
      </w:r>
      <w:r w:rsidR="005A46C0" w:rsidRPr="00946DEB">
        <w:rPr>
          <w:rFonts w:ascii="Bookman Old Style" w:hAnsi="Bookman Old Style"/>
          <w:sz w:val="24"/>
          <w:szCs w:val="24"/>
        </w:rPr>
        <w:t xml:space="preserve">trzy rodzaje zmian, przy czym dwie spośród nich mają charakter </w:t>
      </w:r>
      <w:proofErr w:type="spellStart"/>
      <w:r w:rsidR="005A46C0" w:rsidRPr="00946DEB">
        <w:rPr>
          <w:rFonts w:ascii="Bookman Old Style" w:hAnsi="Bookman Old Style"/>
          <w:sz w:val="24"/>
          <w:szCs w:val="24"/>
        </w:rPr>
        <w:t>konsekwencyjny</w:t>
      </w:r>
      <w:proofErr w:type="spellEnd"/>
      <w:r w:rsidR="005A46C0" w:rsidRPr="00946DEB">
        <w:rPr>
          <w:rFonts w:ascii="Bookman Old Style" w:hAnsi="Bookman Old Style"/>
          <w:sz w:val="24"/>
          <w:szCs w:val="24"/>
        </w:rPr>
        <w:t>.</w:t>
      </w:r>
    </w:p>
    <w:p w14:paraId="18394B23" w14:textId="7E06FC2C" w:rsidR="00AA0BB0" w:rsidRPr="00946DEB" w:rsidRDefault="004F70F9"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Po pierwsze, w ślad za podwyższeniem górnej granicy kary grzywny w art. 1§1kw i art. 24§1kw</w:t>
      </w:r>
      <w:r w:rsidR="002D7C31" w:rsidRPr="00946DEB">
        <w:rPr>
          <w:rFonts w:ascii="Bookman Old Style" w:hAnsi="Bookman Old Style"/>
          <w:sz w:val="24"/>
          <w:szCs w:val="24"/>
        </w:rPr>
        <w:t xml:space="preserve"> dokonano rewizji górnych granic grzywny przewidzianej w sankcj</w:t>
      </w:r>
      <w:r w:rsidR="00253EA1" w:rsidRPr="00946DEB">
        <w:rPr>
          <w:rFonts w:ascii="Bookman Old Style" w:hAnsi="Bookman Old Style"/>
          <w:sz w:val="24"/>
          <w:szCs w:val="24"/>
        </w:rPr>
        <w:t>ach</w:t>
      </w:r>
      <w:r w:rsidR="002D7C31" w:rsidRPr="00946DEB">
        <w:rPr>
          <w:rFonts w:ascii="Bookman Old Style" w:hAnsi="Bookman Old Style"/>
          <w:sz w:val="24"/>
          <w:szCs w:val="24"/>
        </w:rPr>
        <w:t xml:space="preserve"> za wykroczenia stypizowane w części szczególnej Kodeksu wykroczeń. </w:t>
      </w:r>
      <w:r w:rsidR="00D87B24" w:rsidRPr="00946DEB">
        <w:rPr>
          <w:rFonts w:ascii="Bookman Old Style" w:hAnsi="Bookman Old Style"/>
          <w:sz w:val="24"/>
          <w:szCs w:val="24"/>
        </w:rPr>
        <w:t>Przy czym zdecydowano się</w:t>
      </w:r>
      <w:r w:rsidR="0042185D" w:rsidRPr="00946DEB">
        <w:rPr>
          <w:rFonts w:ascii="Bookman Old Style" w:hAnsi="Bookman Old Style"/>
          <w:sz w:val="24"/>
          <w:szCs w:val="24"/>
        </w:rPr>
        <w:t xml:space="preserve"> na</w:t>
      </w:r>
      <w:r w:rsidR="00D87B24" w:rsidRPr="00946DEB">
        <w:rPr>
          <w:rFonts w:ascii="Bookman Old Style" w:hAnsi="Bookman Old Style"/>
          <w:sz w:val="24"/>
          <w:szCs w:val="24"/>
        </w:rPr>
        <w:t xml:space="preserve"> to, aby nie podwyższać dolnych granic ustawowego zagrożenia w takim przypadku</w:t>
      </w:r>
      <w:r w:rsidR="00B276D2" w:rsidRPr="00946DEB">
        <w:rPr>
          <w:rFonts w:ascii="Bookman Old Style" w:hAnsi="Bookman Old Style"/>
          <w:sz w:val="24"/>
          <w:szCs w:val="24"/>
        </w:rPr>
        <w:t xml:space="preserve"> albowiem takie posunięcie mogłoby być potraktowane jako ograniczenie swobody sędziowskiej w zakresie wymiaru tej kary. </w:t>
      </w:r>
      <w:r w:rsidR="0043375C" w:rsidRPr="00946DEB">
        <w:rPr>
          <w:rFonts w:ascii="Bookman Old Style" w:hAnsi="Bookman Old Style"/>
          <w:sz w:val="24"/>
          <w:szCs w:val="24"/>
        </w:rPr>
        <w:t xml:space="preserve">Zdecydowano się na podwyższenie górnej granicy grzywny tam, gdzie ustawodawca wyraźnie określił tę granicę w sankcji. Tam gdzie, granica ta nie została określona, poprzez zmianę przepisu art. 1§1kw i art. 24§1kw automatycznie grzywna została podwyższona z 5000zł. do 30.000zł. </w:t>
      </w:r>
      <w:r w:rsidR="00376240" w:rsidRPr="00946DEB">
        <w:rPr>
          <w:rFonts w:ascii="Bookman Old Style" w:hAnsi="Bookman Old Style"/>
          <w:sz w:val="24"/>
          <w:szCs w:val="24"/>
        </w:rPr>
        <w:t>Podwyższenie górnej granicy grzywny określonej kwotowo w części szczególnej zasadniczo nastąpiło sześciokrotnie, skoro sześciokrotnie podwyższono grzywnę w art. 1§1kw i art. 24§1kw.</w:t>
      </w:r>
      <w:r w:rsidR="002208E4" w:rsidRPr="00946DEB">
        <w:rPr>
          <w:rFonts w:ascii="Bookman Old Style" w:hAnsi="Bookman Old Style"/>
          <w:sz w:val="24"/>
          <w:szCs w:val="24"/>
        </w:rPr>
        <w:t xml:space="preserve"> Od tej zasady w projekcie przewidziano jednak nieliczne wyjątki w dwie strony.</w:t>
      </w:r>
      <w:r w:rsidR="00376240" w:rsidRPr="00946DEB">
        <w:rPr>
          <w:rFonts w:ascii="Bookman Old Style" w:hAnsi="Bookman Old Style"/>
          <w:sz w:val="24"/>
          <w:szCs w:val="24"/>
        </w:rPr>
        <w:t xml:space="preserve"> </w:t>
      </w:r>
      <w:r w:rsidR="002208E4" w:rsidRPr="00946DEB">
        <w:rPr>
          <w:rFonts w:ascii="Bookman Old Style" w:hAnsi="Bookman Old Style"/>
          <w:sz w:val="24"/>
          <w:szCs w:val="24"/>
        </w:rPr>
        <w:t>T</w:t>
      </w:r>
      <w:r w:rsidR="00A86027" w:rsidRPr="00946DEB">
        <w:rPr>
          <w:rFonts w:ascii="Bookman Old Style" w:hAnsi="Bookman Old Style"/>
          <w:sz w:val="24"/>
          <w:szCs w:val="24"/>
        </w:rPr>
        <w:t xml:space="preserve">am, gdzie ta górna granica była określona na tym poziomie niedawno, postanowiono odstąpić od tej zasady wychodząc z założenia, że ustawodawca określając tę karę miał na uwadze </w:t>
      </w:r>
      <w:r w:rsidR="002208E4" w:rsidRPr="00946DEB">
        <w:rPr>
          <w:rFonts w:ascii="Bookman Old Style" w:hAnsi="Bookman Old Style"/>
          <w:sz w:val="24"/>
          <w:szCs w:val="24"/>
        </w:rPr>
        <w:t>obecnie uwarunkowania społeczno- ekonomiczne, a także społeczną szkodliwość</w:t>
      </w:r>
      <w:r w:rsidR="0012779A" w:rsidRPr="00946DEB">
        <w:rPr>
          <w:rFonts w:ascii="Bookman Old Style" w:hAnsi="Bookman Old Style"/>
          <w:sz w:val="24"/>
          <w:szCs w:val="24"/>
        </w:rPr>
        <w:t xml:space="preserve"> czynu</w:t>
      </w:r>
      <w:r w:rsidR="002208E4" w:rsidRPr="00946DEB">
        <w:rPr>
          <w:rFonts w:ascii="Bookman Old Style" w:hAnsi="Bookman Old Style"/>
          <w:sz w:val="24"/>
          <w:szCs w:val="24"/>
        </w:rPr>
        <w:t>.</w:t>
      </w:r>
      <w:r w:rsidR="005A46C0" w:rsidRPr="00946DEB">
        <w:rPr>
          <w:rFonts w:ascii="Bookman Old Style" w:hAnsi="Bookman Old Style"/>
          <w:sz w:val="24"/>
          <w:szCs w:val="24"/>
        </w:rPr>
        <w:t xml:space="preserve"> </w:t>
      </w:r>
      <w:r w:rsidR="00AA0BB0" w:rsidRPr="00946DEB">
        <w:rPr>
          <w:rFonts w:ascii="Bookman Old Style" w:hAnsi="Bookman Old Style"/>
          <w:sz w:val="24"/>
          <w:szCs w:val="24"/>
        </w:rPr>
        <w:t>W niektórych przypadkach podwyższenie kary grzywny nastąpiło więcej niż sześciokrotnie, co wynikało z oceny stopnia społecznej szkodliwości czynu stypizowanego w konkretnym przepisie</w:t>
      </w:r>
      <w:r w:rsidR="00574BD7" w:rsidRPr="00946DEB">
        <w:rPr>
          <w:rFonts w:ascii="Bookman Old Style" w:hAnsi="Bookman Old Style"/>
          <w:sz w:val="24"/>
          <w:szCs w:val="24"/>
        </w:rPr>
        <w:t xml:space="preserve"> (zob. proponowana zmiana w art. </w:t>
      </w:r>
      <w:r w:rsidR="0027240C" w:rsidRPr="00946DEB">
        <w:rPr>
          <w:rFonts w:ascii="Bookman Old Style" w:hAnsi="Bookman Old Style"/>
          <w:sz w:val="24"/>
          <w:szCs w:val="24"/>
        </w:rPr>
        <w:t>66§1kw</w:t>
      </w:r>
      <w:r w:rsidR="00EA40D1" w:rsidRPr="00946DEB">
        <w:rPr>
          <w:rFonts w:ascii="Bookman Old Style" w:hAnsi="Bookman Old Style"/>
          <w:sz w:val="24"/>
          <w:szCs w:val="24"/>
        </w:rPr>
        <w:t xml:space="preserve"> polegająca na podwyższeniu kary grzywny z 1500zł. do 30.000zł.</w:t>
      </w:r>
      <w:r w:rsidR="008339A6" w:rsidRPr="00946DEB">
        <w:rPr>
          <w:rFonts w:ascii="Bookman Old Style" w:hAnsi="Bookman Old Style"/>
          <w:sz w:val="24"/>
          <w:szCs w:val="24"/>
        </w:rPr>
        <w:t>; proponowana zmiana w art. 109§2kw</w:t>
      </w:r>
      <w:r w:rsidR="000A655E" w:rsidRPr="00946DEB">
        <w:rPr>
          <w:rFonts w:ascii="Bookman Old Style" w:hAnsi="Bookman Old Style"/>
          <w:sz w:val="24"/>
          <w:szCs w:val="24"/>
        </w:rPr>
        <w:t xml:space="preserve"> oraz 115§1kw</w:t>
      </w:r>
      <w:r w:rsidR="008339A6" w:rsidRPr="00946DEB">
        <w:rPr>
          <w:rFonts w:ascii="Bookman Old Style" w:hAnsi="Bookman Old Style"/>
          <w:sz w:val="24"/>
          <w:szCs w:val="24"/>
        </w:rPr>
        <w:t>- podwyższenie kary grzywny</w:t>
      </w:r>
      <w:r w:rsidR="000A655E" w:rsidRPr="00946DEB">
        <w:rPr>
          <w:rFonts w:ascii="Bookman Old Style" w:hAnsi="Bookman Old Style"/>
          <w:sz w:val="24"/>
          <w:szCs w:val="24"/>
        </w:rPr>
        <w:t xml:space="preserve"> z 1500zł. do 9000zł.</w:t>
      </w:r>
      <w:r w:rsidR="00075528" w:rsidRPr="00946DEB">
        <w:rPr>
          <w:rFonts w:ascii="Bookman Old Style" w:hAnsi="Bookman Old Style"/>
          <w:sz w:val="24"/>
          <w:szCs w:val="24"/>
        </w:rPr>
        <w:t xml:space="preserve"> oraz w art. 136§1kw- jest grzywna do 1500zł., proponuje się jej podwyższenie do 9000zł.</w:t>
      </w:r>
      <w:r w:rsidR="00275204" w:rsidRPr="00946DEB">
        <w:rPr>
          <w:rFonts w:ascii="Bookman Old Style" w:hAnsi="Bookman Old Style"/>
          <w:sz w:val="24"/>
          <w:szCs w:val="24"/>
        </w:rPr>
        <w:t xml:space="preserve">; art. 140§1kk- jest grzywna do 1500zł., proponuje się jej podwyższenie do 9000zł. </w:t>
      </w:r>
      <w:r w:rsidR="001200F0" w:rsidRPr="00946DEB">
        <w:rPr>
          <w:rFonts w:ascii="Bookman Old Style" w:hAnsi="Bookman Old Style"/>
          <w:sz w:val="24"/>
          <w:szCs w:val="24"/>
        </w:rPr>
        <w:t>; art. 141</w:t>
      </w:r>
      <w:r w:rsidR="00AB3C4C" w:rsidRPr="00946DEB">
        <w:rPr>
          <w:rFonts w:ascii="Bookman Old Style" w:hAnsi="Bookman Old Style"/>
          <w:sz w:val="24"/>
          <w:szCs w:val="24"/>
        </w:rPr>
        <w:t>kw</w:t>
      </w:r>
      <w:r w:rsidR="003F13EB" w:rsidRPr="00946DEB">
        <w:rPr>
          <w:rFonts w:ascii="Bookman Old Style" w:hAnsi="Bookman Old Style"/>
          <w:sz w:val="24"/>
          <w:szCs w:val="24"/>
        </w:rPr>
        <w:t xml:space="preserve">, art. </w:t>
      </w:r>
      <w:r w:rsidR="00AB3C4C" w:rsidRPr="00946DEB">
        <w:rPr>
          <w:rFonts w:ascii="Bookman Old Style" w:hAnsi="Bookman Old Style"/>
          <w:sz w:val="24"/>
          <w:szCs w:val="24"/>
        </w:rPr>
        <w:t>150§1kw</w:t>
      </w:r>
      <w:r w:rsidR="001200F0" w:rsidRPr="00946DEB">
        <w:rPr>
          <w:rFonts w:ascii="Bookman Old Style" w:hAnsi="Bookman Old Style"/>
          <w:sz w:val="24"/>
          <w:szCs w:val="24"/>
        </w:rPr>
        <w:t xml:space="preserve"> podobnie</w:t>
      </w:r>
      <w:r w:rsidR="00075528" w:rsidRPr="00946DEB">
        <w:rPr>
          <w:rFonts w:ascii="Bookman Old Style" w:hAnsi="Bookman Old Style"/>
          <w:sz w:val="24"/>
          <w:szCs w:val="24"/>
        </w:rPr>
        <w:t xml:space="preserve"> </w:t>
      </w:r>
      <w:r w:rsidR="00574BD7" w:rsidRPr="00946DEB">
        <w:rPr>
          <w:rFonts w:ascii="Bookman Old Style" w:hAnsi="Bookman Old Style"/>
          <w:sz w:val="24"/>
          <w:szCs w:val="24"/>
        </w:rPr>
        <w:t>)</w:t>
      </w:r>
      <w:r w:rsidR="00AA0BB0" w:rsidRPr="00946DEB">
        <w:rPr>
          <w:rFonts w:ascii="Bookman Old Style" w:hAnsi="Bookman Old Style"/>
          <w:sz w:val="24"/>
          <w:szCs w:val="24"/>
        </w:rPr>
        <w:t>.</w:t>
      </w:r>
      <w:r w:rsidR="008C537A" w:rsidRPr="00946DEB">
        <w:rPr>
          <w:rFonts w:ascii="Bookman Old Style" w:hAnsi="Bookman Old Style"/>
          <w:sz w:val="24"/>
          <w:szCs w:val="24"/>
        </w:rPr>
        <w:t xml:space="preserve"> W innych, zamiast sześciokrotnego podwyższenia kary grzywny zdecydowano się </w:t>
      </w:r>
      <w:r w:rsidR="005B2DFD" w:rsidRPr="00946DEB">
        <w:rPr>
          <w:rFonts w:ascii="Bookman Old Style" w:hAnsi="Bookman Old Style"/>
          <w:sz w:val="24"/>
          <w:szCs w:val="24"/>
        </w:rPr>
        <w:t xml:space="preserve">mniejsze zaostrzenie. Tak uczyniono na gruncie przepisu art. 77§1kw, który przewiduje karę za niezachowanie zwykłych lub nakazanych środków ostrożności </w:t>
      </w:r>
      <w:r w:rsidR="000A3806" w:rsidRPr="00946DEB">
        <w:rPr>
          <w:rFonts w:ascii="Bookman Old Style" w:hAnsi="Bookman Old Style"/>
          <w:sz w:val="24"/>
          <w:szCs w:val="24"/>
        </w:rPr>
        <w:t>przy trzymaniu zwierzęcia</w:t>
      </w:r>
      <w:r w:rsidR="00A5566B" w:rsidRPr="00946DEB">
        <w:rPr>
          <w:rFonts w:ascii="Bookman Old Style" w:hAnsi="Bookman Old Style"/>
          <w:sz w:val="24"/>
          <w:szCs w:val="24"/>
        </w:rPr>
        <w:t>. Uznano, że ten typ czynu zabronionego nie wymaga tak daleko idącego zaostrzenia</w:t>
      </w:r>
      <w:r w:rsidR="00EF0F52" w:rsidRPr="00946DEB">
        <w:rPr>
          <w:rFonts w:ascii="Bookman Old Style" w:hAnsi="Bookman Old Style"/>
          <w:sz w:val="24"/>
          <w:szCs w:val="24"/>
        </w:rPr>
        <w:t xml:space="preserve">, zwłaszcza, </w:t>
      </w:r>
      <w:r w:rsidR="00EF0F52" w:rsidRPr="00946DEB">
        <w:rPr>
          <w:rFonts w:ascii="Bookman Old Style" w:hAnsi="Bookman Old Style"/>
          <w:sz w:val="24"/>
          <w:szCs w:val="24"/>
        </w:rPr>
        <w:lastRenderedPageBreak/>
        <w:t xml:space="preserve">że </w:t>
      </w:r>
      <w:r w:rsidR="00981343" w:rsidRPr="00946DEB">
        <w:rPr>
          <w:rFonts w:ascii="Bookman Old Style" w:hAnsi="Bookman Old Style"/>
          <w:sz w:val="24"/>
          <w:szCs w:val="24"/>
        </w:rPr>
        <w:t>w art. 77§2kw przewidziano typ kwalifiko</w:t>
      </w:r>
      <w:r w:rsidR="00494C4B" w:rsidRPr="00946DEB">
        <w:rPr>
          <w:rFonts w:ascii="Bookman Old Style" w:hAnsi="Bookman Old Style"/>
          <w:sz w:val="24"/>
          <w:szCs w:val="24"/>
        </w:rPr>
        <w:t xml:space="preserve">wany, który po zmianach wprowadzonych niniejszym projektem będzie zagrożony min. grzywną do 30.000zł. Poza tym należy podkreślić, że unormowanie </w:t>
      </w:r>
      <w:r w:rsidR="00753B47" w:rsidRPr="00946DEB">
        <w:rPr>
          <w:rFonts w:ascii="Bookman Old Style" w:hAnsi="Bookman Old Style"/>
          <w:sz w:val="24"/>
          <w:szCs w:val="24"/>
        </w:rPr>
        <w:t xml:space="preserve">zawarte w art. 77§1 i 2 </w:t>
      </w:r>
      <w:proofErr w:type="spellStart"/>
      <w:r w:rsidR="00753B47" w:rsidRPr="00946DEB">
        <w:rPr>
          <w:rFonts w:ascii="Bookman Old Style" w:hAnsi="Bookman Old Style"/>
          <w:sz w:val="24"/>
          <w:szCs w:val="24"/>
        </w:rPr>
        <w:t>kw</w:t>
      </w:r>
      <w:proofErr w:type="spellEnd"/>
      <w:r w:rsidR="00753B47" w:rsidRPr="00946DEB">
        <w:rPr>
          <w:rFonts w:ascii="Bookman Old Style" w:hAnsi="Bookman Old Style"/>
          <w:sz w:val="24"/>
          <w:szCs w:val="24"/>
        </w:rPr>
        <w:t xml:space="preserve"> obowiązuje w obecnym brzmieniu od 2018r. a więc stosunkowo niedawno nadano tej regulacji obecny kształt, co również przemawiało przeciwko nadmiernej ingerencji w sankcj</w:t>
      </w:r>
      <w:r w:rsidR="001A6D60">
        <w:rPr>
          <w:rFonts w:ascii="Bookman Old Style" w:hAnsi="Bookman Old Style"/>
          <w:sz w:val="24"/>
          <w:szCs w:val="24"/>
        </w:rPr>
        <w:t>ę</w:t>
      </w:r>
      <w:r w:rsidR="00753B47" w:rsidRPr="00946DEB">
        <w:rPr>
          <w:rFonts w:ascii="Bookman Old Style" w:hAnsi="Bookman Old Style"/>
          <w:sz w:val="24"/>
          <w:szCs w:val="24"/>
        </w:rPr>
        <w:t xml:space="preserve"> na gruncie art. 77§1kw.</w:t>
      </w:r>
      <w:r w:rsidR="00B738B9" w:rsidRPr="00946DEB">
        <w:rPr>
          <w:rFonts w:ascii="Bookman Old Style" w:hAnsi="Bookman Old Style"/>
          <w:sz w:val="24"/>
          <w:szCs w:val="24"/>
        </w:rPr>
        <w:t xml:space="preserve"> Podobna argumentacja legła u podstaw zmiany zaproponowanej w art. </w:t>
      </w:r>
      <w:r w:rsidR="00BC7CA3" w:rsidRPr="00946DEB">
        <w:rPr>
          <w:rFonts w:ascii="Bookman Old Style" w:hAnsi="Bookman Old Style"/>
          <w:sz w:val="24"/>
          <w:szCs w:val="24"/>
        </w:rPr>
        <w:t>96b, gdzie postanowiono podwyższyć kar</w:t>
      </w:r>
      <w:r w:rsidR="001A6D60">
        <w:rPr>
          <w:rFonts w:ascii="Bookman Old Style" w:hAnsi="Bookman Old Style"/>
          <w:sz w:val="24"/>
          <w:szCs w:val="24"/>
        </w:rPr>
        <w:t>ę</w:t>
      </w:r>
      <w:r w:rsidR="00BC7CA3" w:rsidRPr="00946DEB">
        <w:rPr>
          <w:rFonts w:ascii="Bookman Old Style" w:hAnsi="Bookman Old Style"/>
          <w:sz w:val="24"/>
          <w:szCs w:val="24"/>
        </w:rPr>
        <w:t xml:space="preserve"> grzywny z 2000zł. do 5000zł. </w:t>
      </w:r>
      <w:r w:rsidR="00377F1C" w:rsidRPr="00946DEB">
        <w:rPr>
          <w:rFonts w:ascii="Bookman Old Style" w:hAnsi="Bookman Old Style"/>
          <w:sz w:val="24"/>
          <w:szCs w:val="24"/>
        </w:rPr>
        <w:t xml:space="preserve">oraz w art. 96c </w:t>
      </w:r>
      <w:proofErr w:type="spellStart"/>
      <w:r w:rsidR="00377F1C" w:rsidRPr="00946DEB">
        <w:rPr>
          <w:rFonts w:ascii="Bookman Old Style" w:hAnsi="Bookman Old Style"/>
          <w:sz w:val="24"/>
          <w:szCs w:val="24"/>
        </w:rPr>
        <w:t>kw</w:t>
      </w:r>
      <w:proofErr w:type="spellEnd"/>
      <w:r w:rsidR="00377F1C" w:rsidRPr="00946DEB">
        <w:rPr>
          <w:rFonts w:ascii="Bookman Old Style" w:hAnsi="Bookman Old Style"/>
          <w:sz w:val="24"/>
          <w:szCs w:val="24"/>
        </w:rPr>
        <w:t xml:space="preserve">, gdzie podwyższono karę grzywny z </w:t>
      </w:r>
      <w:r w:rsidR="00605E95" w:rsidRPr="00946DEB">
        <w:rPr>
          <w:rFonts w:ascii="Bookman Old Style" w:hAnsi="Bookman Old Style"/>
          <w:sz w:val="24"/>
          <w:szCs w:val="24"/>
        </w:rPr>
        <w:t xml:space="preserve">500zł. do 1000zł. </w:t>
      </w:r>
      <w:r w:rsidR="00CC2B60" w:rsidRPr="00946DEB">
        <w:rPr>
          <w:rFonts w:ascii="Bookman Old Style" w:hAnsi="Bookman Old Style"/>
          <w:sz w:val="24"/>
          <w:szCs w:val="24"/>
        </w:rPr>
        <w:t>W tym pierwszym przypadku kar</w:t>
      </w:r>
      <w:r w:rsidR="007F390A" w:rsidRPr="00946DEB">
        <w:rPr>
          <w:rFonts w:ascii="Bookman Old Style" w:hAnsi="Bookman Old Style"/>
          <w:sz w:val="24"/>
          <w:szCs w:val="24"/>
        </w:rPr>
        <w:t>ę</w:t>
      </w:r>
      <w:r w:rsidR="00CC2B60" w:rsidRPr="00946DEB">
        <w:rPr>
          <w:rFonts w:ascii="Bookman Old Style" w:hAnsi="Bookman Old Style"/>
          <w:sz w:val="24"/>
          <w:szCs w:val="24"/>
        </w:rPr>
        <w:t xml:space="preserve"> grzywny </w:t>
      </w:r>
      <w:r w:rsidR="006335D2" w:rsidRPr="00946DEB">
        <w:rPr>
          <w:rFonts w:ascii="Bookman Old Style" w:hAnsi="Bookman Old Style"/>
          <w:sz w:val="24"/>
          <w:szCs w:val="24"/>
        </w:rPr>
        <w:t xml:space="preserve">do 2000zł. określono w 2013r., a w tym drugim przypadku w </w:t>
      </w:r>
      <w:r w:rsidR="00824562" w:rsidRPr="00946DEB">
        <w:rPr>
          <w:rFonts w:ascii="Bookman Old Style" w:hAnsi="Bookman Old Style"/>
          <w:sz w:val="24"/>
          <w:szCs w:val="24"/>
        </w:rPr>
        <w:t xml:space="preserve">2018r. Nie było zatem konieczności </w:t>
      </w:r>
      <w:r w:rsidR="00ED171E" w:rsidRPr="00946DEB">
        <w:rPr>
          <w:rFonts w:ascii="Bookman Old Style" w:hAnsi="Bookman Old Style"/>
          <w:sz w:val="24"/>
          <w:szCs w:val="24"/>
        </w:rPr>
        <w:t>ingerencji w te sankcje poprzez ich aż sześciokrotne podwyższenie.</w:t>
      </w:r>
      <w:r w:rsidR="00337054" w:rsidRPr="00946DEB">
        <w:rPr>
          <w:rFonts w:ascii="Bookman Old Style" w:hAnsi="Bookman Old Style"/>
          <w:sz w:val="24"/>
          <w:szCs w:val="24"/>
        </w:rPr>
        <w:t xml:space="preserve"> Zdecydowano o pozostawieniu w art. 166</w:t>
      </w:r>
      <w:r w:rsidR="00777E75" w:rsidRPr="00946DEB">
        <w:rPr>
          <w:rFonts w:ascii="Bookman Old Style" w:hAnsi="Bookman Old Style"/>
          <w:sz w:val="24"/>
          <w:szCs w:val="24"/>
        </w:rPr>
        <w:t xml:space="preserve">kw kary grzywny na poziomie do 5000zł. Wynikało to z faktu, że unormowanie to było nowelizowane w 2022r. i ustawodawca nie uznał, aby konieczna była rewizja tej sankcji. Należy zatem wyjść z założenia, że pozostaje ona aktualna. </w:t>
      </w:r>
    </w:p>
    <w:p w14:paraId="033255E0" w14:textId="5DDF4B16" w:rsidR="00AA0BB0" w:rsidRPr="00946DEB" w:rsidRDefault="00AA0BB0" w:rsidP="005E4671">
      <w:pPr>
        <w:spacing w:after="0" w:line="360" w:lineRule="auto"/>
        <w:jc w:val="both"/>
        <w:rPr>
          <w:rFonts w:ascii="Bookman Old Style" w:hAnsi="Bookman Old Style" w:cs="Times New Roman"/>
          <w:sz w:val="24"/>
          <w:szCs w:val="24"/>
          <w:lang w:bidi="hi-IN"/>
        </w:rPr>
      </w:pPr>
      <w:r w:rsidRPr="00946DEB">
        <w:rPr>
          <w:rFonts w:ascii="Bookman Old Style" w:hAnsi="Bookman Old Style"/>
          <w:sz w:val="24"/>
          <w:szCs w:val="24"/>
        </w:rPr>
        <w:tab/>
        <w:t>Po drugie, w części szczególnej zrewidowano również wysokość nawiązki</w:t>
      </w:r>
      <w:r w:rsidR="00904183" w:rsidRPr="00946DEB">
        <w:rPr>
          <w:rFonts w:ascii="Bookman Old Style" w:hAnsi="Bookman Old Style"/>
          <w:sz w:val="24"/>
          <w:szCs w:val="24"/>
        </w:rPr>
        <w:t>.</w:t>
      </w:r>
      <w:r w:rsidRPr="00946DEB">
        <w:rPr>
          <w:rFonts w:ascii="Bookman Old Style" w:hAnsi="Bookman Old Style"/>
          <w:sz w:val="24"/>
          <w:szCs w:val="24"/>
        </w:rPr>
        <w:t xml:space="preserve"> </w:t>
      </w:r>
      <w:r w:rsidR="00904183" w:rsidRPr="00946DEB">
        <w:rPr>
          <w:rFonts w:ascii="Bookman Old Style" w:hAnsi="Bookman Old Style" w:cs="Times New Roman"/>
          <w:sz w:val="24"/>
          <w:szCs w:val="24"/>
          <w:lang w:bidi="hi-IN"/>
        </w:rPr>
        <w:t>S</w:t>
      </w:r>
      <w:r w:rsidR="001312CC" w:rsidRPr="00946DEB">
        <w:rPr>
          <w:rFonts w:ascii="Bookman Old Style" w:hAnsi="Bookman Old Style" w:cs="Times New Roman"/>
          <w:sz w:val="24"/>
          <w:szCs w:val="24"/>
          <w:lang w:bidi="hi-IN"/>
        </w:rPr>
        <w:t>tanowi</w:t>
      </w:r>
      <w:r w:rsidR="00904183" w:rsidRPr="00946DEB">
        <w:rPr>
          <w:rFonts w:ascii="Bookman Old Style" w:hAnsi="Bookman Old Style" w:cs="Times New Roman"/>
          <w:sz w:val="24"/>
          <w:szCs w:val="24"/>
          <w:lang w:bidi="hi-IN"/>
        </w:rPr>
        <w:t xml:space="preserve"> ona</w:t>
      </w:r>
      <w:r w:rsidR="001312CC" w:rsidRPr="00946DEB">
        <w:rPr>
          <w:rFonts w:ascii="Bookman Old Style" w:hAnsi="Bookman Old Style" w:cs="Times New Roman"/>
          <w:sz w:val="24"/>
          <w:szCs w:val="24"/>
          <w:lang w:bidi="hi-IN"/>
        </w:rPr>
        <w:t xml:space="preserve"> jeden ze środków karnych, wymienionych w art. 28 § 3 KW i zgodnie z art. 32 KW świadczenie to orzeka się na rzecz pokrzywdzonego w wypadkach przewidzianych przepisach szczególnych.</w:t>
      </w:r>
      <w:r w:rsidR="00904183" w:rsidRPr="00946DEB">
        <w:rPr>
          <w:rFonts w:ascii="Bookman Old Style" w:hAnsi="Bookman Old Style" w:cs="Times New Roman"/>
          <w:sz w:val="24"/>
          <w:szCs w:val="24"/>
          <w:lang w:bidi="hi-IN"/>
        </w:rPr>
        <w:t xml:space="preserve"> W projekcie proponuje się podwyższenie nawiązki w</w:t>
      </w:r>
      <w:r w:rsidR="005C5A83" w:rsidRPr="00946DEB">
        <w:rPr>
          <w:rFonts w:ascii="Bookman Old Style" w:hAnsi="Bookman Old Style" w:cs="Times New Roman"/>
          <w:sz w:val="24"/>
          <w:szCs w:val="24"/>
          <w:lang w:bidi="hi-IN"/>
        </w:rPr>
        <w:t xml:space="preserve"> przepisach przewidujących następujące typy czynów zabronionych</w:t>
      </w:r>
      <w:r w:rsidR="001312CC" w:rsidRPr="00946DEB">
        <w:rPr>
          <w:rFonts w:ascii="Bookman Old Style" w:hAnsi="Bookman Old Style" w:cs="Times New Roman"/>
          <w:sz w:val="24"/>
          <w:szCs w:val="24"/>
          <w:lang w:bidi="hi-IN"/>
        </w:rPr>
        <w:t xml:space="preserve">: dopuszczenie czynu kryminalnego przez nieletniego (art. 105 KW); utrudnianie korzystania z urządzeń przeznaczonych do użytku publicznego (art. 144 KW); szkodnictwo leśne (art. 148 KW); szkodnictwo ogrodowe (art. 150 KW); niedozwolony wypas (art. 151); niszczenie kosodrzewiny (art. 152); niszczenie zasiewów (art. 156). </w:t>
      </w:r>
      <w:r w:rsidR="00FF4F80" w:rsidRPr="00946DEB">
        <w:rPr>
          <w:rFonts w:ascii="Bookman Old Style" w:hAnsi="Bookman Old Style" w:cs="Times New Roman"/>
          <w:sz w:val="24"/>
          <w:szCs w:val="24"/>
          <w:lang w:bidi="hi-IN"/>
        </w:rPr>
        <w:t>W</w:t>
      </w:r>
      <w:r w:rsidR="001312CC" w:rsidRPr="00946DEB">
        <w:rPr>
          <w:rFonts w:ascii="Bookman Old Style" w:hAnsi="Bookman Old Style" w:cs="Times New Roman"/>
          <w:sz w:val="24"/>
          <w:szCs w:val="24"/>
          <w:lang w:bidi="hi-IN"/>
        </w:rPr>
        <w:t xml:space="preserve"> odniesieniu do powyższych typizacji wykroczeń przewidziano zasadniczo </w:t>
      </w:r>
      <w:r w:rsidR="001312CC" w:rsidRPr="005B5A8E">
        <w:rPr>
          <w:rFonts w:ascii="Bookman Old Style" w:hAnsi="Bookman Old Style" w:cs="Times New Roman"/>
          <w:bCs/>
          <w:sz w:val="24"/>
          <w:szCs w:val="24"/>
          <w:lang w:bidi="hi-IN"/>
        </w:rPr>
        <w:t>trzykrotne podwyższenie górnej granicy wysokości nawiązki. Zmiany tej nie należy postrzegać</w:t>
      </w:r>
      <w:r w:rsidR="001312CC" w:rsidRPr="005B5A8E">
        <w:rPr>
          <w:rFonts w:ascii="Bookman Old Style" w:hAnsi="Bookman Old Style" w:cs="Times New Roman"/>
          <w:bCs/>
          <w:sz w:val="24"/>
          <w:szCs w:val="24"/>
        </w:rPr>
        <w:t xml:space="preserve"> jako arbitralnego zaostrzenia reakcji na wykroczenie, lecz jako </w:t>
      </w:r>
      <w:r w:rsidR="001312CC" w:rsidRPr="005B5A8E">
        <w:rPr>
          <w:rStyle w:val="Pogrubienie"/>
          <w:rFonts w:ascii="Bookman Old Style" w:hAnsi="Bookman Old Style" w:cs="Times New Roman"/>
          <w:b w:val="0"/>
          <w:sz w:val="24"/>
          <w:szCs w:val="24"/>
        </w:rPr>
        <w:t>kompleksowe dostosowanie wysokości nawiązki do jej funkcji, a także do współczesnych realiów ekonomicznych i społecznych, poprzez poszerzenie maksymalnego zakresu ingerencji w prawa majątkowe sprawcy,</w:t>
      </w:r>
      <w:r w:rsidR="001312CC" w:rsidRPr="005B5A8E">
        <w:rPr>
          <w:rFonts w:ascii="Bookman Old Style" w:hAnsi="Bookman Old Style" w:cs="Times New Roman"/>
          <w:bCs/>
          <w:sz w:val="24"/>
          <w:szCs w:val="24"/>
          <w:lang w:bidi="hi-IN"/>
        </w:rPr>
        <w:t xml:space="preserve"> co jest uzasadnione następującymi względami</w:t>
      </w:r>
      <w:r w:rsidR="00693B72" w:rsidRPr="005B5A8E">
        <w:rPr>
          <w:rFonts w:ascii="Bookman Old Style" w:hAnsi="Bookman Old Style" w:cs="Times New Roman"/>
          <w:bCs/>
          <w:sz w:val="24"/>
          <w:szCs w:val="24"/>
          <w:lang w:bidi="hi-IN"/>
        </w:rPr>
        <w:t xml:space="preserve">. </w:t>
      </w:r>
      <w:r w:rsidR="001312CC" w:rsidRPr="005B5A8E">
        <w:rPr>
          <w:rFonts w:ascii="Bookman Old Style" w:hAnsi="Bookman Old Style"/>
          <w:bCs/>
          <w:sz w:val="24"/>
          <w:szCs w:val="24"/>
        </w:rPr>
        <w:t>Maksymalna</w:t>
      </w:r>
      <w:r w:rsidR="001312CC" w:rsidRPr="00946DEB">
        <w:rPr>
          <w:rFonts w:ascii="Bookman Old Style" w:hAnsi="Bookman Old Style"/>
          <w:sz w:val="24"/>
          <w:szCs w:val="24"/>
        </w:rPr>
        <w:t xml:space="preserve"> wysokość nawiązki w </w:t>
      </w:r>
      <w:r w:rsidR="001312CC" w:rsidRPr="00946DEB">
        <w:rPr>
          <w:rFonts w:ascii="Bookman Old Style" w:hAnsi="Bookman Old Style"/>
          <w:sz w:val="24"/>
          <w:szCs w:val="24"/>
        </w:rPr>
        <w:lastRenderedPageBreak/>
        <w:t xml:space="preserve">wymienionych typizacjach wykroczeń zasadniczo pozostaje na tym samym poziomie od początku obowiązywania Kodeksu wykroczeń, który wszedł w życie 1 stycznia 1972 roku (Dz.U. z 1971 r. Nr 112, poz. 114). Jedyną istotną zmianą w tym zakresie była zmiana systemowa, związana m.in. z denominacją złotego, wprowadzona ustawą z 12 lipca 1995 roku o zmianie Kodeksu karnego, Kodeksu karnego wykonawczego oraz o podwyższeniu dolnych i górnych granic grzywien i nawiązek w prawie karny (Dz.U. z 1995 r. Nr 95, poz. 475), która weszła w życie 20 listopada 1995 roku. Zgodnie z art. 3 ust. 1 tej ustawy, określone w Kodeksie wykroczeń górne granice nawiązek zostały ustalone w wysokości dziesięciokrotnej. Wskutek tego górna granica wysokości nawiązki </w:t>
      </w:r>
      <w:r w:rsidR="001312CC" w:rsidRPr="00946DEB">
        <w:rPr>
          <w:rFonts w:ascii="Bookman Old Style" w:hAnsi="Bookman Old Style"/>
          <w:i/>
          <w:sz w:val="24"/>
          <w:szCs w:val="24"/>
        </w:rPr>
        <w:t>de lege lata</w:t>
      </w:r>
      <w:r w:rsidR="001312CC" w:rsidRPr="00946DEB">
        <w:rPr>
          <w:rFonts w:ascii="Bookman Old Style" w:hAnsi="Bookman Old Style"/>
          <w:sz w:val="24"/>
          <w:szCs w:val="24"/>
        </w:rPr>
        <w:t xml:space="preserve"> kształtuje się w przypadku wymienionych typizacji na poziomie 500 zł, 1000 zł lub 1500 zł i dotąd nie była aktualizowana. Tymczasem jej rzeczywista dolegliwość ekonomiczna uległa istotnemu zmniejszeniu wskutek inflacji i nie odpowiada już aktualnej sile nabywczej pieniądza. Ma to szczególne znaczenie ze względu na to, że wysokość nawiązki powinna pozostawać w racjonalnej proporcji do</w:t>
      </w:r>
      <w:r w:rsidR="001312CC" w:rsidRPr="00946DEB">
        <w:rPr>
          <w:rFonts w:ascii="Bookman Old Style" w:hAnsi="Bookman Old Style"/>
          <w:b/>
          <w:sz w:val="24"/>
          <w:szCs w:val="24"/>
        </w:rPr>
        <w:t xml:space="preserve"> </w:t>
      </w:r>
      <w:r w:rsidR="001312CC" w:rsidRPr="005B5A8E">
        <w:rPr>
          <w:rStyle w:val="Pogrubienie"/>
          <w:rFonts w:ascii="Bookman Old Style" w:hAnsi="Bookman Old Style"/>
          <w:b w:val="0"/>
          <w:bCs w:val="0"/>
          <w:sz w:val="24"/>
          <w:szCs w:val="24"/>
        </w:rPr>
        <w:t>rozmiaru szkody lub krzywdy, wyrządzonej wykroczeniem, oraz do aktualnych realiów ekonomicznych</w:t>
      </w:r>
      <w:r w:rsidR="001312CC" w:rsidRPr="005B5A8E">
        <w:rPr>
          <w:rFonts w:ascii="Bookman Old Style" w:hAnsi="Bookman Old Style"/>
          <w:b/>
          <w:bCs/>
          <w:sz w:val="24"/>
          <w:szCs w:val="24"/>
        </w:rPr>
        <w:t xml:space="preserve">. </w:t>
      </w:r>
      <w:r w:rsidR="001312CC" w:rsidRPr="00946DEB">
        <w:rPr>
          <w:rFonts w:ascii="Bookman Old Style" w:hAnsi="Bookman Old Style"/>
          <w:sz w:val="24"/>
          <w:szCs w:val="24"/>
        </w:rPr>
        <w:t>Trzykrotne podwyższenie górnej granicy wysokości nawiązki pozwoli przywrócić jej rzeczywiste ekonomiczne znaczenie jako sankcji o charakterze finansowym, grożącej za popełnienie wykroczenia.</w:t>
      </w:r>
      <w:r w:rsidR="00053892" w:rsidRPr="00946DEB">
        <w:rPr>
          <w:rFonts w:ascii="Bookman Old Style" w:hAnsi="Bookman Old Style"/>
          <w:sz w:val="24"/>
          <w:szCs w:val="24"/>
        </w:rPr>
        <w:t xml:space="preserve"> </w:t>
      </w:r>
      <w:r w:rsidR="001312CC" w:rsidRPr="00946DEB">
        <w:rPr>
          <w:rFonts w:ascii="Bookman Old Style" w:hAnsi="Bookman Old Style"/>
          <w:sz w:val="24"/>
          <w:szCs w:val="24"/>
        </w:rPr>
        <w:t>P</w:t>
      </w:r>
      <w:r w:rsidR="00053892" w:rsidRPr="00946DEB">
        <w:rPr>
          <w:rFonts w:ascii="Bookman Old Style" w:hAnsi="Bookman Old Style"/>
          <w:sz w:val="24"/>
          <w:szCs w:val="24"/>
        </w:rPr>
        <w:t xml:space="preserve">onadto, </w:t>
      </w:r>
      <w:r w:rsidR="001312CC" w:rsidRPr="00946DEB">
        <w:rPr>
          <w:rFonts w:ascii="Bookman Old Style" w:hAnsi="Bookman Old Style"/>
          <w:sz w:val="24"/>
          <w:szCs w:val="24"/>
        </w:rPr>
        <w:t xml:space="preserve">nawiązka powinna umożliwić przynajmniej częściowe zrekompensowanie pokrzywdzonemu negatywnych skutków popełnionego wykroczenia. Tymczasem obowiązująca </w:t>
      </w:r>
      <w:r w:rsidR="001312CC" w:rsidRPr="00946DEB">
        <w:rPr>
          <w:rFonts w:ascii="Bookman Old Style" w:hAnsi="Bookman Old Style"/>
          <w:i/>
          <w:sz w:val="24"/>
          <w:szCs w:val="24"/>
        </w:rPr>
        <w:t>de lege lata</w:t>
      </w:r>
      <w:r w:rsidR="001312CC" w:rsidRPr="00946DEB">
        <w:rPr>
          <w:rFonts w:ascii="Bookman Old Style" w:hAnsi="Bookman Old Style"/>
          <w:sz w:val="24"/>
          <w:szCs w:val="24"/>
        </w:rPr>
        <w:t xml:space="preserve"> maksymalna wysokość nawiązki może okazać się niewystarczająca (czy niekiedy wręcz symboliczna) w przypadku szkody, która – mimo że czyn ją powodujący stanowi wykroczenie – jest istotna. Podwyższenie ustawowej górnej granicy wysokości nawiązki, a tym samym poszerzenie ustawowego zakresu jej wymiaru, umożliwi więc, po pierwsze, zachowanie racjonalnej proporcji pomiędzy maksymalną wysokością nawiązki a ekonomicznymi skutkami popełnienia wykroczenia danego rodzaju oraz wymiarem innych środków reakcji na wykroczenie (zwłaszcza karą grzywny), co wzmocni realizację jej funkcji kompensacyjnej, a po drugie, adekwatne zindywidualizowanie wysokości nawiązki z uwzględnieniem okoliczności konkretnego czynu (konkretnej sprawy), bez konieczności </w:t>
      </w:r>
      <w:r w:rsidR="001312CC" w:rsidRPr="00946DEB">
        <w:rPr>
          <w:rFonts w:ascii="Bookman Old Style" w:hAnsi="Bookman Old Style"/>
          <w:sz w:val="24"/>
          <w:szCs w:val="24"/>
        </w:rPr>
        <w:lastRenderedPageBreak/>
        <w:t xml:space="preserve">automatycznego wymierzania jej w maksymalnej wysokości. </w:t>
      </w:r>
      <w:r w:rsidR="000354A8" w:rsidRPr="00946DEB">
        <w:rPr>
          <w:rFonts w:ascii="Bookman Old Style" w:hAnsi="Bookman Old Style" w:cs="Times New Roman"/>
          <w:sz w:val="24"/>
          <w:szCs w:val="24"/>
          <w:lang w:bidi="hi-IN"/>
        </w:rPr>
        <w:t xml:space="preserve">Wreszcie należy podkreślić, że </w:t>
      </w:r>
      <w:r w:rsidR="001312CC" w:rsidRPr="00946DEB">
        <w:rPr>
          <w:rFonts w:ascii="Bookman Old Style" w:hAnsi="Bookman Old Style" w:cs="Times New Roman"/>
          <w:sz w:val="24"/>
          <w:szCs w:val="24"/>
          <w:lang w:bidi="hi-IN"/>
        </w:rPr>
        <w:t xml:space="preserve">proponowana zmiana koreluje z projektowanym podwyższeniem maksymalnej wysokości kary grzywny, grożącej za wykroczenie, której górna granica została w niniejszym projekcie zwiększona sześciokrotnie, tj. do 30 000 złotych (zob. projektowany art. 24 </w:t>
      </w:r>
      <w:r w:rsidR="001312CC" w:rsidRPr="00946DEB">
        <w:rPr>
          <w:rFonts w:ascii="Bookman Old Style" w:hAnsi="Bookman Old Style" w:cs="Times New Roman"/>
          <w:sz w:val="24"/>
          <w:szCs w:val="24"/>
        </w:rPr>
        <w:t xml:space="preserve">§ 1 KW). Uzasadnienie zmian w obrębie kary grzywny pozostaje aktualne także w odniesieniu do proponowanego poniesienia górnej granicy wysokości nawiązki. </w:t>
      </w:r>
    </w:p>
    <w:p w14:paraId="5EB5F59C" w14:textId="2D1919A3" w:rsidR="00AA0BB0" w:rsidRPr="00946DEB" w:rsidRDefault="00AA0BB0" w:rsidP="00DF10DB">
      <w:pPr>
        <w:suppressAutoHyphens/>
        <w:spacing w:after="0" w:line="360" w:lineRule="auto"/>
        <w:ind w:firstLine="708"/>
        <w:jc w:val="both"/>
        <w:rPr>
          <w:rFonts w:ascii="Bookman Old Style" w:hAnsi="Bookman Old Style" w:cs="Times New Roman"/>
          <w:sz w:val="24"/>
          <w:szCs w:val="24"/>
        </w:rPr>
      </w:pPr>
      <w:r w:rsidRPr="00946DEB">
        <w:rPr>
          <w:rFonts w:ascii="Bookman Old Style" w:hAnsi="Bookman Old Style"/>
          <w:sz w:val="24"/>
          <w:szCs w:val="24"/>
        </w:rPr>
        <w:t>Po trzecie,</w:t>
      </w:r>
      <w:r w:rsidR="00FA1ED3" w:rsidRPr="00946DEB">
        <w:rPr>
          <w:rFonts w:ascii="Bookman Old Style" w:hAnsi="Bookman Old Style" w:cs="Times New Roman"/>
          <w:sz w:val="24"/>
          <w:szCs w:val="24"/>
        </w:rPr>
        <w:t xml:space="preserve"> </w:t>
      </w:r>
      <w:r w:rsidR="003851C6" w:rsidRPr="00946DEB">
        <w:rPr>
          <w:rFonts w:ascii="Bookman Old Style" w:hAnsi="Bookman Old Style"/>
          <w:sz w:val="24"/>
          <w:szCs w:val="24"/>
        </w:rPr>
        <w:t xml:space="preserve">w niektórych przypadkach zdecydowano się na wyeliminowanie aresztu z sankcji albowiem </w:t>
      </w:r>
      <w:r w:rsidR="00FA1ED3" w:rsidRPr="00946DEB">
        <w:rPr>
          <w:rFonts w:ascii="Bookman Old Style" w:hAnsi="Bookman Old Style" w:cs="Times New Roman"/>
          <w:sz w:val="24"/>
          <w:szCs w:val="24"/>
        </w:rPr>
        <w:t xml:space="preserve">kara </w:t>
      </w:r>
      <w:r w:rsidR="003851C6" w:rsidRPr="00946DEB">
        <w:rPr>
          <w:rFonts w:ascii="Bookman Old Style" w:hAnsi="Bookman Old Style" w:cs="Times New Roman"/>
          <w:sz w:val="24"/>
          <w:szCs w:val="24"/>
        </w:rPr>
        <w:t>ta</w:t>
      </w:r>
      <w:r w:rsidR="00334C77">
        <w:rPr>
          <w:rFonts w:ascii="Bookman Old Style" w:hAnsi="Bookman Old Style" w:cs="Times New Roman"/>
          <w:sz w:val="24"/>
          <w:szCs w:val="24"/>
        </w:rPr>
        <w:t xml:space="preserve"> (zaznaczając, że w ogóle wątpliwe jest funkcjonowanie tej kary w prawie wykroczeń)</w:t>
      </w:r>
      <w:r w:rsidR="00FA1ED3" w:rsidRPr="00946DEB">
        <w:rPr>
          <w:rFonts w:ascii="Bookman Old Style" w:hAnsi="Bookman Old Style" w:cs="Times New Roman"/>
          <w:sz w:val="24"/>
          <w:szCs w:val="24"/>
        </w:rPr>
        <w:t xml:space="preserve"> ze względu na poważną ingerencję w podstawowe prawa i wolności człowieka, powinna być przewidziana za wykroczenia charakteryzujące się stosunkowo dużym stopniem społecznej szkodliwości. Takim wykroczeniem nie jest typ opisany w art. 50 </w:t>
      </w:r>
      <w:proofErr w:type="spellStart"/>
      <w:r w:rsidR="00FA1ED3" w:rsidRPr="00946DEB">
        <w:rPr>
          <w:rFonts w:ascii="Bookman Old Style" w:hAnsi="Bookman Old Style" w:cs="Times New Roman"/>
          <w:sz w:val="24"/>
          <w:szCs w:val="24"/>
        </w:rPr>
        <w:t>k.w</w:t>
      </w:r>
      <w:proofErr w:type="spellEnd"/>
      <w:r w:rsidR="00FA1ED3" w:rsidRPr="00946DEB">
        <w:rPr>
          <w:rFonts w:ascii="Bookman Old Style" w:hAnsi="Bookman Old Style" w:cs="Times New Roman"/>
          <w:sz w:val="24"/>
          <w:szCs w:val="24"/>
        </w:rPr>
        <w:t>. który penalizuje nieopuszczenie zbiegowiska publicznego pomimo wezwania uprawnionego organu. Co ważne, dla realizacji znamion tego typu nie ma znaczenia wystąpienie jakiegokolwiek zagrożenia dla dóbr chronionych prawem, będącego konsekwencją uczestnictwa w takim zbiegowisku. Z tego względu zdecydowano się na usunięcie z granic ustawowego zagrożenia kary aresztu przewidzianej za typ czynu zabronionego opisany w tym przepisie.</w:t>
      </w:r>
    </w:p>
    <w:p w14:paraId="7D607F19" w14:textId="53F5B3A8" w:rsidR="00E6721F" w:rsidRPr="00946DEB" w:rsidRDefault="00AA0BB0" w:rsidP="000C3BE1">
      <w:pPr>
        <w:suppressAutoHyphens/>
        <w:spacing w:after="0" w:line="360" w:lineRule="auto"/>
        <w:ind w:firstLine="425"/>
        <w:jc w:val="both"/>
        <w:rPr>
          <w:rFonts w:ascii="Bookman Old Style" w:hAnsi="Bookman Old Style" w:cs="Times New Roman"/>
          <w:color w:val="ED7D31" w:themeColor="accent2"/>
          <w:sz w:val="24"/>
          <w:szCs w:val="24"/>
          <w:lang w:bidi="hi-IN"/>
        </w:rPr>
      </w:pPr>
      <w:r w:rsidRPr="00946DEB">
        <w:rPr>
          <w:rFonts w:ascii="Bookman Old Style" w:hAnsi="Bookman Old Style"/>
          <w:sz w:val="24"/>
          <w:szCs w:val="24"/>
        </w:rPr>
        <w:t xml:space="preserve">Po czwarte, </w:t>
      </w:r>
      <w:r w:rsidR="004F0E4C" w:rsidRPr="00946DEB">
        <w:rPr>
          <w:rFonts w:ascii="Bookman Old Style" w:hAnsi="Bookman Old Style"/>
          <w:sz w:val="24"/>
          <w:szCs w:val="24"/>
        </w:rPr>
        <w:t>niekiedy skorygowano ustawowe znamiona czynów zabronionych usuwając oczywiste błędy l</w:t>
      </w:r>
      <w:r w:rsidR="00A225FA" w:rsidRPr="00946DEB">
        <w:rPr>
          <w:rFonts w:ascii="Bookman Old Style" w:hAnsi="Bookman Old Style"/>
          <w:sz w:val="24"/>
          <w:szCs w:val="24"/>
        </w:rPr>
        <w:t>e</w:t>
      </w:r>
      <w:r w:rsidR="004F0E4C" w:rsidRPr="00946DEB">
        <w:rPr>
          <w:rFonts w:ascii="Bookman Old Style" w:hAnsi="Bookman Old Style"/>
          <w:sz w:val="24"/>
          <w:szCs w:val="24"/>
        </w:rPr>
        <w:t>gislacyjne</w:t>
      </w:r>
      <w:r w:rsidR="00E231E7" w:rsidRPr="00946DEB">
        <w:rPr>
          <w:rFonts w:ascii="Bookman Old Style" w:hAnsi="Bookman Old Style"/>
          <w:sz w:val="24"/>
          <w:szCs w:val="24"/>
        </w:rPr>
        <w:t xml:space="preserve"> ewentualnie </w:t>
      </w:r>
      <w:r w:rsidR="00876D71" w:rsidRPr="00946DEB">
        <w:rPr>
          <w:rFonts w:ascii="Bookman Old Style" w:hAnsi="Bookman Old Style"/>
          <w:sz w:val="24"/>
          <w:szCs w:val="24"/>
        </w:rPr>
        <w:t>zmieniono</w:t>
      </w:r>
      <w:r w:rsidR="00E231E7" w:rsidRPr="00946DEB">
        <w:rPr>
          <w:rFonts w:ascii="Bookman Old Style" w:hAnsi="Bookman Old Style"/>
          <w:sz w:val="24"/>
          <w:szCs w:val="24"/>
        </w:rPr>
        <w:t xml:space="preserve"> odesłania wewnątrz określonej jednostki redakcyjnej Kodeksu aby usunąć </w:t>
      </w:r>
      <w:r w:rsidR="00983A55" w:rsidRPr="00946DEB">
        <w:rPr>
          <w:rFonts w:ascii="Bookman Old Style" w:hAnsi="Bookman Old Style"/>
          <w:sz w:val="24"/>
          <w:szCs w:val="24"/>
        </w:rPr>
        <w:t>rażące</w:t>
      </w:r>
      <w:r w:rsidR="00E231E7" w:rsidRPr="00946DEB">
        <w:rPr>
          <w:rFonts w:ascii="Bookman Old Style" w:hAnsi="Bookman Old Style"/>
          <w:sz w:val="24"/>
          <w:szCs w:val="24"/>
        </w:rPr>
        <w:t xml:space="preserve"> </w:t>
      </w:r>
      <w:r w:rsidR="00481A48">
        <w:rPr>
          <w:rFonts w:ascii="Bookman Old Style" w:hAnsi="Bookman Old Style"/>
          <w:sz w:val="24"/>
          <w:szCs w:val="24"/>
        </w:rPr>
        <w:t>pomyłki</w:t>
      </w:r>
      <w:r w:rsidR="000C3BE1" w:rsidRPr="00946DEB">
        <w:rPr>
          <w:rFonts w:ascii="Bookman Old Style" w:hAnsi="Bookman Old Style"/>
          <w:sz w:val="24"/>
          <w:szCs w:val="24"/>
        </w:rPr>
        <w:t xml:space="preserve"> lub zdecydowano się na usunięcie określonego typu czynu zabronionego z Kodeksu wykroczeń</w:t>
      </w:r>
      <w:r w:rsidR="004F0E4C" w:rsidRPr="00946DEB">
        <w:rPr>
          <w:rFonts w:ascii="Bookman Old Style" w:hAnsi="Bookman Old Style"/>
          <w:sz w:val="24"/>
          <w:szCs w:val="24"/>
        </w:rPr>
        <w:t>.</w:t>
      </w:r>
      <w:r w:rsidR="00E231E7" w:rsidRPr="00946DEB">
        <w:rPr>
          <w:rFonts w:ascii="Bookman Old Style" w:hAnsi="Bookman Old Style"/>
          <w:sz w:val="24"/>
          <w:szCs w:val="24"/>
        </w:rPr>
        <w:t xml:space="preserve"> </w:t>
      </w:r>
      <w:r w:rsidR="00876D71" w:rsidRPr="00946DEB">
        <w:rPr>
          <w:rFonts w:ascii="Bookman Old Style" w:hAnsi="Bookman Old Style" w:cs="Times New Roman"/>
          <w:sz w:val="24"/>
          <w:szCs w:val="24"/>
        </w:rPr>
        <w:t xml:space="preserve">Zgodnie z art. 51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„Jeżeli czyn określony w </w:t>
      </w:r>
      <w:hyperlink r:id="rId7" w:anchor="/document/16788218?unitId=art(51)par(1)" w:history="1">
        <w:r w:rsidR="00876D71" w:rsidRPr="00946DEB">
          <w:rPr>
            <w:rStyle w:val="Hipercze"/>
            <w:rFonts w:ascii="Bookman Old Style" w:hAnsi="Bookman Old Style" w:cs="Times New Roman"/>
            <w:color w:val="000000" w:themeColor="text1"/>
            <w:sz w:val="24"/>
            <w:szCs w:val="24"/>
            <w:u w:val="none"/>
          </w:rPr>
          <w:t>§ 1</w:t>
        </w:r>
      </w:hyperlink>
      <w:r w:rsidR="00876D71" w:rsidRPr="00946DEB">
        <w:rPr>
          <w:rFonts w:ascii="Bookman Old Style" w:hAnsi="Bookman Old Style" w:cs="Times New Roman"/>
          <w:sz w:val="24"/>
          <w:szCs w:val="24"/>
        </w:rPr>
        <w:t xml:space="preserve"> ma charakter chuligański lub sprawca dopuszcza się go, będąc pod wpływem alkoholu, środka odurzającego lub innej podobnie działającej substancji lub środka, podlega karze aresztu, ograniczenia wolności albo grzywny nie niższej niż 1000 złotych.” Jest to typ kwalifikowany w stosunku do typu opisanego w art. 51 par.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W pierwszej kolejności podkreślić należy, że zgodnie z art. 33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chuligański charakter czynu może być uwzględniony jako okoliczność obciążająca przy wymierzaniu kary, nie ma zatem potrzeby ujmowania jej jako osobnego znamienia typu czynu zabronionego, decydującego o surowszej odpowiedzialności (znamienia </w:t>
      </w:r>
      <w:r w:rsidR="00876D71" w:rsidRPr="00946DEB">
        <w:rPr>
          <w:rFonts w:ascii="Bookman Old Style" w:hAnsi="Bookman Old Style" w:cs="Times New Roman"/>
          <w:sz w:val="24"/>
          <w:szCs w:val="24"/>
        </w:rPr>
        <w:lastRenderedPageBreak/>
        <w:t>kwalifikującego), tym bardziej</w:t>
      </w:r>
      <w:r w:rsidR="002B7C2D" w:rsidRPr="00946DEB">
        <w:rPr>
          <w:rFonts w:ascii="Bookman Old Style" w:hAnsi="Bookman Old Style" w:cs="Times New Roman"/>
          <w:sz w:val="24"/>
          <w:szCs w:val="24"/>
        </w:rPr>
        <w:t>,</w:t>
      </w:r>
      <w:r w:rsidR="00876D71" w:rsidRPr="00946DEB">
        <w:rPr>
          <w:rFonts w:ascii="Bookman Old Style" w:hAnsi="Bookman Old Style" w:cs="Times New Roman"/>
          <w:sz w:val="24"/>
          <w:szCs w:val="24"/>
        </w:rPr>
        <w:t xml:space="preserve"> że w przypadku np. wykroczeń drogowych, na taki zabieg ustawodawca się nie zdecydował. Podobna sytuacja jest w przypadku pozostałych znamion kwalifikujących zawartych w art. 51 par.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tj. popełnienie wykroczenia, o którym mowa w art. 51 par.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pod wpływem alkoholu, środka odurzającego lub innej podobnie działającej substancji lub środka (zob. art. 33 par. 4 pkt 7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Uzasadnia to uchylenie przepisu zawierającego ten typ czynu zabronionego, tym bardziej, że przyczyni się to do usprawnienia postępowania w tego rodzaju sprawach, ponieważ zwolni sąd z obowiązku szczegółowego badania faktu pozostawania pod wpływem alkoholu. W przypadku pozostawienia §2, sąd zobowiązany byłby do każdorazowej analizy tych przesłanek. Typ czynu zabronionego opisany w art. 58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penalizujący żebranie w miejscu publicznym przez osobę, mającą środki egzystencji lub zdolną do pracy, powinien zostać usunięty z Kodeksu wykroczeń, gdyż ma charakter paternalistyczny i prowadzi do ograniczania swobody jednostki w pozyskiwaniu środków do życia. Także zagrożenie kar</w:t>
      </w:r>
      <w:r w:rsidR="000C6144" w:rsidRPr="00946DEB">
        <w:rPr>
          <w:rFonts w:ascii="Bookman Old Style" w:hAnsi="Bookman Old Style" w:cs="Times New Roman"/>
          <w:sz w:val="24"/>
          <w:szCs w:val="24"/>
        </w:rPr>
        <w:t>ą</w:t>
      </w:r>
      <w:r w:rsidR="00876D71" w:rsidRPr="00946DEB">
        <w:rPr>
          <w:rFonts w:ascii="Bookman Old Style" w:hAnsi="Bookman Old Style" w:cs="Times New Roman"/>
          <w:sz w:val="24"/>
          <w:szCs w:val="24"/>
        </w:rPr>
        <w:t xml:space="preserve"> grzywny za tego rodzaju czyn budzi poważne wątpliwości praktyczne, zważywszy na wątpliwą sposobność jej uiszczenia przez sprawcę; nie jest też proste wskazanie adekwatnej kary, możliwej do nałożenia na sprawcę dopuszczającego się żebractwa, co świadczy o braku skutecznej i odpowiedniej reakcji karnoprawnej w tym zakresie. Wszystkie te czynniki uzasadniają decyzję o uchyleniu § 1.</w:t>
      </w:r>
      <w:r w:rsidR="000C6144" w:rsidRPr="00946DEB">
        <w:rPr>
          <w:rFonts w:ascii="Bookman Old Style" w:hAnsi="Bookman Old Style" w:cs="Times New Roman"/>
          <w:color w:val="ED7D31" w:themeColor="accent2"/>
          <w:sz w:val="24"/>
          <w:szCs w:val="24"/>
        </w:rPr>
        <w:t xml:space="preserve"> </w:t>
      </w:r>
      <w:r w:rsidR="00876D71" w:rsidRPr="00946DEB">
        <w:rPr>
          <w:rFonts w:ascii="Bookman Old Style" w:hAnsi="Bookman Old Style" w:cs="Times New Roman"/>
          <w:color w:val="333333"/>
          <w:sz w:val="24"/>
          <w:szCs w:val="24"/>
          <w:shd w:val="clear" w:color="auto" w:fill="FFFFFF"/>
        </w:rPr>
        <w:t xml:space="preserve">Przepisy art. 86 § 2 i 3 </w:t>
      </w:r>
      <w:proofErr w:type="spellStart"/>
      <w:r w:rsidR="00876D71" w:rsidRPr="00946DEB">
        <w:rPr>
          <w:rFonts w:ascii="Bookman Old Style" w:hAnsi="Bookman Old Style" w:cs="Times New Roman"/>
          <w:color w:val="333333"/>
          <w:sz w:val="24"/>
          <w:szCs w:val="24"/>
          <w:shd w:val="clear" w:color="auto" w:fill="FFFFFF"/>
        </w:rPr>
        <w:t>k.w</w:t>
      </w:r>
      <w:proofErr w:type="spellEnd"/>
      <w:r w:rsidR="00876D71" w:rsidRPr="00946DEB">
        <w:rPr>
          <w:rFonts w:ascii="Bookman Old Style" w:hAnsi="Bookman Old Style" w:cs="Times New Roman"/>
          <w:color w:val="333333"/>
          <w:sz w:val="24"/>
          <w:szCs w:val="24"/>
          <w:shd w:val="clear" w:color="auto" w:fill="FFFFFF"/>
        </w:rPr>
        <w:t xml:space="preserve">. zostały zmienione w konsekwencji dodania w 2021 r. </w:t>
      </w:r>
      <w:r w:rsidR="00876D71" w:rsidRPr="00946DEB">
        <w:rPr>
          <w:rFonts w:ascii="Bookman Old Style" w:hAnsi="Bookman Old Style" w:cs="Times New Roman"/>
          <w:sz w:val="24"/>
          <w:szCs w:val="24"/>
        </w:rPr>
        <w:t>(</w:t>
      </w:r>
      <w:r w:rsidR="00876D71" w:rsidRPr="00946DEB">
        <w:rPr>
          <w:rFonts w:ascii="Bookman Old Style" w:hAnsi="Bookman Old Style" w:cs="Times New Roman"/>
          <w:color w:val="212529"/>
          <w:sz w:val="24"/>
          <w:szCs w:val="24"/>
          <w:shd w:val="clear" w:color="auto" w:fill="FFFFFF"/>
        </w:rPr>
        <w:t>Dz.U.2021.2328)</w:t>
      </w:r>
      <w:r w:rsidR="00876D71" w:rsidRPr="00946DEB">
        <w:rPr>
          <w:rFonts w:ascii="Bookman Old Style" w:hAnsi="Bookman Old Style" w:cs="Times New Roman"/>
          <w:color w:val="333333"/>
          <w:sz w:val="24"/>
          <w:szCs w:val="24"/>
          <w:shd w:val="clear" w:color="auto" w:fill="FFFFFF"/>
        </w:rPr>
        <w:t xml:space="preserve"> § 1a do przepisu art. 86 </w:t>
      </w:r>
      <w:proofErr w:type="spellStart"/>
      <w:r w:rsidR="00876D71" w:rsidRPr="00946DEB">
        <w:rPr>
          <w:rFonts w:ascii="Bookman Old Style" w:hAnsi="Bookman Old Style" w:cs="Times New Roman"/>
          <w:color w:val="333333"/>
          <w:sz w:val="24"/>
          <w:szCs w:val="24"/>
          <w:shd w:val="clear" w:color="auto" w:fill="FFFFFF"/>
        </w:rPr>
        <w:t>k.w</w:t>
      </w:r>
      <w:proofErr w:type="spellEnd"/>
      <w:r w:rsidR="00876D71" w:rsidRPr="00946DEB">
        <w:rPr>
          <w:rFonts w:ascii="Bookman Old Style" w:hAnsi="Bookman Old Style" w:cs="Times New Roman"/>
          <w:color w:val="333333"/>
          <w:sz w:val="24"/>
          <w:szCs w:val="24"/>
          <w:shd w:val="clear" w:color="auto" w:fill="FFFFFF"/>
        </w:rPr>
        <w:t xml:space="preserve">. Ta zmiana nie została uwzględniona przez ówczesnego ustawodawcę w kolejnych jednostkach redakcyjnych przepisów, co prowadzić mogło do nieracjonalnych rozstrzygnięć. Literalne brzmienie par. 2, który odwołuje się wyłącznie do par. 1, prowadzi bowiem do wniosku, że tylko popełnienie wykroczenia w typie podstawowym w stanie po użyciu alkoholu lub podobnie działającego środka daje możliwość wymierzenia grzywny w wysokości nie niższej niż 2500 zł; gdyby następstwem wykroczenia opisanego w par. 1 było np. spowodowanie rozstroju zdrowia (czyli typ opisany w par. 1 a) minimalna grzywna jaką można by było wymierzyć wynosiłaby – zgodnie z par. 1 a - 1500 zł. Stąd konieczność doprecyzowania par. 2 i par 3, tak, aby odnosił się zarówno do </w:t>
      </w:r>
      <w:proofErr w:type="spellStart"/>
      <w:r w:rsidR="00876D71" w:rsidRPr="00946DEB">
        <w:rPr>
          <w:rFonts w:ascii="Bookman Old Style" w:hAnsi="Bookman Old Style" w:cs="Times New Roman"/>
          <w:color w:val="333333"/>
          <w:sz w:val="24"/>
          <w:szCs w:val="24"/>
          <w:shd w:val="clear" w:color="auto" w:fill="FFFFFF"/>
        </w:rPr>
        <w:t>zachowań</w:t>
      </w:r>
      <w:proofErr w:type="spellEnd"/>
      <w:r w:rsidR="00876D71" w:rsidRPr="00946DEB">
        <w:rPr>
          <w:rFonts w:ascii="Bookman Old Style" w:hAnsi="Bookman Old Style" w:cs="Times New Roman"/>
          <w:color w:val="333333"/>
          <w:sz w:val="24"/>
          <w:szCs w:val="24"/>
          <w:shd w:val="clear" w:color="auto" w:fill="FFFFFF"/>
        </w:rPr>
        <w:t xml:space="preserve"> przewidzianych w § 1, jak i w § 1a art. 86 </w:t>
      </w:r>
      <w:proofErr w:type="spellStart"/>
      <w:r w:rsidR="00876D71" w:rsidRPr="00946DEB">
        <w:rPr>
          <w:rFonts w:ascii="Bookman Old Style" w:hAnsi="Bookman Old Style" w:cs="Times New Roman"/>
          <w:color w:val="333333"/>
          <w:sz w:val="24"/>
          <w:szCs w:val="24"/>
          <w:shd w:val="clear" w:color="auto" w:fill="FFFFFF"/>
        </w:rPr>
        <w:t>k.w</w:t>
      </w:r>
      <w:proofErr w:type="spellEnd"/>
      <w:r w:rsidR="00876D71" w:rsidRPr="00946DEB">
        <w:rPr>
          <w:rFonts w:ascii="Bookman Old Style" w:hAnsi="Bookman Old Style" w:cs="Times New Roman"/>
          <w:color w:val="333333"/>
          <w:sz w:val="24"/>
          <w:szCs w:val="24"/>
          <w:shd w:val="clear" w:color="auto" w:fill="FFFFFF"/>
        </w:rPr>
        <w:t>.</w:t>
      </w:r>
      <w:r w:rsidR="00742752" w:rsidRPr="00946DEB">
        <w:rPr>
          <w:rFonts w:ascii="Bookman Old Style" w:hAnsi="Bookman Old Style" w:cs="Times New Roman"/>
          <w:color w:val="ED7D31" w:themeColor="accent2"/>
          <w:sz w:val="24"/>
          <w:szCs w:val="24"/>
        </w:rPr>
        <w:t xml:space="preserve"> </w:t>
      </w:r>
      <w:r w:rsidR="00876D71" w:rsidRPr="00946DEB">
        <w:rPr>
          <w:rFonts w:ascii="Bookman Old Style" w:hAnsi="Bookman Old Style" w:cs="Times New Roman"/>
          <w:sz w:val="24"/>
          <w:szCs w:val="24"/>
        </w:rPr>
        <w:t xml:space="preserve">Przepisy </w:t>
      </w:r>
      <w:r w:rsidR="00876D71" w:rsidRPr="00946DEB">
        <w:rPr>
          <w:rFonts w:ascii="Bookman Old Style" w:hAnsi="Bookman Old Style" w:cs="Times New Roman"/>
          <w:sz w:val="24"/>
          <w:szCs w:val="24"/>
        </w:rPr>
        <w:lastRenderedPageBreak/>
        <w:t xml:space="preserve">art. 86 § 1a art. 86c § 2 przewidują obecnie typy kwalifikowany przez następstwo. Projektodawca w niniejszej nowelizacji proponuje przyjęcie innej formuły niż typ kwalifikowany przez następstwo, ponieważ Kodeks wykroczeń nie reguluje zasad odpowiedzialności za następstwo. Spowodowanie zagrożenia w ruchu drogowym w nowym brzmieniu przepisu jest znamieniem skutku, co oznacza, że wykładnia przepisu opierać się musi na schemacie właściwym dla wykroczeń materialnych. Aby precyzyjnie wyznaczyć granice między wypadkiem drogowym z art. 177 par. 1 k.k. a wykroczeniem z art. 86 par. 1 a należało także doprecyzować skutek, poprzez wskazanie, że chodzi o naruszenie czynności narządu ciała lub rozstrój zdrowia trwający nie dłużej niż 7 dni. Nowa treść przepisu art. 94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racjonalizuje wymiar kary, który nie został zmieniony przy wprowadzaniu § 1a w 2021 r. (</w:t>
      </w:r>
      <w:r w:rsidR="00876D71" w:rsidRPr="00946DEB">
        <w:rPr>
          <w:rFonts w:ascii="Bookman Old Style" w:hAnsi="Bookman Old Style" w:cs="Times New Roman"/>
          <w:color w:val="212529"/>
          <w:sz w:val="24"/>
          <w:szCs w:val="24"/>
          <w:shd w:val="clear" w:color="auto" w:fill="FFFFFF"/>
        </w:rPr>
        <w:t xml:space="preserve">Dz.U.2021.2328) </w:t>
      </w:r>
      <w:r w:rsidR="00876D71" w:rsidRPr="00946DEB">
        <w:rPr>
          <w:rFonts w:ascii="Bookman Old Style" w:hAnsi="Bookman Old Style" w:cs="Times New Roman"/>
          <w:sz w:val="24"/>
          <w:szCs w:val="24"/>
        </w:rPr>
        <w:t xml:space="preserve">wspomnianego artykułu. Pierwotnie przepis § 2 posługiwał się frazą „tej samej karze”, odwołując się do wysokości kary przewidzianej w § 1. Po dodaniu § 1a i zachowaniu wspomnianej frazy, grożąca kara za zachowanie opisane w § 2 została zrównana z nowym § 1a. Równocześnie ówczesny ustawodawca podniósł zagrożenie karą w § 1. Ostatecznie w sposób nieracjonalny zachowanie opisane w § 2 karalne było w takim samym stopniu jak w § 1a, chociaż bez wątpienia zachowania opisane w § 2 (podobnie jak w § 1) cechuje wyższy stopień społecznej szkodliwości. Typ czynu zabronionego opisany w art. 129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aktualnie jest ujęty zbyt wąsko, dlatego że mowa jest w nim o narzędziach w kontekście ich wyrabiania, co zdaje się pomijać narzędzia o charakterze elektronicznym. Powstaje zatem pytanie, czy tworzenie programu uznane może być za jego „wyrabianie”. Aby uniknąć wątpliwości proponuje się uzupełnienie przepisu o zwrot „wytwarza”, tak aby obejmował on również narzędzia niemające postaci materialnej. Jest to pojęcie pojemne, pozwalające objąć zarówno narzędzia fizyczne, jak i elektroniczne, w tym programy komputerowe.</w:t>
      </w:r>
      <w:r w:rsidR="0018102E" w:rsidRPr="00946DEB">
        <w:rPr>
          <w:rFonts w:ascii="Bookman Old Style" w:hAnsi="Bookman Old Style" w:cs="Times New Roman"/>
          <w:color w:val="ED7D31" w:themeColor="accent2"/>
          <w:sz w:val="24"/>
          <w:szCs w:val="24"/>
        </w:rPr>
        <w:t xml:space="preserve"> </w:t>
      </w:r>
      <w:r w:rsidR="00876D71" w:rsidRPr="00946DEB">
        <w:rPr>
          <w:rFonts w:ascii="Bookman Old Style" w:hAnsi="Bookman Old Style" w:cs="Times New Roman"/>
          <w:sz w:val="24"/>
          <w:szCs w:val="24"/>
        </w:rPr>
        <w:t xml:space="preserve">Zmiana w art. 130 par. 3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ma jedynie charakter terminologiczny, rozstrzygający ostatecznie o relacji między przepisami kodeksu wykroczeń a przestępstwem rozboju, o którym mowa w art. 280 kk. Ponieważ w znamionach tego typu posłużono się terminem „przemoc”, a nie „gwałt” należy zmienić termin użyty w art. 130 par. 3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tak, aby nie budziło wątpliwości, że także użycie przez sprawce kradzieży przemocy o tak </w:t>
      </w:r>
      <w:r w:rsidR="00876D71" w:rsidRPr="00946DEB">
        <w:rPr>
          <w:rFonts w:ascii="Bookman Old Style" w:hAnsi="Bookman Old Style" w:cs="Times New Roman"/>
          <w:sz w:val="24"/>
          <w:szCs w:val="24"/>
        </w:rPr>
        <w:lastRenderedPageBreak/>
        <w:t xml:space="preserve">niewielkim natężeniu, które nie pozwala przyjąć, że mamy do czynienia z „gwałtem” wyklucza zastosowanie przepisów art. 119 i 120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w:t>
      </w:r>
      <w:r w:rsidR="00876D71" w:rsidRPr="00946DEB">
        <w:rPr>
          <w:rFonts w:ascii="Bookman Old Style" w:eastAsia="Times New Roman" w:hAnsi="Bookman Old Style" w:cs="Times New Roman"/>
          <w:kern w:val="0"/>
          <w:sz w:val="24"/>
          <w:szCs w:val="24"/>
          <w:lang w:eastAsia="pl-PL"/>
          <w14:ligatures w14:val="none"/>
        </w:rPr>
        <w:t xml:space="preserve">Art. 133 </w:t>
      </w:r>
      <w:proofErr w:type="spellStart"/>
      <w:r w:rsidR="00876D71" w:rsidRPr="00946DEB">
        <w:rPr>
          <w:rFonts w:ascii="Bookman Old Style" w:eastAsia="Times New Roman" w:hAnsi="Bookman Old Style" w:cs="Times New Roman"/>
          <w:kern w:val="0"/>
          <w:sz w:val="24"/>
          <w:szCs w:val="24"/>
          <w:lang w:eastAsia="pl-PL"/>
          <w14:ligatures w14:val="none"/>
        </w:rPr>
        <w:t>k.w</w:t>
      </w:r>
      <w:proofErr w:type="spellEnd"/>
      <w:r w:rsidR="00876D71" w:rsidRPr="00946DEB">
        <w:rPr>
          <w:rFonts w:ascii="Bookman Old Style" w:eastAsia="Times New Roman" w:hAnsi="Bookman Old Style" w:cs="Times New Roman"/>
          <w:kern w:val="0"/>
          <w:sz w:val="24"/>
          <w:szCs w:val="24"/>
          <w:lang w:eastAsia="pl-PL"/>
          <w14:ligatures w14:val="none"/>
        </w:rPr>
        <w:t>. penalizował spekulację biletami wstępu na imprezy artystyczne, rozrywkowe lub sportowe, które to zachowania były społecznie szkodliwe w poprzednim ustroju polityczno-gospodarczym. Aktualnie nie ma podstaw do tego, aby tego rodzaju zachowania uznać za bezprawne. Stąd propozycja uchylenia tego typu czynu zabronionego.</w:t>
      </w:r>
      <w:r w:rsidR="00D4656F" w:rsidRPr="00946DEB">
        <w:rPr>
          <w:rFonts w:ascii="Bookman Old Style" w:hAnsi="Bookman Old Style" w:cs="Times New Roman"/>
          <w:color w:val="ED7D31" w:themeColor="accent2"/>
          <w:sz w:val="24"/>
          <w:szCs w:val="24"/>
        </w:rPr>
        <w:t xml:space="preserve"> </w:t>
      </w:r>
      <w:r w:rsidR="00D4656F" w:rsidRPr="00946DEB">
        <w:rPr>
          <w:rFonts w:ascii="Bookman Old Style" w:hAnsi="Bookman Old Style" w:cs="Times New Roman"/>
          <w:color w:val="000000" w:themeColor="text1"/>
          <w:sz w:val="24"/>
          <w:szCs w:val="24"/>
        </w:rPr>
        <w:t>Z</w:t>
      </w:r>
      <w:r w:rsidR="00876D71" w:rsidRPr="00946DEB">
        <w:rPr>
          <w:rFonts w:ascii="Bookman Old Style" w:hAnsi="Bookman Old Style" w:cs="Times New Roman"/>
          <w:color w:val="000000" w:themeColor="text1"/>
          <w:sz w:val="24"/>
          <w:szCs w:val="24"/>
        </w:rPr>
        <w:t>auważyć należy, że prostytucja w polskim porządku prawnym nie jest karalna (przestępstwami są tzw. zachowania okołoprostytucyjne). W piśmiennictwie zaznacza się więc, że „</w:t>
      </w:r>
      <w:r w:rsidR="00876D71" w:rsidRPr="00946DEB">
        <w:rPr>
          <w:rFonts w:ascii="Bookman Old Style" w:hAnsi="Bookman Old Style" w:cs="Times New Roman"/>
          <w:color w:val="000000" w:themeColor="text1"/>
          <w:sz w:val="24"/>
          <w:szCs w:val="24"/>
          <w:shd w:val="clear" w:color="auto" w:fill="FFFFFF"/>
        </w:rPr>
        <w:t xml:space="preserve">art. 142 </w:t>
      </w:r>
      <w:proofErr w:type="spellStart"/>
      <w:r w:rsidR="00876D71" w:rsidRPr="00946DEB">
        <w:rPr>
          <w:rFonts w:ascii="Bookman Old Style" w:hAnsi="Bookman Old Style" w:cs="Times New Roman"/>
          <w:color w:val="000000" w:themeColor="text1"/>
          <w:sz w:val="24"/>
          <w:szCs w:val="24"/>
          <w:shd w:val="clear" w:color="auto" w:fill="FFFFFF"/>
        </w:rPr>
        <w:t>k.w</w:t>
      </w:r>
      <w:proofErr w:type="spellEnd"/>
      <w:r w:rsidR="00876D71" w:rsidRPr="00946DEB">
        <w:rPr>
          <w:rFonts w:ascii="Bookman Old Style" w:hAnsi="Bookman Old Style" w:cs="Times New Roman"/>
          <w:color w:val="000000" w:themeColor="text1"/>
          <w:sz w:val="24"/>
          <w:szCs w:val="24"/>
          <w:shd w:val="clear" w:color="auto" w:fill="FFFFFF"/>
        </w:rPr>
        <w:t>. penalizuje oferowanie się do czynu nierządnego w szczególny sposób. Karalna jest bowiem nie sama propozycja takiego czynu, lecz propozycja przedstawiona w określonych warunkach. Przez warunki te rozumieć trzeba formy stanowiące naruszenie porządku publicznego, a mianowicie wulgaryzm w dążeniu do zarobku</w:t>
      </w:r>
      <w:r w:rsidR="00876D71" w:rsidRPr="00946DEB">
        <w:rPr>
          <w:rFonts w:ascii="Bookman Old Style" w:hAnsi="Bookman Old Style" w:cs="Times New Roman"/>
          <w:color w:val="000000" w:themeColor="text1"/>
          <w:sz w:val="24"/>
          <w:szCs w:val="24"/>
        </w:rPr>
        <w:t xml:space="preserve"> (</w:t>
      </w:r>
      <w:r w:rsidR="00876D71" w:rsidRPr="00946DEB">
        <w:rPr>
          <w:rFonts w:ascii="Bookman Old Style" w:hAnsi="Bookman Old Style" w:cs="Times New Roman"/>
          <w:color w:val="000000" w:themeColor="text1"/>
          <w:sz w:val="24"/>
          <w:szCs w:val="24"/>
          <w:shd w:val="clear" w:color="auto" w:fill="FFFFFF"/>
        </w:rPr>
        <w:t>T. Bojarski, Polskie prawo wykroczeń. Zarys wykładu, Warszawa 2012, s. 196.</w:t>
      </w:r>
      <w:r w:rsidR="00876D71" w:rsidRPr="00946DEB">
        <w:rPr>
          <w:rFonts w:ascii="Bookman Old Style" w:hAnsi="Bookman Old Style" w:cs="Times New Roman"/>
          <w:color w:val="000000" w:themeColor="text1"/>
          <w:sz w:val="24"/>
          <w:szCs w:val="24"/>
        </w:rPr>
        <w:t>). Zwrócić jednak należy uwagę, że ustawodawca odnośnie do innych ewentualnych propozycji nie kryminalizuje ich składania, gdy są czynione „</w:t>
      </w:r>
      <w:r w:rsidR="00876D71" w:rsidRPr="00946DEB">
        <w:rPr>
          <w:rFonts w:ascii="Bookman Old Style" w:hAnsi="Bookman Old Style" w:cs="Times New Roman"/>
          <w:color w:val="333333"/>
          <w:sz w:val="24"/>
          <w:szCs w:val="24"/>
          <w:shd w:val="clear" w:color="auto" w:fill="FFFFFF"/>
        </w:rPr>
        <w:t xml:space="preserve">natarczywie, narzucając się lub w inny naruszający porządek publiczny sposób” (niezależnie od tego, czy są to zachowania mniej lub bardziej naganne – np. spożywanie alkoholu). Nie można także tracić z pola widzenia faktu, że przemiany społeczno-kulturowe nie pozwalają na formułowanie szczególnej negatywnej oceny natarczywości jedynie w przypadku propozycji o charakterze </w:t>
      </w:r>
      <w:proofErr w:type="spellStart"/>
      <w:r w:rsidR="00876D71" w:rsidRPr="00946DEB">
        <w:rPr>
          <w:rFonts w:ascii="Bookman Old Style" w:hAnsi="Bookman Old Style" w:cs="Times New Roman"/>
          <w:color w:val="333333"/>
          <w:sz w:val="24"/>
          <w:szCs w:val="24"/>
          <w:shd w:val="clear" w:color="auto" w:fill="FFFFFF"/>
        </w:rPr>
        <w:t>prostytucyjnym</w:t>
      </w:r>
      <w:proofErr w:type="spellEnd"/>
      <w:r w:rsidR="00876D71" w:rsidRPr="00946DEB">
        <w:rPr>
          <w:rFonts w:ascii="Bookman Old Style" w:hAnsi="Bookman Old Style" w:cs="Times New Roman"/>
          <w:color w:val="333333"/>
          <w:sz w:val="24"/>
          <w:szCs w:val="24"/>
          <w:shd w:val="clear" w:color="auto" w:fill="FFFFFF"/>
        </w:rPr>
        <w:t xml:space="preserve">. Jeśli oferowanie usług (w tym </w:t>
      </w:r>
      <w:proofErr w:type="spellStart"/>
      <w:r w:rsidR="00876D71" w:rsidRPr="00946DEB">
        <w:rPr>
          <w:rFonts w:ascii="Bookman Old Style" w:hAnsi="Bookman Old Style" w:cs="Times New Roman"/>
          <w:color w:val="333333"/>
          <w:sz w:val="24"/>
          <w:szCs w:val="24"/>
          <w:shd w:val="clear" w:color="auto" w:fill="FFFFFF"/>
        </w:rPr>
        <w:t>prostytucyjnych</w:t>
      </w:r>
      <w:proofErr w:type="spellEnd"/>
      <w:r w:rsidR="00876D71" w:rsidRPr="00946DEB">
        <w:rPr>
          <w:rFonts w:ascii="Bookman Old Style" w:hAnsi="Bookman Old Style" w:cs="Times New Roman"/>
          <w:color w:val="333333"/>
          <w:sz w:val="24"/>
          <w:szCs w:val="24"/>
          <w:shd w:val="clear" w:color="auto" w:fill="FFFFFF"/>
        </w:rPr>
        <w:t>) jest legalne to trudno znaleźć uzasadnienie kryminalizacji, gdy następuje to w sposób natarczywy, narzucający się lub w inny sposób naruszający porządek publiczny. O ile bowiem forma niezabronionego czynu nie wyrządza specyficznych szkód lub krzywd (właściwych tylko dla tego czynu zabronionego) nie ma podstaw do kryminalizacji.</w:t>
      </w:r>
      <w:r w:rsidR="009D146F" w:rsidRPr="00946DEB">
        <w:rPr>
          <w:rFonts w:ascii="Bookman Old Style" w:hAnsi="Bookman Old Style" w:cs="Times New Roman"/>
          <w:color w:val="ED7D31" w:themeColor="accent2"/>
          <w:sz w:val="24"/>
          <w:szCs w:val="24"/>
        </w:rPr>
        <w:t xml:space="preserve"> </w:t>
      </w:r>
      <w:r w:rsidR="00876D71" w:rsidRPr="00946DEB">
        <w:rPr>
          <w:rFonts w:ascii="Bookman Old Style" w:hAnsi="Bookman Old Style" w:cs="Times New Roman"/>
          <w:color w:val="333333"/>
          <w:sz w:val="24"/>
          <w:szCs w:val="24"/>
          <w:shd w:val="clear" w:color="auto" w:fill="FFFFFF"/>
        </w:rPr>
        <w:t xml:space="preserve">Przepis budzi także wątpliwości ze względu na pojęcia w nim użyte. Polski ustawodawca zrezygnował już z pojęcia „czynu nierządnego”, nie występuje też pojęcie „korzyści materialne”. Klauzula „w inny naruszający porządek publiczny sposób” budzi natomiast zastrzeżenie z perspektywy zasady określoności (która nie traci na znaczeniu w prawie wykroczeń). Wreszcie Projektodawca zwraca uwagę, że w skrajnie nieakceptowalnych sytuacjach proponowania </w:t>
      </w:r>
      <w:r w:rsidR="00876D71" w:rsidRPr="00946DEB">
        <w:rPr>
          <w:rFonts w:ascii="Bookman Old Style" w:hAnsi="Bookman Old Style" w:cs="Times New Roman"/>
          <w:color w:val="333333"/>
          <w:sz w:val="24"/>
          <w:szCs w:val="24"/>
          <w:shd w:val="clear" w:color="auto" w:fill="FFFFFF"/>
        </w:rPr>
        <w:lastRenderedPageBreak/>
        <w:t xml:space="preserve">usługi </w:t>
      </w:r>
      <w:proofErr w:type="spellStart"/>
      <w:r w:rsidR="00876D71" w:rsidRPr="00946DEB">
        <w:rPr>
          <w:rFonts w:ascii="Bookman Old Style" w:hAnsi="Bookman Old Style" w:cs="Times New Roman"/>
          <w:color w:val="333333"/>
          <w:sz w:val="24"/>
          <w:szCs w:val="24"/>
          <w:shd w:val="clear" w:color="auto" w:fill="FFFFFF"/>
        </w:rPr>
        <w:t>prostytucyjne</w:t>
      </w:r>
      <w:proofErr w:type="spellEnd"/>
      <w:r w:rsidR="00876D71" w:rsidRPr="00946DEB">
        <w:rPr>
          <w:rFonts w:ascii="Bookman Old Style" w:hAnsi="Bookman Old Style" w:cs="Times New Roman"/>
          <w:color w:val="333333"/>
          <w:sz w:val="24"/>
          <w:szCs w:val="24"/>
          <w:shd w:val="clear" w:color="auto" w:fill="FFFFFF"/>
        </w:rPr>
        <w:t xml:space="preserve"> zastosowanie może mieć art. 140 </w:t>
      </w:r>
      <w:proofErr w:type="spellStart"/>
      <w:r w:rsidR="00876D71" w:rsidRPr="00946DEB">
        <w:rPr>
          <w:rFonts w:ascii="Bookman Old Style" w:hAnsi="Bookman Old Style" w:cs="Times New Roman"/>
          <w:color w:val="333333"/>
          <w:sz w:val="24"/>
          <w:szCs w:val="24"/>
          <w:shd w:val="clear" w:color="auto" w:fill="FFFFFF"/>
        </w:rPr>
        <w:t>k.w</w:t>
      </w:r>
      <w:proofErr w:type="spellEnd"/>
      <w:r w:rsidR="00876D71" w:rsidRPr="00946DEB">
        <w:rPr>
          <w:rFonts w:ascii="Bookman Old Style" w:hAnsi="Bookman Old Style" w:cs="Times New Roman"/>
          <w:color w:val="333333"/>
          <w:sz w:val="24"/>
          <w:szCs w:val="24"/>
          <w:shd w:val="clear" w:color="auto" w:fill="FFFFFF"/>
        </w:rPr>
        <w:t>.</w:t>
      </w:r>
      <w:r w:rsidR="00F0750A" w:rsidRPr="00946DEB">
        <w:rPr>
          <w:rFonts w:ascii="Bookman Old Style" w:hAnsi="Bookman Old Style" w:cs="Times New Roman"/>
          <w:color w:val="ED7D31" w:themeColor="accent2"/>
          <w:sz w:val="24"/>
          <w:szCs w:val="24"/>
        </w:rPr>
        <w:t xml:space="preserve"> </w:t>
      </w:r>
      <w:r w:rsidR="00876D71" w:rsidRPr="00946DEB">
        <w:rPr>
          <w:rFonts w:ascii="Bookman Old Style" w:hAnsi="Bookman Old Style" w:cs="Times New Roman"/>
          <w:sz w:val="24"/>
          <w:szCs w:val="24"/>
        </w:rPr>
        <w:t xml:space="preserve">Ustawodawca trzykrotnie, tj. w art. 75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(nieostrożne posługiwanie się przedmiotami lub płynami), art. 79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(zgaszenie oświetlenia miejsc dostępnych dla publiczności), art. 143 §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(utrudnianie lub uniemożliwianie korzystania z urządzeń użytku publicznego), dookreślając znamię czynności wykonawczej, posługuje się znamieniem „swawoli” – sprawca dopuszcza się wykroczenia ze „swawoli”. W każdym z trzech typów wykroczeń znamię „swawoli” funkcjonuje od początku obowiązywania Kodeksu wykroczeń. Do 11 listopada 2011 r. znamię „swawoli” funkcjonowało również w ramach art. 66 §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(wprowadzenie w błąd instytucji lub organu albo blokowanie numeru alarmowego), jednak na mocy ustawy z dn. 31 sierpnia 2011 r. o zmianie ustawy o bezpieczeństwie imprez masowych oraz niektórych innych ustaw (Dz.U. 2011, nr 217, poz. 1280) zostało usunięte. Problematyczność znamienia „swawoli” wynika nie tylko z jego anachronicznego charakteru, ale również z będącej jego konsekwencją strony podmiotowej poszczególnych typów wykroczeń. Na zasadzie ogólnej z art. 5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wykroczenie można popełnić zarówno umyślnie, jak i nieumyślnie, chyba że ustawa przewiduje odpowiedzialność tylko za wykroczenie umyślne. Z uwagi na występowanie w ramach danego typu wykroczenia dodatkowego znamienia, które wpływa na stronę podmiotową, konieczne jest ustalenie, czy znamię „swawoli” szczególnie zabarwia umyślność, czy nieumyślność (M. Wiktorek, Znamiona–skamieliny w Kodeksie wykroczeń, w: Nowy model prawa wykroczeń. Teoria, praktyka, przyszłość, red. W. Wróbel, M. Małecki, M. Pyrcak-Górowska, D. Zając, Kraków 2024, s. 609–659). I chociaż w doktrynie dominuje pogląd, iż znamię „swawola” ogranicza zakres kryminalizacji do </w:t>
      </w:r>
      <w:proofErr w:type="spellStart"/>
      <w:r w:rsidR="00876D71" w:rsidRPr="00946DEB">
        <w:rPr>
          <w:rFonts w:ascii="Bookman Old Style" w:hAnsi="Bookman Old Style" w:cs="Times New Roman"/>
          <w:sz w:val="24"/>
          <w:szCs w:val="24"/>
        </w:rPr>
        <w:t>zachowań</w:t>
      </w:r>
      <w:proofErr w:type="spellEnd"/>
      <w:r w:rsidR="00876D71" w:rsidRPr="00946DEB">
        <w:rPr>
          <w:rFonts w:ascii="Bookman Old Style" w:hAnsi="Bookman Old Style" w:cs="Times New Roman"/>
          <w:sz w:val="24"/>
          <w:szCs w:val="24"/>
        </w:rPr>
        <w:t xml:space="preserve"> umyślnych (czasem wręcz do zamiaru bezpośredniego), to jednak słownikowe pojęcie swawoli dopuszcza wykładnię przyjmującą zachowanie nieumyślne. Dla ujednoznacznienia strony podmiotowej zdecydowano się na wykreślenie z przepisów art. 75 § 2, art. 79 § 2 oraz 143 § 1 znamienia „swawoli”, uznając, że względy </w:t>
      </w:r>
      <w:proofErr w:type="spellStart"/>
      <w:r w:rsidR="00876D71" w:rsidRPr="00946DEB">
        <w:rPr>
          <w:rFonts w:ascii="Bookman Old Style" w:hAnsi="Bookman Old Style" w:cs="Times New Roman"/>
          <w:sz w:val="24"/>
          <w:szCs w:val="24"/>
        </w:rPr>
        <w:t>politycznokryminalne</w:t>
      </w:r>
      <w:proofErr w:type="spellEnd"/>
      <w:r w:rsidR="00876D71" w:rsidRPr="00946DEB">
        <w:rPr>
          <w:rFonts w:ascii="Bookman Old Style" w:hAnsi="Bookman Old Style" w:cs="Times New Roman"/>
          <w:sz w:val="24"/>
          <w:szCs w:val="24"/>
        </w:rPr>
        <w:t xml:space="preserve"> nie przeciwstawiają się zawężeniu w ten sposób kryminalizacji. Subsydiarność prawa wykroczeń stoi w sprzeczności z wprowadzeniem karalności za nieumyślne zgaszenie oświetlenia miejsc dostępnych dla publiczności (art. 79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oraz nieumyślne utrudnianie </w:t>
      </w:r>
      <w:r w:rsidR="00876D71" w:rsidRPr="00946DEB">
        <w:rPr>
          <w:rFonts w:ascii="Bookman Old Style" w:hAnsi="Bookman Old Style" w:cs="Times New Roman"/>
          <w:sz w:val="24"/>
          <w:szCs w:val="24"/>
        </w:rPr>
        <w:lastRenderedPageBreak/>
        <w:t xml:space="preserve">lub uniemożliwianie korzystania z urządzeń użytku publicznego (art. 143 § 1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xml:space="preserve">.), a także za umyślne wyżej wymienione zachowania w obu postaciach zamiaru. Pozostawiając w przywołanych przepisach znamię złośliwości, kryminalizacja zostaje ograniczona wyłącznie do </w:t>
      </w:r>
      <w:proofErr w:type="spellStart"/>
      <w:r w:rsidR="00876D71" w:rsidRPr="00946DEB">
        <w:rPr>
          <w:rFonts w:ascii="Bookman Old Style" w:hAnsi="Bookman Old Style" w:cs="Times New Roman"/>
          <w:sz w:val="24"/>
          <w:szCs w:val="24"/>
        </w:rPr>
        <w:t>zachowań</w:t>
      </w:r>
      <w:proofErr w:type="spellEnd"/>
      <w:r w:rsidR="00876D71" w:rsidRPr="00946DEB">
        <w:rPr>
          <w:rFonts w:ascii="Bookman Old Style" w:hAnsi="Bookman Old Style" w:cs="Times New Roman"/>
          <w:sz w:val="24"/>
          <w:szCs w:val="24"/>
        </w:rPr>
        <w:t xml:space="preserve"> charakteryzujących się tym znamieniem podmiotowym. W przypadku zaś przepisu art. 75 § 2 </w:t>
      </w:r>
      <w:proofErr w:type="spellStart"/>
      <w:r w:rsidR="00876D71" w:rsidRPr="00946DEB">
        <w:rPr>
          <w:rFonts w:ascii="Bookman Old Style" w:hAnsi="Bookman Old Style" w:cs="Times New Roman"/>
          <w:sz w:val="24"/>
          <w:szCs w:val="24"/>
        </w:rPr>
        <w:t>k.w</w:t>
      </w:r>
      <w:proofErr w:type="spellEnd"/>
      <w:r w:rsidR="00876D71" w:rsidRPr="00946DEB">
        <w:rPr>
          <w:rFonts w:ascii="Bookman Old Style" w:hAnsi="Bookman Old Style" w:cs="Times New Roman"/>
          <w:sz w:val="24"/>
          <w:szCs w:val="24"/>
        </w:rPr>
        <w:t>. znamię swawoli zaburza linię demarkacyjna między § 1 i § 2 tego przepisu. Projektodawca proponuje, aby § 2 przewidywał typ kwalifikowany ograniczający odpowiedzialność za zachowania złośliwe. Usunięcie znamienia „swawoli” w tym przypadku nie tyle więc dekryminalizuje takie zachowanie, co „przenosi” je do paragrafu 1.</w:t>
      </w:r>
      <w:r w:rsidR="0062469F" w:rsidRPr="00946DEB">
        <w:rPr>
          <w:rFonts w:ascii="Bookman Old Style" w:hAnsi="Bookman Old Style" w:cs="Times New Roman"/>
          <w:color w:val="ED7D31" w:themeColor="accent2"/>
          <w:sz w:val="24"/>
          <w:szCs w:val="24"/>
        </w:rPr>
        <w:t xml:space="preserve"> </w:t>
      </w:r>
      <w:r w:rsidR="00876D71" w:rsidRPr="00946DEB">
        <w:rPr>
          <w:rFonts w:ascii="Bookman Old Style" w:eastAsia="Times New Roman" w:hAnsi="Bookman Old Style" w:cs="Times New Roman"/>
          <w:kern w:val="0"/>
          <w:sz w:val="24"/>
          <w:szCs w:val="24"/>
          <w:lang w:eastAsia="pl-PL"/>
          <w14:ligatures w14:val="none"/>
        </w:rPr>
        <w:t xml:space="preserve">Art. 165 </w:t>
      </w:r>
      <w:proofErr w:type="spellStart"/>
      <w:r w:rsidR="00876D71" w:rsidRPr="00946DEB">
        <w:rPr>
          <w:rFonts w:ascii="Bookman Old Style" w:eastAsia="Times New Roman" w:hAnsi="Bookman Old Style" w:cs="Times New Roman"/>
          <w:kern w:val="0"/>
          <w:sz w:val="24"/>
          <w:szCs w:val="24"/>
          <w:lang w:eastAsia="pl-PL"/>
          <w14:ligatures w14:val="none"/>
        </w:rPr>
        <w:t>k.w</w:t>
      </w:r>
      <w:proofErr w:type="spellEnd"/>
      <w:r w:rsidR="00876D71" w:rsidRPr="00946DEB">
        <w:rPr>
          <w:rFonts w:ascii="Bookman Old Style" w:eastAsia="Times New Roman" w:hAnsi="Bookman Old Style" w:cs="Times New Roman"/>
          <w:kern w:val="0"/>
          <w:sz w:val="24"/>
          <w:szCs w:val="24"/>
          <w:lang w:eastAsia="pl-PL"/>
          <w14:ligatures w14:val="none"/>
        </w:rPr>
        <w:t>. dopełnia niejako zakres ochrony przysługujący dziko żyjącym zwierzętom na podstawie ustawy o ochronie zwierząt z 21 sierpnia 1997 r.. W doktrynie wątpliwości budziła strona podmiotowa analizowanego typu, ze względu na użycie sformułowania „w sposób złośliwy”, który mógł wykluczać możliwość popełnienia tego czynu z zamiarem wynikowym. Mając na względzie z jednej strony niedookreślony charakter tego znamienia, jak też potrzebę zapewnienia szerszej ochrony życia i zdrowia zwierząt (w tym tych, niepodlegających pod ustawę z 1997 r.) projektodawca zdecydował się na rezygnację ze znamienia „w sposób złośliwy” (z perspektywy dóbr prawnych, chronionych tym przepisem sposób działania sprawcy ma drugorzędne znaczenie), doprecyzowując jednocześnie stronę podmiotową poprzez wskazanie, że obejmuje ona tylko zachowania umyślne, zarówno te podjęte z zamiarem bezpośrednim, jak i wynikowym.</w:t>
      </w:r>
    </w:p>
    <w:p w14:paraId="54A010D3" w14:textId="05E7A826" w:rsidR="00042F74" w:rsidRPr="00946DEB" w:rsidRDefault="00E6721F" w:rsidP="00042F74">
      <w:pPr>
        <w:suppressAutoHyphens/>
        <w:spacing w:after="0" w:line="360" w:lineRule="auto"/>
        <w:ind w:firstLine="425"/>
        <w:jc w:val="both"/>
        <w:rPr>
          <w:rFonts w:ascii="Bookman Old Style" w:hAnsi="Bookman Old Style" w:cs="Times New Roman"/>
          <w:color w:val="ED7D31" w:themeColor="accent2"/>
          <w:sz w:val="24"/>
          <w:szCs w:val="24"/>
        </w:rPr>
      </w:pPr>
      <w:r w:rsidRPr="00946DEB">
        <w:rPr>
          <w:rFonts w:ascii="Bookman Old Style" w:hAnsi="Bookman Old Style"/>
          <w:sz w:val="24"/>
          <w:szCs w:val="24"/>
        </w:rPr>
        <w:tab/>
        <w:t>Po piąte,</w:t>
      </w:r>
      <w:r w:rsidR="00042F74" w:rsidRPr="00946DEB">
        <w:rPr>
          <w:rFonts w:ascii="Bookman Old Style" w:eastAsia="Times New Roman" w:hAnsi="Bookman Old Style" w:cs="Times New Roman"/>
          <w:kern w:val="0"/>
          <w:sz w:val="24"/>
          <w:szCs w:val="24"/>
          <w:lang w:eastAsia="pl-PL"/>
          <w14:ligatures w14:val="none"/>
        </w:rPr>
        <w:t xml:space="preserve"> aktualnie obowiązujący art. 146 par. 2 </w:t>
      </w:r>
      <w:proofErr w:type="spellStart"/>
      <w:r w:rsidR="00042F74" w:rsidRPr="00946DEB">
        <w:rPr>
          <w:rFonts w:ascii="Bookman Old Style" w:eastAsia="Times New Roman" w:hAnsi="Bookman Old Style" w:cs="Times New Roman"/>
          <w:kern w:val="0"/>
          <w:sz w:val="24"/>
          <w:szCs w:val="24"/>
          <w:lang w:eastAsia="pl-PL"/>
          <w14:ligatures w14:val="none"/>
        </w:rPr>
        <w:t>k.w</w:t>
      </w:r>
      <w:proofErr w:type="spellEnd"/>
      <w:r w:rsidR="00042F74" w:rsidRPr="00946DEB">
        <w:rPr>
          <w:rFonts w:ascii="Bookman Old Style" w:eastAsia="Times New Roman" w:hAnsi="Bookman Old Style" w:cs="Times New Roman"/>
          <w:kern w:val="0"/>
          <w:sz w:val="24"/>
          <w:szCs w:val="24"/>
          <w:lang w:eastAsia="pl-PL"/>
          <w14:ligatures w14:val="none"/>
        </w:rPr>
        <w:t xml:space="preserve">. operuje terminem „nie podlega odpowiedzialności”, który nie występuje w żadnym innym przepisie </w:t>
      </w:r>
      <w:r w:rsidR="00B77EA8">
        <w:rPr>
          <w:rFonts w:ascii="Bookman Old Style" w:eastAsia="Times New Roman" w:hAnsi="Bookman Old Style" w:cs="Times New Roman"/>
          <w:kern w:val="0"/>
          <w:sz w:val="24"/>
          <w:szCs w:val="24"/>
          <w:lang w:eastAsia="pl-PL"/>
          <w14:ligatures w14:val="none"/>
        </w:rPr>
        <w:t>K</w:t>
      </w:r>
      <w:r w:rsidR="00042F74" w:rsidRPr="00946DEB">
        <w:rPr>
          <w:rFonts w:ascii="Bookman Old Style" w:eastAsia="Times New Roman" w:hAnsi="Bookman Old Style" w:cs="Times New Roman"/>
          <w:kern w:val="0"/>
          <w:sz w:val="24"/>
          <w:szCs w:val="24"/>
          <w:lang w:eastAsia="pl-PL"/>
          <w14:ligatures w14:val="none"/>
        </w:rPr>
        <w:t xml:space="preserve">odeksu wykroczeń, ani </w:t>
      </w:r>
      <w:r w:rsidR="00B77EA8">
        <w:rPr>
          <w:rFonts w:ascii="Bookman Old Style" w:eastAsia="Times New Roman" w:hAnsi="Bookman Old Style" w:cs="Times New Roman"/>
          <w:kern w:val="0"/>
          <w:sz w:val="24"/>
          <w:szCs w:val="24"/>
          <w:lang w:eastAsia="pl-PL"/>
          <w14:ligatures w14:val="none"/>
        </w:rPr>
        <w:t>K</w:t>
      </w:r>
      <w:r w:rsidR="00042F74" w:rsidRPr="00946DEB">
        <w:rPr>
          <w:rFonts w:ascii="Bookman Old Style" w:eastAsia="Times New Roman" w:hAnsi="Bookman Old Style" w:cs="Times New Roman"/>
          <w:kern w:val="0"/>
          <w:sz w:val="24"/>
          <w:szCs w:val="24"/>
          <w:lang w:eastAsia="pl-PL"/>
          <w14:ligatures w14:val="none"/>
        </w:rPr>
        <w:t xml:space="preserve">odeksu karnego. Nie pozostaje on także w </w:t>
      </w:r>
      <w:r w:rsidR="00042F74" w:rsidRPr="00946DEB">
        <w:rPr>
          <w:rFonts w:ascii="Bookman Old Style" w:hAnsi="Bookman Old Style" w:cs="Times New Roman"/>
          <w:sz w:val="24"/>
          <w:szCs w:val="24"/>
        </w:rPr>
        <w:t xml:space="preserve">spójności z Kodeksem postępowania w sprawach o wykroczenia, gdzie podstawą odmowy wszczęcia albo umorzenia postępowania jest sytuacja, w której sprawca nie podlega karze. Nie ma podstawy umorzenia mówiącej o tym, że sprawca nie podlega odpowiedzialności. </w:t>
      </w:r>
      <w:r w:rsidR="00042F74" w:rsidRPr="00946DEB">
        <w:rPr>
          <w:rFonts w:ascii="Bookman Old Style" w:eastAsia="Times New Roman" w:hAnsi="Bookman Old Style" w:cs="Times New Roman"/>
          <w:kern w:val="0"/>
          <w:sz w:val="24"/>
          <w:szCs w:val="24"/>
          <w:lang w:eastAsia="pl-PL"/>
          <w14:ligatures w14:val="none"/>
        </w:rPr>
        <w:t xml:space="preserve">Przy takim sformułowaniu trudno jest także jednoznacznie stwierdzić, czy mamy do czynienia z przypadkiem, w którym zachowanie nie stanowi wykroczenia (nie jest karalne), czy też chodzi jedynie o brak potrzeby podejmowania jakichkolwiek działań mających na celu </w:t>
      </w:r>
      <w:r w:rsidR="00042F74" w:rsidRPr="00946DEB">
        <w:rPr>
          <w:rFonts w:ascii="Bookman Old Style" w:eastAsia="Times New Roman" w:hAnsi="Bookman Old Style" w:cs="Times New Roman"/>
          <w:kern w:val="0"/>
          <w:sz w:val="24"/>
          <w:szCs w:val="24"/>
          <w:lang w:eastAsia="pl-PL"/>
          <w14:ligatures w14:val="none"/>
        </w:rPr>
        <w:lastRenderedPageBreak/>
        <w:t xml:space="preserve">ukaranie sprawcy (pomimo tego, że zachowanie dalej spełnia znamiona wykroczenia). Aby uchylić wątpliwości, należy w art. 146 par. 2 </w:t>
      </w:r>
      <w:proofErr w:type="spellStart"/>
      <w:r w:rsidR="00042F74" w:rsidRPr="00946DEB">
        <w:rPr>
          <w:rFonts w:ascii="Bookman Old Style" w:eastAsia="Times New Roman" w:hAnsi="Bookman Old Style" w:cs="Times New Roman"/>
          <w:kern w:val="0"/>
          <w:sz w:val="24"/>
          <w:szCs w:val="24"/>
          <w:lang w:eastAsia="pl-PL"/>
          <w14:ligatures w14:val="none"/>
        </w:rPr>
        <w:t>k.w</w:t>
      </w:r>
      <w:proofErr w:type="spellEnd"/>
      <w:r w:rsidR="00042F74" w:rsidRPr="00946DEB">
        <w:rPr>
          <w:rFonts w:ascii="Bookman Old Style" w:eastAsia="Times New Roman" w:hAnsi="Bookman Old Style" w:cs="Times New Roman"/>
          <w:kern w:val="0"/>
          <w:sz w:val="24"/>
          <w:szCs w:val="24"/>
          <w:lang w:eastAsia="pl-PL"/>
          <w14:ligatures w14:val="none"/>
        </w:rPr>
        <w:t xml:space="preserve">. w miejsce terminu „nie podlega odpowiedzialności” posłużyć się powszechnie przyjętym zwrotem „nie podlega karze”. </w:t>
      </w:r>
    </w:p>
    <w:p w14:paraId="6713637E" w14:textId="77777777" w:rsidR="000924E9" w:rsidRPr="00946DEB" w:rsidRDefault="008D01B6" w:rsidP="005E4671">
      <w:pPr>
        <w:spacing w:after="0" w:line="360" w:lineRule="auto"/>
        <w:jc w:val="both"/>
        <w:rPr>
          <w:rFonts w:ascii="Bookman Old Style" w:hAnsi="Bookman Old Style"/>
          <w:b/>
          <w:bCs/>
          <w:sz w:val="24"/>
          <w:szCs w:val="24"/>
        </w:rPr>
      </w:pPr>
      <w:r w:rsidRPr="00946DEB">
        <w:rPr>
          <w:rFonts w:ascii="Bookman Old Style" w:hAnsi="Bookman Old Style"/>
          <w:b/>
          <w:bCs/>
          <w:sz w:val="24"/>
          <w:szCs w:val="24"/>
        </w:rPr>
        <w:t>III. Uzasadnienie zmiany proponowanej w ramach art. 7§3kk</w:t>
      </w:r>
    </w:p>
    <w:p w14:paraId="45513251" w14:textId="4DBA3163" w:rsidR="00561B7A" w:rsidRPr="00946DEB" w:rsidRDefault="00FD40F3" w:rsidP="005E4671">
      <w:pPr>
        <w:spacing w:after="0" w:line="360" w:lineRule="auto"/>
        <w:jc w:val="both"/>
        <w:rPr>
          <w:rFonts w:ascii="Bookman Old Style" w:hAnsi="Bookman Old Style" w:cs="Times New Roman"/>
          <w:b/>
          <w:bCs/>
          <w:sz w:val="24"/>
          <w:szCs w:val="24"/>
        </w:rPr>
      </w:pPr>
      <w:r w:rsidRPr="00946DEB">
        <w:rPr>
          <w:rFonts w:ascii="Bookman Old Style" w:hAnsi="Bookman Old Style"/>
          <w:b/>
          <w:bCs/>
          <w:sz w:val="24"/>
          <w:szCs w:val="24"/>
        </w:rPr>
        <w:t xml:space="preserve"> </w:t>
      </w:r>
      <w:r w:rsidR="00F230B7" w:rsidRPr="00946DEB">
        <w:rPr>
          <w:rFonts w:ascii="Bookman Old Style" w:hAnsi="Bookman Old Style"/>
          <w:b/>
          <w:bCs/>
          <w:sz w:val="24"/>
          <w:szCs w:val="24"/>
        </w:rPr>
        <w:t xml:space="preserve"> </w:t>
      </w:r>
      <w:r w:rsidR="00AE3625" w:rsidRPr="00946DEB">
        <w:rPr>
          <w:rFonts w:ascii="Bookman Old Style" w:hAnsi="Bookman Old Style"/>
          <w:b/>
          <w:bCs/>
          <w:sz w:val="24"/>
          <w:szCs w:val="24"/>
        </w:rPr>
        <w:t xml:space="preserve"> </w:t>
      </w:r>
      <w:r w:rsidR="000924E9" w:rsidRPr="00946DEB">
        <w:rPr>
          <w:rFonts w:ascii="Bookman Old Style" w:hAnsi="Bookman Old Style" w:cs="Times New Roman"/>
          <w:color w:val="333333"/>
          <w:sz w:val="24"/>
          <w:szCs w:val="24"/>
          <w:shd w:val="clear" w:color="auto" w:fill="FFFFFF"/>
        </w:rPr>
        <w:t xml:space="preserve">Ustawa może uznawać dany czyn za wykroczenie albo w sposób generalny, odnosząc się do całej kategorii </w:t>
      </w:r>
      <w:proofErr w:type="spellStart"/>
      <w:r w:rsidR="000924E9" w:rsidRPr="00946DEB">
        <w:rPr>
          <w:rFonts w:ascii="Bookman Old Style" w:hAnsi="Bookman Old Style" w:cs="Times New Roman"/>
          <w:color w:val="333333"/>
          <w:sz w:val="24"/>
          <w:szCs w:val="24"/>
          <w:shd w:val="clear" w:color="auto" w:fill="FFFFFF"/>
        </w:rPr>
        <w:t>zachowań</w:t>
      </w:r>
      <w:proofErr w:type="spellEnd"/>
      <w:r w:rsidR="000924E9" w:rsidRPr="00946DEB">
        <w:rPr>
          <w:rFonts w:ascii="Bookman Old Style" w:hAnsi="Bookman Old Style" w:cs="Times New Roman"/>
          <w:color w:val="333333"/>
          <w:sz w:val="24"/>
          <w:szCs w:val="24"/>
          <w:shd w:val="clear" w:color="auto" w:fill="FFFFFF"/>
        </w:rPr>
        <w:t xml:space="preserve">, albo odnosząc się do konkretnego zachowania realizującego znamiona typu czynu zabronionego. W pierwszym przypadku o tym, kiedy dany czyn zabroniony stanowi wykroczenie, przesądza art. 1 § 1 </w:t>
      </w:r>
      <w:proofErr w:type="spellStart"/>
      <w:r w:rsidR="000924E9" w:rsidRPr="00946DEB">
        <w:rPr>
          <w:rFonts w:ascii="Bookman Old Style" w:hAnsi="Bookman Old Style" w:cs="Times New Roman"/>
          <w:color w:val="333333"/>
          <w:sz w:val="24"/>
          <w:szCs w:val="24"/>
          <w:shd w:val="clear" w:color="auto" w:fill="FFFFFF"/>
        </w:rPr>
        <w:t>k.w</w:t>
      </w:r>
      <w:proofErr w:type="spellEnd"/>
      <w:r w:rsidR="000924E9" w:rsidRPr="00946DEB">
        <w:rPr>
          <w:rFonts w:ascii="Bookman Old Style" w:hAnsi="Bookman Old Style" w:cs="Times New Roman"/>
          <w:color w:val="333333"/>
          <w:sz w:val="24"/>
          <w:szCs w:val="24"/>
          <w:shd w:val="clear" w:color="auto" w:fill="FFFFFF"/>
        </w:rPr>
        <w:t xml:space="preserve">. Zgodnie z nim wykroczeniem jest w każdym przypadku czyn zabroniony zagrożony karą aresztu, karą ograniczenia wolności w wymiarze 1 miesiąca (w zw. z art. 20 </w:t>
      </w:r>
      <w:proofErr w:type="spellStart"/>
      <w:r w:rsidR="000924E9" w:rsidRPr="00946DEB">
        <w:rPr>
          <w:rFonts w:ascii="Bookman Old Style" w:hAnsi="Bookman Old Style" w:cs="Times New Roman"/>
          <w:color w:val="333333"/>
          <w:sz w:val="24"/>
          <w:szCs w:val="24"/>
          <w:shd w:val="clear" w:color="auto" w:fill="FFFFFF"/>
        </w:rPr>
        <w:t>k.w</w:t>
      </w:r>
      <w:proofErr w:type="spellEnd"/>
      <w:r w:rsidR="000924E9" w:rsidRPr="00946DEB">
        <w:rPr>
          <w:rFonts w:ascii="Bookman Old Style" w:hAnsi="Bookman Old Style" w:cs="Times New Roman"/>
          <w:color w:val="333333"/>
          <w:sz w:val="24"/>
          <w:szCs w:val="24"/>
          <w:shd w:val="clear" w:color="auto" w:fill="FFFFFF"/>
        </w:rPr>
        <w:t>.) oraz grzywną do 30 tys. zł (zob. powyże</w:t>
      </w:r>
      <w:r w:rsidR="00512D35" w:rsidRPr="00946DEB">
        <w:rPr>
          <w:rFonts w:ascii="Bookman Old Style" w:hAnsi="Bookman Old Style" w:cs="Times New Roman"/>
          <w:color w:val="333333"/>
          <w:sz w:val="24"/>
          <w:szCs w:val="24"/>
          <w:shd w:val="clear" w:color="auto" w:fill="FFFFFF"/>
        </w:rPr>
        <w:t>j</w:t>
      </w:r>
      <w:r w:rsidR="000924E9" w:rsidRPr="00946DEB">
        <w:rPr>
          <w:rFonts w:ascii="Bookman Old Style" w:hAnsi="Bookman Old Style" w:cs="Times New Roman"/>
          <w:color w:val="333333"/>
          <w:sz w:val="24"/>
          <w:szCs w:val="24"/>
          <w:shd w:val="clear" w:color="auto" w:fill="FFFFFF"/>
        </w:rPr>
        <w:t xml:space="preserve">). W przypadku konkretnych </w:t>
      </w:r>
      <w:proofErr w:type="spellStart"/>
      <w:r w:rsidR="000924E9" w:rsidRPr="00946DEB">
        <w:rPr>
          <w:rFonts w:ascii="Bookman Old Style" w:hAnsi="Bookman Old Style" w:cs="Times New Roman"/>
          <w:color w:val="333333"/>
          <w:sz w:val="24"/>
          <w:szCs w:val="24"/>
          <w:shd w:val="clear" w:color="auto" w:fill="FFFFFF"/>
        </w:rPr>
        <w:t>zachowań</w:t>
      </w:r>
      <w:proofErr w:type="spellEnd"/>
      <w:r w:rsidR="000924E9" w:rsidRPr="00946DEB">
        <w:rPr>
          <w:rFonts w:ascii="Bookman Old Style" w:hAnsi="Bookman Old Style" w:cs="Times New Roman"/>
          <w:color w:val="333333"/>
          <w:sz w:val="24"/>
          <w:szCs w:val="24"/>
          <w:shd w:val="clear" w:color="auto" w:fill="FFFFFF"/>
        </w:rPr>
        <w:t xml:space="preserve"> realizujących znamiona typu czynu zabronionego, uregulowanych w ustawach szczególnych, o tym, czy mamy do czynienia z występkiem, czy z wykroczeniem, przesądza zasadniczo ukształtowanie ustawowego zagrożenia, tj. przewidziane w nim kary i ich granice. O ile nie budzi wątpliwości, że czyn zabroniony zagrożony karą pozbawienia wolności jest występkiem,</w:t>
      </w:r>
      <w:r w:rsidR="004D17CF" w:rsidRPr="00946DEB">
        <w:rPr>
          <w:rFonts w:ascii="Bookman Old Style" w:hAnsi="Bookman Old Style" w:cs="Times New Roman"/>
          <w:color w:val="333333"/>
          <w:sz w:val="24"/>
          <w:szCs w:val="24"/>
          <w:shd w:val="clear" w:color="auto" w:fill="FFFFFF"/>
        </w:rPr>
        <w:t xml:space="preserve"> a zagrożony kara aresztu wykroczeniem,</w:t>
      </w:r>
      <w:r w:rsidR="000924E9" w:rsidRPr="00946DEB">
        <w:rPr>
          <w:rFonts w:ascii="Bookman Old Style" w:hAnsi="Bookman Old Style" w:cs="Times New Roman"/>
          <w:color w:val="333333"/>
          <w:sz w:val="24"/>
          <w:szCs w:val="24"/>
          <w:shd w:val="clear" w:color="auto" w:fill="FFFFFF"/>
        </w:rPr>
        <w:t xml:space="preserve"> o tyle w przypadku zagrożenia grzywną czy karą grzywny</w:t>
      </w:r>
      <w:r w:rsidR="004D17CF" w:rsidRPr="00946DEB">
        <w:rPr>
          <w:rFonts w:ascii="Bookman Old Style" w:hAnsi="Bookman Old Style" w:cs="Times New Roman"/>
          <w:color w:val="333333"/>
          <w:sz w:val="24"/>
          <w:szCs w:val="24"/>
          <w:shd w:val="clear" w:color="auto" w:fill="FFFFFF"/>
        </w:rPr>
        <w:t xml:space="preserve"> </w:t>
      </w:r>
      <w:r w:rsidR="000924E9" w:rsidRPr="00946DEB">
        <w:rPr>
          <w:rFonts w:ascii="Bookman Old Style" w:hAnsi="Bookman Old Style" w:cs="Times New Roman"/>
          <w:color w:val="333333"/>
          <w:sz w:val="24"/>
          <w:szCs w:val="24"/>
          <w:shd w:val="clear" w:color="auto" w:fill="FFFFFF"/>
        </w:rPr>
        <w:t xml:space="preserve">bez doprecyzowania jej granic, mogą pojawiać się wątpliwości. Celem ich rozwiania w przypadku, w którym dany czyn miałby być wykroczeniem, ustawodawca wskazuje w przepisie szczególnym, że postępowanie toczy się według przepisów </w:t>
      </w:r>
      <w:hyperlink r:id="rId8" w:anchor="/document/16911555" w:history="1">
        <w:r w:rsidR="000924E9" w:rsidRPr="00946DEB">
          <w:rPr>
            <w:rStyle w:val="Hipercze"/>
            <w:rFonts w:ascii="Bookman Old Style" w:hAnsi="Bookman Old Style" w:cs="Times New Roman"/>
            <w:color w:val="000000" w:themeColor="text1"/>
            <w:sz w:val="24"/>
            <w:szCs w:val="24"/>
            <w:u w:val="none"/>
            <w:shd w:val="clear" w:color="auto" w:fill="FFFFFF"/>
          </w:rPr>
          <w:t>ustawy</w:t>
        </w:r>
      </w:hyperlink>
      <w:r w:rsidR="000924E9" w:rsidRPr="00946DEB">
        <w:rPr>
          <w:rFonts w:ascii="Bookman Old Style" w:hAnsi="Bookman Old Style" w:cs="Times New Roman"/>
          <w:color w:val="333333"/>
          <w:sz w:val="24"/>
          <w:szCs w:val="24"/>
          <w:shd w:val="clear" w:color="auto" w:fill="FFFFFF"/>
        </w:rPr>
        <w:t xml:space="preserve"> z dnia 24 sierpnia 2001 r. – Kodeks postępowania w sprawach o wykroczenia (Dz. U. z 2025 r. poz. 860, 1178 i 1661) – zob. np. art. 58 ust. 8 ustawy o zawodach lekarza i lekarza dentysty. Podkreślenia wymaga, że tak skonstruowany przepis przesądza o tym, że mamy do czynienia z wykroczeniem także w przypadku czynów zabronionych zagrożonych karą grzywny w granicach wskazujących (ze względu na aktualne uregulowanie art. 7 par. 3 k.k.), na występek (zob. art. 58 ust. 7 ustawy o zawodach lekarza i lekarza dentysty, zawierający typ zagrożony grzywną do 50 tys. zł, które to zagrożenie zgodnie z art. 7 § 3 k.k. </w:t>
      </w:r>
      <w:r w:rsidR="000924E9" w:rsidRPr="00946DEB">
        <w:rPr>
          <w:rFonts w:ascii="Bookman Old Style" w:hAnsi="Bookman Old Style" w:cs="Times New Roman"/>
          <w:sz w:val="24"/>
          <w:szCs w:val="24"/>
          <w:shd w:val="clear" w:color="auto" w:fill="FFFFFF"/>
        </w:rPr>
        <w:t xml:space="preserve">uzasadniałoby uznanie czynu za przestępstwo). Problemy pojawiają się w sytuacji, w której przepis zawarty w ustawie szczególnej nie doprecyzowuje wysokości grzywny grożącej </w:t>
      </w:r>
      <w:r w:rsidR="000924E9" w:rsidRPr="00946DEB">
        <w:rPr>
          <w:rFonts w:ascii="Bookman Old Style" w:hAnsi="Bookman Old Style" w:cs="Times New Roman"/>
          <w:sz w:val="24"/>
          <w:szCs w:val="24"/>
          <w:shd w:val="clear" w:color="auto" w:fill="FFFFFF"/>
        </w:rPr>
        <w:lastRenderedPageBreak/>
        <w:t>za popełnienie czynu zabronionego (a obok niej nie ma kary, której rodzaj pozwalałby na rozstrzygnięcie charakteru danego czynu zabronionego)</w:t>
      </w:r>
      <w:r w:rsidR="00D04B39" w:rsidRPr="00946DEB">
        <w:rPr>
          <w:rFonts w:ascii="Bookman Old Style" w:hAnsi="Bookman Old Style" w:cs="Times New Roman"/>
          <w:sz w:val="24"/>
          <w:szCs w:val="24"/>
          <w:shd w:val="clear" w:color="auto" w:fill="FFFFFF"/>
        </w:rPr>
        <w:t xml:space="preserve">, a ustawodawca nie wskazuje jednoznacznie, że </w:t>
      </w:r>
      <w:r w:rsidR="00D04B39" w:rsidRPr="00946DEB">
        <w:rPr>
          <w:rFonts w:ascii="Bookman Old Style" w:hAnsi="Bookman Old Style" w:cs="Times New Roman"/>
          <w:color w:val="333333"/>
          <w:sz w:val="24"/>
          <w:szCs w:val="24"/>
          <w:shd w:val="clear" w:color="auto" w:fill="FFFFFF"/>
        </w:rPr>
        <w:t xml:space="preserve">postępowanie toczy się według przepisów </w:t>
      </w:r>
      <w:hyperlink r:id="rId9" w:anchor="/document/16911555" w:history="1">
        <w:r w:rsidR="00D04B39" w:rsidRPr="00946DEB">
          <w:rPr>
            <w:rStyle w:val="Pogrubienie"/>
            <w:rFonts w:ascii="Bookman Old Style" w:hAnsi="Bookman Old Style" w:cs="Times New Roman"/>
            <w:b w:val="0"/>
            <w:bCs w:val="0"/>
            <w:color w:val="000000" w:themeColor="text1"/>
            <w:sz w:val="24"/>
            <w:szCs w:val="24"/>
            <w:shd w:val="clear" w:color="auto" w:fill="FFFFFF"/>
          </w:rPr>
          <w:t>ustawy</w:t>
        </w:r>
      </w:hyperlink>
      <w:r w:rsidR="00D04B39" w:rsidRPr="00946DEB">
        <w:rPr>
          <w:rFonts w:ascii="Bookman Old Style" w:hAnsi="Bookman Old Style" w:cs="Times New Roman"/>
          <w:b/>
          <w:bCs/>
          <w:color w:val="333333"/>
          <w:sz w:val="24"/>
          <w:szCs w:val="24"/>
          <w:shd w:val="clear" w:color="auto" w:fill="FFFFFF"/>
        </w:rPr>
        <w:t xml:space="preserve"> </w:t>
      </w:r>
      <w:r w:rsidR="00D04B39" w:rsidRPr="00946DEB">
        <w:rPr>
          <w:rFonts w:ascii="Bookman Old Style" w:hAnsi="Bookman Old Style" w:cs="Times New Roman"/>
          <w:color w:val="333333"/>
          <w:sz w:val="24"/>
          <w:szCs w:val="24"/>
          <w:shd w:val="clear" w:color="auto" w:fill="FFFFFF"/>
        </w:rPr>
        <w:t>z dnia 24 sierpnia 2001 r. – Kodeks postępowania w sprawach o wykroczenia</w:t>
      </w:r>
      <w:r w:rsidR="000924E9" w:rsidRPr="00946DEB">
        <w:rPr>
          <w:rFonts w:ascii="Bookman Old Style" w:hAnsi="Bookman Old Style" w:cs="Times New Roman"/>
          <w:sz w:val="24"/>
          <w:szCs w:val="24"/>
          <w:shd w:val="clear" w:color="auto" w:fill="FFFFFF"/>
        </w:rPr>
        <w:t xml:space="preserve">. Wprawdzie w doktrynie wysuwany jest pogląd o istnieniu domniemania przestępnego charakteru takiego czynu zabronionego, ale nie ma on zakorzenienia w aktualnie obowiązujących przepisach. Ani art. 1 </w:t>
      </w:r>
      <w:proofErr w:type="spellStart"/>
      <w:r w:rsidR="000924E9" w:rsidRPr="00946DEB">
        <w:rPr>
          <w:rFonts w:ascii="Bookman Old Style" w:hAnsi="Bookman Old Style" w:cs="Times New Roman"/>
          <w:sz w:val="24"/>
          <w:szCs w:val="24"/>
          <w:shd w:val="clear" w:color="auto" w:fill="FFFFFF"/>
        </w:rPr>
        <w:t>k.w</w:t>
      </w:r>
      <w:proofErr w:type="spellEnd"/>
      <w:r w:rsidR="000924E9" w:rsidRPr="00946DEB">
        <w:rPr>
          <w:rFonts w:ascii="Bookman Old Style" w:hAnsi="Bookman Old Style" w:cs="Times New Roman"/>
          <w:sz w:val="24"/>
          <w:szCs w:val="24"/>
          <w:shd w:val="clear" w:color="auto" w:fill="FFFFFF"/>
        </w:rPr>
        <w:t xml:space="preserve">., ani art. 1 k.k., ani art. 7 § 3 k.k. nie odnoszą się do sytuacji, w których jedyną karą przewidzianą w granicach ustawowego zagrożenia jest „grzywna”, a brak jest przepisu szczególnego określającego tryb postępowania. Proponowane brzmienie art. 7 § 3 k.k. wprost wprowadza zasadę domniemania przestępnego charakteru czynu zabronionego </w:t>
      </w:r>
      <w:r w:rsidR="000924E9" w:rsidRPr="00946DEB">
        <w:rPr>
          <w:rFonts w:ascii="Bookman Old Style" w:hAnsi="Bookman Old Style" w:cs="Times New Roman"/>
          <w:sz w:val="24"/>
          <w:szCs w:val="24"/>
        </w:rPr>
        <w:t>zagrożonego grzywną</w:t>
      </w:r>
      <w:r w:rsidR="00025C63" w:rsidRPr="00946DEB">
        <w:rPr>
          <w:rFonts w:ascii="Bookman Old Style" w:hAnsi="Bookman Old Style" w:cs="Times New Roman"/>
          <w:sz w:val="24"/>
          <w:szCs w:val="24"/>
        </w:rPr>
        <w:t xml:space="preserve"> lub</w:t>
      </w:r>
      <w:r w:rsidR="000924E9" w:rsidRPr="00946DEB">
        <w:rPr>
          <w:rFonts w:ascii="Bookman Old Style" w:hAnsi="Bookman Old Style" w:cs="Times New Roman"/>
          <w:sz w:val="24"/>
          <w:szCs w:val="24"/>
        </w:rPr>
        <w:t xml:space="preserve"> karą ograniczenia wolności chyba że ustawa – w sposób określony powyżej – uznaje dany czyn zabroniony za wykroczenie. </w:t>
      </w:r>
    </w:p>
    <w:p w14:paraId="7F4267CC" w14:textId="642EB8D0" w:rsidR="008D01B6" w:rsidRPr="00946DEB" w:rsidRDefault="005E4671" w:rsidP="005E4671">
      <w:pPr>
        <w:spacing w:after="0" w:line="360" w:lineRule="auto"/>
        <w:jc w:val="both"/>
        <w:rPr>
          <w:rFonts w:ascii="Bookman Old Style" w:hAnsi="Bookman Old Style"/>
          <w:b/>
          <w:bCs/>
          <w:sz w:val="24"/>
          <w:szCs w:val="24"/>
        </w:rPr>
      </w:pPr>
      <w:r w:rsidRPr="00946DEB">
        <w:rPr>
          <w:rFonts w:ascii="Bookman Old Style" w:hAnsi="Bookman Old Style"/>
          <w:b/>
          <w:bCs/>
          <w:sz w:val="24"/>
          <w:szCs w:val="24"/>
        </w:rPr>
        <w:t>I</w:t>
      </w:r>
      <w:r w:rsidR="008D01B6" w:rsidRPr="00946DEB">
        <w:rPr>
          <w:rFonts w:ascii="Bookman Old Style" w:hAnsi="Bookman Old Style"/>
          <w:b/>
          <w:bCs/>
          <w:sz w:val="24"/>
          <w:szCs w:val="24"/>
        </w:rPr>
        <w:t>V.</w:t>
      </w:r>
      <w:r w:rsidRPr="00946DEB">
        <w:rPr>
          <w:rFonts w:ascii="Bookman Old Style" w:hAnsi="Bookman Old Style"/>
          <w:b/>
          <w:bCs/>
          <w:sz w:val="24"/>
          <w:szCs w:val="24"/>
        </w:rPr>
        <w:t xml:space="preserve"> Uzasadnienie zmian proponowanych w </w:t>
      </w:r>
      <w:r w:rsidR="00611E88">
        <w:rPr>
          <w:rFonts w:ascii="Bookman Old Style" w:hAnsi="Bookman Old Style"/>
          <w:b/>
          <w:bCs/>
          <w:sz w:val="24"/>
          <w:szCs w:val="24"/>
        </w:rPr>
        <w:t>pozakodeksowym prawie wykroczeń</w:t>
      </w:r>
      <w:r w:rsidR="00827E0C">
        <w:rPr>
          <w:rFonts w:ascii="Bookman Old Style" w:hAnsi="Bookman Old Style"/>
          <w:b/>
          <w:bCs/>
          <w:sz w:val="24"/>
          <w:szCs w:val="24"/>
        </w:rPr>
        <w:t xml:space="preserve"> i pozakodeksowym prawie karnym</w:t>
      </w:r>
    </w:p>
    <w:p w14:paraId="33BFE2AA" w14:textId="6F3B94D5" w:rsidR="008D01B6" w:rsidRPr="00946DEB" w:rsidRDefault="008D01B6"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 xml:space="preserve">Zaproponowanie koniecznych zmian w obrębie Kodeksu wykroczeń, zwłaszcza tych polegających na podwyższeniu kary grzywny spowodowało również konieczność rewizji niektórych przepisów pozakodeksowych, typizujących wykroczenia. </w:t>
      </w:r>
    </w:p>
    <w:p w14:paraId="38221E4E" w14:textId="474C4A9D" w:rsidR="005E7EF4" w:rsidRPr="00946DEB" w:rsidRDefault="005E7EF4"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Zamiany te polegają na tym, że tam, gdzie ustawodawca przewidział górną granic</w:t>
      </w:r>
      <w:r w:rsidR="002B537B">
        <w:rPr>
          <w:rFonts w:ascii="Bookman Old Style" w:hAnsi="Bookman Old Style"/>
          <w:sz w:val="24"/>
          <w:szCs w:val="24"/>
        </w:rPr>
        <w:t>ę</w:t>
      </w:r>
      <w:r w:rsidRPr="00946DEB">
        <w:rPr>
          <w:rFonts w:ascii="Bookman Old Style" w:hAnsi="Bookman Old Style"/>
          <w:sz w:val="24"/>
          <w:szCs w:val="24"/>
        </w:rPr>
        <w:t xml:space="preserve"> grzywny</w:t>
      </w:r>
      <w:r w:rsidR="00B73EC8" w:rsidRPr="00946DEB">
        <w:rPr>
          <w:rFonts w:ascii="Bookman Old Style" w:hAnsi="Bookman Old Style"/>
          <w:sz w:val="24"/>
          <w:szCs w:val="24"/>
        </w:rPr>
        <w:t xml:space="preserve"> za wykroczenie</w:t>
      </w:r>
      <w:r w:rsidRPr="00946DEB">
        <w:rPr>
          <w:rFonts w:ascii="Bookman Old Style" w:hAnsi="Bookman Old Style"/>
          <w:sz w:val="24"/>
          <w:szCs w:val="24"/>
        </w:rPr>
        <w:t xml:space="preserve"> na poziomie 30.000zł., </w:t>
      </w:r>
      <w:r w:rsidR="000C46D0" w:rsidRPr="00946DEB">
        <w:rPr>
          <w:rFonts w:ascii="Bookman Old Style" w:hAnsi="Bookman Old Style"/>
          <w:sz w:val="24"/>
          <w:szCs w:val="24"/>
        </w:rPr>
        <w:t>konieczne było wprowadzenie zagrożenia tylko sankcją grzywny bez wskazania jej górnej granicy.</w:t>
      </w:r>
      <w:r w:rsidR="00B73EC8" w:rsidRPr="00946DEB">
        <w:rPr>
          <w:rFonts w:ascii="Bookman Old Style" w:hAnsi="Bookman Old Style"/>
          <w:sz w:val="24"/>
          <w:szCs w:val="24"/>
        </w:rPr>
        <w:t xml:space="preserve"> W ten sposób </w:t>
      </w:r>
      <w:r w:rsidR="0067281B" w:rsidRPr="00946DEB">
        <w:rPr>
          <w:rFonts w:ascii="Bookman Old Style" w:hAnsi="Bookman Old Style"/>
          <w:sz w:val="24"/>
          <w:szCs w:val="24"/>
        </w:rPr>
        <w:t>taka kara automatycznie wyni</w:t>
      </w:r>
      <w:r w:rsidR="00AF585C" w:rsidRPr="00946DEB">
        <w:rPr>
          <w:rFonts w:ascii="Bookman Old Style" w:hAnsi="Bookman Old Style"/>
          <w:sz w:val="24"/>
          <w:szCs w:val="24"/>
        </w:rPr>
        <w:t>e</w:t>
      </w:r>
      <w:r w:rsidR="0067281B" w:rsidRPr="00946DEB">
        <w:rPr>
          <w:rFonts w:ascii="Bookman Old Style" w:hAnsi="Bookman Old Style"/>
          <w:sz w:val="24"/>
          <w:szCs w:val="24"/>
        </w:rPr>
        <w:t>sie 30.000zł.</w:t>
      </w:r>
      <w:r w:rsidR="000C46D0" w:rsidRPr="00946DEB">
        <w:rPr>
          <w:rFonts w:ascii="Bookman Old Style" w:hAnsi="Bookman Old Style"/>
          <w:sz w:val="24"/>
          <w:szCs w:val="24"/>
        </w:rPr>
        <w:t xml:space="preserve"> Takie rozwiązanie jest konsekwencją zmiany przepisu art. 1§1kw, art. 24§1kw oraz stosowania unormowania zawartego w art. </w:t>
      </w:r>
      <w:r w:rsidR="003B4BAB" w:rsidRPr="00946DEB">
        <w:rPr>
          <w:rFonts w:ascii="Bookman Old Style" w:hAnsi="Bookman Old Style"/>
          <w:sz w:val="24"/>
          <w:szCs w:val="24"/>
        </w:rPr>
        <w:t>48kw.</w:t>
      </w:r>
      <w:r w:rsidR="008F037B" w:rsidRPr="00946DEB">
        <w:rPr>
          <w:rFonts w:ascii="Bookman Old Style" w:hAnsi="Bookman Old Style"/>
          <w:sz w:val="24"/>
          <w:szCs w:val="24"/>
        </w:rPr>
        <w:t xml:space="preserve"> Zostało ono przyjęte w art. 27 i 27a ustawy z dnia 9 lipca 2003r. o zatrudnianiu pracowników tymczasowych (tj. Dz. U. </w:t>
      </w:r>
      <w:r w:rsidR="0049170A" w:rsidRPr="00946DEB">
        <w:rPr>
          <w:rFonts w:ascii="Bookman Old Style" w:hAnsi="Bookman Old Style"/>
          <w:sz w:val="24"/>
          <w:szCs w:val="24"/>
        </w:rPr>
        <w:t xml:space="preserve">2025, poz. 236), w art. 45a ustawy z dnia 9 października 2015r. o produktach biobójczych (tj. Dz. U. 2021, poz. 24), </w:t>
      </w:r>
      <w:r w:rsidR="009461F4" w:rsidRPr="00946DEB">
        <w:rPr>
          <w:rFonts w:ascii="Bookman Old Style" w:hAnsi="Bookman Old Style"/>
          <w:sz w:val="24"/>
          <w:szCs w:val="24"/>
        </w:rPr>
        <w:t xml:space="preserve">w art. 130a ustawy z dnia 16 kwietnia 2004r. o ochronie przyrody (tj. Dz. U. </w:t>
      </w:r>
      <w:r w:rsidR="00A308BA" w:rsidRPr="00946DEB">
        <w:rPr>
          <w:rFonts w:ascii="Bookman Old Style" w:hAnsi="Bookman Old Style"/>
          <w:sz w:val="24"/>
          <w:szCs w:val="24"/>
        </w:rPr>
        <w:t>2022, poz. 916)</w:t>
      </w:r>
      <w:r w:rsidR="00FE5F86" w:rsidRPr="00946DEB">
        <w:rPr>
          <w:rFonts w:ascii="Bookman Old Style" w:hAnsi="Bookman Old Style"/>
          <w:sz w:val="24"/>
          <w:szCs w:val="24"/>
        </w:rPr>
        <w:t>.</w:t>
      </w:r>
      <w:r w:rsidR="00A308BA" w:rsidRPr="00946DEB">
        <w:rPr>
          <w:rFonts w:ascii="Bookman Old Style" w:hAnsi="Bookman Old Style"/>
          <w:sz w:val="24"/>
          <w:szCs w:val="24"/>
        </w:rPr>
        <w:t xml:space="preserve"> </w:t>
      </w:r>
      <w:r w:rsidR="00FE5F86" w:rsidRPr="00946DEB">
        <w:rPr>
          <w:rFonts w:ascii="Bookman Old Style" w:hAnsi="Bookman Old Style"/>
          <w:sz w:val="24"/>
          <w:szCs w:val="24"/>
        </w:rPr>
        <w:t>W</w:t>
      </w:r>
      <w:r w:rsidR="00A308BA" w:rsidRPr="00946DEB">
        <w:rPr>
          <w:rFonts w:ascii="Bookman Old Style" w:hAnsi="Bookman Old Style"/>
          <w:sz w:val="24"/>
          <w:szCs w:val="24"/>
        </w:rPr>
        <w:t xml:space="preserve"> art. 39 ustawy z dnia 15 grudnia 2000r. o Inspekcji Handlowej (tj. Dz. U. </w:t>
      </w:r>
      <w:r w:rsidR="00066A43" w:rsidRPr="00946DEB">
        <w:rPr>
          <w:rFonts w:ascii="Bookman Old Style" w:hAnsi="Bookman Old Style"/>
          <w:sz w:val="24"/>
          <w:szCs w:val="24"/>
        </w:rPr>
        <w:t>2025, poz. 229)</w:t>
      </w:r>
      <w:r w:rsidR="00FE5F86" w:rsidRPr="00946DEB">
        <w:rPr>
          <w:rFonts w:ascii="Bookman Old Style" w:hAnsi="Bookman Old Style"/>
          <w:sz w:val="24"/>
          <w:szCs w:val="24"/>
        </w:rPr>
        <w:t xml:space="preserve"> kara grzywny została przewidziana na poziomie 5000zł. co uzasadniało jej sześciokrotne podwyższenie do 30.000zł. Jest to </w:t>
      </w:r>
      <w:r w:rsidR="00FE5F86" w:rsidRPr="00946DEB">
        <w:rPr>
          <w:rFonts w:ascii="Bookman Old Style" w:hAnsi="Bookman Old Style"/>
          <w:sz w:val="24"/>
          <w:szCs w:val="24"/>
        </w:rPr>
        <w:lastRenderedPageBreak/>
        <w:t xml:space="preserve">zmiana </w:t>
      </w:r>
      <w:proofErr w:type="spellStart"/>
      <w:r w:rsidR="00FE5F86" w:rsidRPr="00946DEB">
        <w:rPr>
          <w:rFonts w:ascii="Bookman Old Style" w:hAnsi="Bookman Old Style"/>
          <w:sz w:val="24"/>
          <w:szCs w:val="24"/>
        </w:rPr>
        <w:t>konsekwenc</w:t>
      </w:r>
      <w:r w:rsidR="009B5586" w:rsidRPr="00946DEB">
        <w:rPr>
          <w:rFonts w:ascii="Bookman Old Style" w:hAnsi="Bookman Old Style"/>
          <w:sz w:val="24"/>
          <w:szCs w:val="24"/>
        </w:rPr>
        <w:t>y</w:t>
      </w:r>
      <w:r w:rsidR="00FE5F86" w:rsidRPr="00946DEB">
        <w:rPr>
          <w:rFonts w:ascii="Bookman Old Style" w:hAnsi="Bookman Old Style"/>
          <w:sz w:val="24"/>
          <w:szCs w:val="24"/>
        </w:rPr>
        <w:t>jna</w:t>
      </w:r>
      <w:proofErr w:type="spellEnd"/>
      <w:r w:rsidR="00FE5F86" w:rsidRPr="00946DEB">
        <w:rPr>
          <w:rFonts w:ascii="Bookman Old Style" w:hAnsi="Bookman Old Style"/>
          <w:sz w:val="24"/>
          <w:szCs w:val="24"/>
        </w:rPr>
        <w:t xml:space="preserve"> wynikająca ze zmiany zaproponowanej w art. 1§1kw. </w:t>
      </w:r>
      <w:r w:rsidR="003C6180" w:rsidRPr="00946DEB">
        <w:rPr>
          <w:rFonts w:ascii="Bookman Old Style" w:hAnsi="Bookman Old Style"/>
          <w:sz w:val="24"/>
          <w:szCs w:val="24"/>
        </w:rPr>
        <w:t xml:space="preserve">Podobne rozwiązanie przyjęto na gruncie przepisu art. 13 ustawy z dnia 9 listopada 1995r. o ochronie zdrowia przed następstwa używania </w:t>
      </w:r>
      <w:r w:rsidR="00E13367" w:rsidRPr="00946DEB">
        <w:rPr>
          <w:rFonts w:ascii="Bookman Old Style" w:hAnsi="Bookman Old Style"/>
          <w:sz w:val="24"/>
          <w:szCs w:val="24"/>
        </w:rPr>
        <w:t>tytoniu i wyrobów tytoniowych.</w:t>
      </w:r>
      <w:r w:rsidR="00066A43" w:rsidRPr="00946DEB">
        <w:rPr>
          <w:rFonts w:ascii="Bookman Old Style" w:hAnsi="Bookman Old Style"/>
          <w:sz w:val="24"/>
          <w:szCs w:val="24"/>
        </w:rPr>
        <w:t xml:space="preserve"> </w:t>
      </w:r>
    </w:p>
    <w:p w14:paraId="5B8CF989" w14:textId="045C9BE0" w:rsidR="00DA70A0" w:rsidRPr="00946DEB" w:rsidRDefault="003B4BAB" w:rsidP="005E4671">
      <w:pPr>
        <w:spacing w:after="0" w:line="360" w:lineRule="auto"/>
        <w:jc w:val="both"/>
        <w:rPr>
          <w:rFonts w:ascii="Bookman Old Style" w:hAnsi="Bookman Old Style"/>
          <w:sz w:val="24"/>
          <w:szCs w:val="24"/>
        </w:rPr>
      </w:pPr>
      <w:r w:rsidRPr="00946DEB">
        <w:rPr>
          <w:rFonts w:ascii="Bookman Old Style" w:hAnsi="Bookman Old Style"/>
          <w:sz w:val="24"/>
          <w:szCs w:val="24"/>
        </w:rPr>
        <w:tab/>
        <w:t xml:space="preserve">Polski porządek prawny przewiduje również występki, które są zagrożone karą grzywny do 30.000zł. </w:t>
      </w:r>
      <w:r w:rsidR="00942E1C">
        <w:rPr>
          <w:rFonts w:ascii="Bookman Old Style" w:hAnsi="Bookman Old Style"/>
          <w:sz w:val="24"/>
          <w:szCs w:val="24"/>
        </w:rPr>
        <w:t>Także</w:t>
      </w:r>
      <w:r w:rsidRPr="00946DEB">
        <w:rPr>
          <w:rFonts w:ascii="Bookman Old Style" w:hAnsi="Bookman Old Style"/>
          <w:sz w:val="24"/>
          <w:szCs w:val="24"/>
        </w:rPr>
        <w:t xml:space="preserve"> w tym przypadku konieczna była rewizja sankcji. </w:t>
      </w:r>
      <w:r w:rsidR="009D6083" w:rsidRPr="00946DEB">
        <w:rPr>
          <w:rFonts w:ascii="Bookman Old Style" w:hAnsi="Bookman Old Style" w:cs="Times New Roman"/>
          <w:bCs/>
          <w:color w:val="000000"/>
          <w:sz w:val="24"/>
          <w:szCs w:val="24"/>
        </w:rPr>
        <w:t>Należało je podwyższyć</w:t>
      </w:r>
      <w:r w:rsidR="00DA70A0" w:rsidRPr="00946DEB">
        <w:rPr>
          <w:rFonts w:ascii="Bookman Old Style" w:hAnsi="Bookman Old Style" w:cs="Times New Roman"/>
          <w:bCs/>
          <w:color w:val="000000"/>
          <w:sz w:val="24"/>
          <w:szCs w:val="24"/>
        </w:rPr>
        <w:t xml:space="preserve"> do 35 000 zł. Modyfikacja ta wynika z podwyższenia do 30 000 górnej granicy kary grzywny za wykroczenia. Wychodząc z założenia, że kara za występki powinna być co do zasady surowsza od kary za wykroczenia, a jednocześnie ułatwiać (choć nie przesądzać o tym) odróżnienie wykroczenia od przestępstwa</w:t>
      </w:r>
      <w:r w:rsidR="00942E1C">
        <w:rPr>
          <w:rFonts w:ascii="Bookman Old Style" w:hAnsi="Bookman Old Style" w:cs="Times New Roman"/>
          <w:bCs/>
          <w:color w:val="000000"/>
          <w:sz w:val="24"/>
          <w:szCs w:val="24"/>
        </w:rPr>
        <w:t>,</w:t>
      </w:r>
      <w:r w:rsidR="00DA70A0" w:rsidRPr="00946DEB">
        <w:rPr>
          <w:rFonts w:ascii="Bookman Old Style" w:hAnsi="Bookman Old Style" w:cs="Times New Roman"/>
          <w:bCs/>
          <w:color w:val="000000"/>
          <w:sz w:val="24"/>
          <w:szCs w:val="24"/>
        </w:rPr>
        <w:t xml:space="preserve"> dokonano stosownej korekty sankcji wskazanych występków zagrożonych grzywną kwotową. I tak, zagrożony dotąd grzywną od 10 000 do 25 000 zł. występek z art. 31 ust. 4 </w:t>
      </w:r>
      <w:r w:rsidR="00DA70A0" w:rsidRPr="00946DEB">
        <w:rPr>
          <w:rFonts w:ascii="Bookman Old Style" w:hAnsi="Bookman Old Style" w:cs="Times New Roman"/>
          <w:bCs/>
          <w:sz w:val="24"/>
          <w:szCs w:val="24"/>
        </w:rPr>
        <w:t>ustawy z dnia 25 sierpnia 2006 r. o systemie monitorowania i kontrolowania jakości paliw (</w:t>
      </w:r>
      <w:proofErr w:type="spellStart"/>
      <w:r w:rsidR="00DA70A0" w:rsidRPr="00946DEB">
        <w:rPr>
          <w:rFonts w:ascii="Bookman Old Style" w:hAnsi="Bookman Old Style" w:cs="Times New Roman"/>
          <w:bCs/>
          <w:sz w:val="24"/>
          <w:szCs w:val="24"/>
        </w:rPr>
        <w:t>t.j</w:t>
      </w:r>
      <w:proofErr w:type="spellEnd"/>
      <w:r w:rsidR="00DA70A0" w:rsidRPr="00946DEB">
        <w:rPr>
          <w:rFonts w:ascii="Bookman Old Style" w:hAnsi="Bookman Old Style" w:cs="Times New Roman"/>
          <w:bCs/>
          <w:sz w:val="24"/>
          <w:szCs w:val="24"/>
        </w:rPr>
        <w:t>. Dz. U. z 2025 r. poz. 1529) podlegać ma grzywnie od 10 000 do 35 000 zł. Analogiczne podwyższenie grożącej kary grzywny dotyczyć ma przestępstwa z art. 34a ust. 4 tej ustawy. Z kolei w</w:t>
      </w:r>
      <w:r w:rsidR="00DA70A0" w:rsidRPr="00946DEB">
        <w:rPr>
          <w:rFonts w:ascii="Bookman Old Style" w:eastAsia="Times New Roman" w:hAnsi="Bookman Old Style" w:cs="Times New Roman"/>
          <w:bCs/>
          <w:kern w:val="1"/>
          <w:sz w:val="24"/>
          <w:szCs w:val="24"/>
        </w:rPr>
        <w:t xml:space="preserve"> </w:t>
      </w:r>
      <w:r w:rsidR="00DA70A0" w:rsidRPr="00946DEB">
        <w:rPr>
          <w:rFonts w:ascii="Bookman Old Style" w:hAnsi="Bookman Old Style" w:cs="Times New Roman"/>
          <w:bCs/>
          <w:sz w:val="24"/>
          <w:szCs w:val="24"/>
        </w:rPr>
        <w:t>ustawie z dnia 9 kwietnia 2010 r. o udostępnianiu informacji gospodarczych i wymianie danych gospodarczych (</w:t>
      </w:r>
      <w:proofErr w:type="spellStart"/>
      <w:r w:rsidR="00DA70A0" w:rsidRPr="00946DEB">
        <w:rPr>
          <w:rFonts w:ascii="Bookman Old Style" w:hAnsi="Bookman Old Style" w:cs="Times New Roman"/>
          <w:bCs/>
          <w:sz w:val="24"/>
          <w:szCs w:val="24"/>
        </w:rPr>
        <w:t>t.j</w:t>
      </w:r>
      <w:proofErr w:type="spellEnd"/>
      <w:r w:rsidR="00DA70A0" w:rsidRPr="00946DEB">
        <w:rPr>
          <w:rFonts w:ascii="Bookman Old Style" w:hAnsi="Bookman Old Style" w:cs="Times New Roman"/>
          <w:bCs/>
          <w:sz w:val="24"/>
          <w:szCs w:val="24"/>
        </w:rPr>
        <w:t xml:space="preserve">. Dz. U. z 2025 r. poz. 85 z </w:t>
      </w:r>
      <w:proofErr w:type="spellStart"/>
      <w:r w:rsidR="00DA70A0" w:rsidRPr="00946DEB">
        <w:rPr>
          <w:rFonts w:ascii="Bookman Old Style" w:hAnsi="Bookman Old Style" w:cs="Times New Roman"/>
          <w:bCs/>
          <w:sz w:val="24"/>
          <w:szCs w:val="24"/>
        </w:rPr>
        <w:t>późn</w:t>
      </w:r>
      <w:proofErr w:type="spellEnd"/>
      <w:r w:rsidR="00DA70A0" w:rsidRPr="00946DEB">
        <w:rPr>
          <w:rFonts w:ascii="Bookman Old Style" w:hAnsi="Bookman Old Style" w:cs="Times New Roman"/>
          <w:bCs/>
          <w:sz w:val="24"/>
          <w:szCs w:val="24"/>
        </w:rPr>
        <w:t xml:space="preserve">. zm.) dotychczasowa górna granica grzywny za występki z art. 47, 48, 49, 50 i 51 zostanie podniesiona z 30 000 do 35 000 zł. W </w:t>
      </w:r>
      <w:r w:rsidR="00DA70A0" w:rsidRPr="00946DEB">
        <w:rPr>
          <w:rFonts w:ascii="Bookman Old Style" w:eastAsia="Times New Roman" w:hAnsi="Bookman Old Style" w:cs="Times New Roman"/>
          <w:bCs/>
          <w:kern w:val="1"/>
          <w:sz w:val="24"/>
          <w:szCs w:val="24"/>
        </w:rPr>
        <w:t>ustawie</w:t>
      </w:r>
      <w:r w:rsidR="00DA70A0" w:rsidRPr="00946DEB">
        <w:rPr>
          <w:rFonts w:ascii="Bookman Old Style" w:hAnsi="Bookman Old Style" w:cs="Times New Roman"/>
          <w:bCs/>
          <w:sz w:val="24"/>
          <w:szCs w:val="24"/>
        </w:rPr>
        <w:t xml:space="preserve"> z dnia 14 marca 2003 r. o referendum ogólnokrajowym (</w:t>
      </w:r>
      <w:proofErr w:type="spellStart"/>
      <w:r w:rsidR="00DA70A0" w:rsidRPr="00946DEB">
        <w:rPr>
          <w:rFonts w:ascii="Bookman Old Style" w:hAnsi="Bookman Old Style" w:cs="Times New Roman"/>
          <w:bCs/>
          <w:sz w:val="24"/>
          <w:szCs w:val="24"/>
        </w:rPr>
        <w:t>t.j</w:t>
      </w:r>
      <w:proofErr w:type="spellEnd"/>
      <w:r w:rsidR="00DA70A0" w:rsidRPr="00946DEB">
        <w:rPr>
          <w:rFonts w:ascii="Bookman Old Style" w:hAnsi="Bookman Old Style" w:cs="Times New Roman"/>
          <w:bCs/>
          <w:sz w:val="24"/>
          <w:szCs w:val="24"/>
        </w:rPr>
        <w:t>. Dz. U. z 2025 r. poz. 300) dotychczasowa sankcja w postaci grzywny</w:t>
      </w:r>
      <w:r w:rsidR="00DA70A0" w:rsidRPr="00946DEB">
        <w:rPr>
          <w:rFonts w:ascii="Bookman Old Style" w:eastAsia="Times New Roman" w:hAnsi="Bookman Old Style" w:cs="Times New Roman"/>
          <w:bCs/>
          <w:kern w:val="1"/>
          <w:sz w:val="24"/>
          <w:szCs w:val="24"/>
        </w:rPr>
        <w:t xml:space="preserve"> </w:t>
      </w:r>
      <w:r w:rsidR="00DA70A0" w:rsidRPr="00946DEB">
        <w:rPr>
          <w:rFonts w:ascii="Bookman Old Style" w:hAnsi="Bookman Old Style" w:cs="Times New Roman"/>
          <w:sz w:val="24"/>
          <w:szCs w:val="24"/>
        </w:rPr>
        <w:t>od 1000 do 10 000 zł za występek stypizowany w art. 83 ust. 1 zostaje w górnej granicy podniesiona do 35 000 zł. Identyczna modyfikacja dotyczyć ma grzywny grożącej za występek z art. 497 § 1 Kodeksu wyborczego. W kodeksie spółek handlowych nastąpić ma podniesienie górnej granicy grzywny z dotychczasowych 20 000 do 35 000 za występki określone w art. art. 587</w:t>
      </w:r>
      <w:r w:rsidR="00DA70A0" w:rsidRPr="00946DEB">
        <w:rPr>
          <w:rFonts w:ascii="Bookman Old Style" w:hAnsi="Bookman Old Style" w:cs="Times New Roman"/>
          <w:sz w:val="24"/>
          <w:szCs w:val="24"/>
          <w:vertAlign w:val="superscript"/>
        </w:rPr>
        <w:t>1</w:t>
      </w:r>
      <w:r w:rsidR="00DA70A0" w:rsidRPr="00946DEB">
        <w:rPr>
          <w:rFonts w:ascii="Bookman Old Style" w:hAnsi="Bookman Old Style" w:cs="Times New Roman"/>
          <w:b/>
          <w:bCs/>
          <w:sz w:val="24"/>
          <w:szCs w:val="24"/>
          <w:vertAlign w:val="superscript"/>
        </w:rPr>
        <w:t xml:space="preserve"> </w:t>
      </w:r>
      <w:r w:rsidR="00DA70A0" w:rsidRPr="00946DEB">
        <w:rPr>
          <w:rFonts w:ascii="Bookman Old Style" w:hAnsi="Bookman Old Style" w:cs="Times New Roman"/>
          <w:sz w:val="24"/>
          <w:szCs w:val="24"/>
        </w:rPr>
        <w:t>§2</w:t>
      </w:r>
      <w:r w:rsidR="00DA70A0" w:rsidRPr="00946DEB">
        <w:rPr>
          <w:rFonts w:ascii="Bookman Old Style" w:eastAsia="Times New Roman" w:hAnsi="Bookman Old Style" w:cs="Times New Roman"/>
          <w:kern w:val="1"/>
          <w:sz w:val="24"/>
          <w:szCs w:val="24"/>
        </w:rPr>
        <w:t xml:space="preserve"> oraz </w:t>
      </w:r>
      <w:r w:rsidR="00DA70A0" w:rsidRPr="00946DEB">
        <w:rPr>
          <w:rFonts w:ascii="Bookman Old Style" w:hAnsi="Bookman Old Style" w:cs="Times New Roman"/>
          <w:sz w:val="24"/>
          <w:szCs w:val="24"/>
        </w:rPr>
        <w:t xml:space="preserve"> 587</w:t>
      </w:r>
      <w:r w:rsidR="00DA70A0" w:rsidRPr="00946DEB">
        <w:rPr>
          <w:rFonts w:ascii="Bookman Old Style" w:hAnsi="Bookman Old Style" w:cs="Times New Roman"/>
          <w:sz w:val="24"/>
          <w:szCs w:val="24"/>
          <w:vertAlign w:val="superscript"/>
        </w:rPr>
        <w:t>2</w:t>
      </w:r>
      <w:r w:rsidR="00DA70A0" w:rsidRPr="00946DEB">
        <w:rPr>
          <w:rFonts w:ascii="Bookman Old Style" w:hAnsi="Bookman Old Style" w:cs="Times New Roman"/>
          <w:sz w:val="24"/>
          <w:szCs w:val="24"/>
        </w:rPr>
        <w:t>§2.</w:t>
      </w:r>
      <w:r w:rsidR="006D638B" w:rsidRPr="00946DEB">
        <w:rPr>
          <w:rFonts w:ascii="Bookman Old Style" w:hAnsi="Bookman Old Style"/>
          <w:sz w:val="24"/>
          <w:szCs w:val="24"/>
        </w:rPr>
        <w:t xml:space="preserve"> </w:t>
      </w:r>
      <w:r w:rsidR="00DA70A0" w:rsidRPr="00946DEB">
        <w:rPr>
          <w:rFonts w:ascii="Bookman Old Style" w:hAnsi="Bookman Old Style" w:cs="Times New Roman"/>
          <w:sz w:val="24"/>
          <w:szCs w:val="24"/>
        </w:rPr>
        <w:t xml:space="preserve">Z 30 000 do 35 000 zł wzrosnąć ma z kolei maksymalna grzywna grożąca za występek z  art. 59g ustawy </w:t>
      </w:r>
      <w:r w:rsidR="00DA70A0" w:rsidRPr="00946DEB">
        <w:rPr>
          <w:rFonts w:ascii="Bookman Old Style" w:eastAsia="Times New Roman" w:hAnsi="Bookman Old Style" w:cs="Times New Roman"/>
          <w:kern w:val="1"/>
          <w:sz w:val="24"/>
          <w:szCs w:val="24"/>
        </w:rPr>
        <w:t xml:space="preserve"> z dnia 12 maja 2011r. o kredycie konsumenckim (tj. Dz. U. 2025, poz. 1362), za występek z art. 153d ustawy z dnia 19 sierpnia 2011r. o usługach płatniczych (tj. Dz. U. 2026, poz. 623) oraz za występek stypizowany w art. 171 ust. 8 Prawa bankowego. </w:t>
      </w:r>
      <w:r w:rsidR="00F210B4" w:rsidRPr="00946DEB">
        <w:rPr>
          <w:rFonts w:ascii="Bookman Old Style" w:eastAsia="Times New Roman" w:hAnsi="Bookman Old Style" w:cs="Times New Roman"/>
          <w:kern w:val="1"/>
          <w:sz w:val="24"/>
          <w:szCs w:val="24"/>
        </w:rPr>
        <w:t xml:space="preserve">Warto w tym miejscu dodać, że w świetle proponowanego, nowego </w:t>
      </w:r>
      <w:r w:rsidR="00F210B4" w:rsidRPr="00946DEB">
        <w:rPr>
          <w:rFonts w:ascii="Bookman Old Style" w:eastAsia="Times New Roman" w:hAnsi="Bookman Old Style" w:cs="Times New Roman"/>
          <w:kern w:val="1"/>
          <w:sz w:val="24"/>
          <w:szCs w:val="24"/>
        </w:rPr>
        <w:lastRenderedPageBreak/>
        <w:t xml:space="preserve">brzmienia przepisu art. 7§3kk pozostawienie kary grzywny w wyżej wymienionych wypadkach na dotychczasowym poziomie </w:t>
      </w:r>
      <w:r w:rsidR="00FD5103" w:rsidRPr="00946DEB">
        <w:rPr>
          <w:rFonts w:ascii="Bookman Old Style" w:eastAsia="Times New Roman" w:hAnsi="Bookman Old Style" w:cs="Times New Roman"/>
          <w:kern w:val="1"/>
          <w:sz w:val="24"/>
          <w:szCs w:val="24"/>
        </w:rPr>
        <w:t>nie powinno stać się źródłem wątpliwości, czy czyny te mają status występków czy wykroczeń</w:t>
      </w:r>
      <w:r w:rsidR="00A207FD" w:rsidRPr="00946DEB">
        <w:rPr>
          <w:rFonts w:ascii="Bookman Old Style" w:eastAsia="Times New Roman" w:hAnsi="Bookman Old Style" w:cs="Times New Roman"/>
          <w:kern w:val="1"/>
          <w:sz w:val="24"/>
          <w:szCs w:val="24"/>
        </w:rPr>
        <w:t xml:space="preserve">. </w:t>
      </w:r>
      <w:r w:rsidR="00420634" w:rsidRPr="00946DEB">
        <w:rPr>
          <w:rFonts w:ascii="Bookman Old Style" w:eastAsia="Times New Roman" w:hAnsi="Bookman Old Style" w:cs="Times New Roman"/>
          <w:kern w:val="1"/>
          <w:sz w:val="24"/>
          <w:szCs w:val="24"/>
        </w:rPr>
        <w:t>Wszak brak wyraźnego zastrzeżenia, że są to wykroczenia musiałby prowadzić do wniosku, że nie zmieniły one swojego charakteru prawnego. Jednakże pozostawienie sankcji grzywny na dotychczasowym poziomie, przy jednoczesnym podwyższeniu takiej samej kary za wykroczenia raziłoby niesp</w:t>
      </w:r>
      <w:r w:rsidR="00757FA6" w:rsidRPr="00946DEB">
        <w:rPr>
          <w:rFonts w:ascii="Bookman Old Style" w:eastAsia="Times New Roman" w:hAnsi="Bookman Old Style" w:cs="Times New Roman"/>
          <w:kern w:val="1"/>
          <w:sz w:val="24"/>
          <w:szCs w:val="24"/>
        </w:rPr>
        <w:t xml:space="preserve">ójnością systemową i brakiem konsekwencji. </w:t>
      </w:r>
    </w:p>
    <w:p w14:paraId="06243B04" w14:textId="77777777" w:rsidR="006F45C3" w:rsidRDefault="006F45C3" w:rsidP="006F45C3">
      <w:pPr>
        <w:spacing w:after="0" w:line="360" w:lineRule="auto"/>
        <w:jc w:val="both"/>
        <w:rPr>
          <w:rFonts w:ascii="Bookman Old Style" w:hAnsi="Bookman Old Style"/>
          <w:b/>
          <w:bCs/>
          <w:sz w:val="24"/>
          <w:szCs w:val="24"/>
        </w:rPr>
      </w:pPr>
    </w:p>
    <w:p w14:paraId="1EC325D7" w14:textId="157D61F9" w:rsidR="006F45C3" w:rsidRPr="006F45C3" w:rsidRDefault="006F45C3" w:rsidP="006F45C3">
      <w:pPr>
        <w:spacing w:after="0" w:line="360" w:lineRule="auto"/>
        <w:jc w:val="both"/>
        <w:rPr>
          <w:rFonts w:ascii="Bookman Old Style" w:hAnsi="Bookman Old Style"/>
          <w:b/>
          <w:bCs/>
          <w:sz w:val="24"/>
          <w:szCs w:val="24"/>
        </w:rPr>
      </w:pPr>
      <w:r w:rsidRPr="006F45C3">
        <w:rPr>
          <w:rFonts w:ascii="Bookman Old Style" w:hAnsi="Bookman Old Style"/>
          <w:b/>
          <w:bCs/>
          <w:sz w:val="24"/>
          <w:szCs w:val="24"/>
        </w:rPr>
        <w:t>V. Zagadnienia intertemporalne</w:t>
      </w:r>
    </w:p>
    <w:p w14:paraId="01D24E2B" w14:textId="77777777" w:rsidR="006F45C3" w:rsidRDefault="006F45C3" w:rsidP="00DA70A0">
      <w:pPr>
        <w:spacing w:after="0" w:line="360" w:lineRule="auto"/>
        <w:ind w:firstLine="708"/>
        <w:jc w:val="both"/>
        <w:rPr>
          <w:rFonts w:ascii="Bookman Old Style" w:hAnsi="Bookman Old Style"/>
          <w:sz w:val="24"/>
          <w:szCs w:val="24"/>
        </w:rPr>
      </w:pPr>
    </w:p>
    <w:p w14:paraId="1FAEBD0E" w14:textId="36F8CCB7" w:rsidR="00742136" w:rsidRPr="00946DEB" w:rsidRDefault="00E13367" w:rsidP="00DA70A0">
      <w:pPr>
        <w:spacing w:after="0" w:line="360" w:lineRule="auto"/>
        <w:ind w:firstLine="708"/>
        <w:jc w:val="both"/>
        <w:rPr>
          <w:rFonts w:ascii="Bookman Old Style" w:hAnsi="Bookman Old Style"/>
          <w:sz w:val="24"/>
          <w:szCs w:val="24"/>
        </w:rPr>
      </w:pPr>
      <w:r w:rsidRPr="00946DEB">
        <w:rPr>
          <w:rFonts w:ascii="Bookman Old Style" w:hAnsi="Bookman Old Style"/>
          <w:sz w:val="24"/>
          <w:szCs w:val="24"/>
        </w:rPr>
        <w:t xml:space="preserve">Wychodząc z założenia, że Kodeks wykroczeń w art. </w:t>
      </w:r>
      <w:r w:rsidR="00C85475" w:rsidRPr="00946DEB">
        <w:rPr>
          <w:rFonts w:ascii="Bookman Old Style" w:hAnsi="Bookman Old Style"/>
          <w:sz w:val="24"/>
          <w:szCs w:val="24"/>
        </w:rPr>
        <w:t>2 reguluje zasady prawa intertemporalnego, uznano, że jest to unormowanie wystarczające i kompleksowo rozstrzygające w czasie kolizję ustawodawstwa dotychczasowego oraz nowego</w:t>
      </w:r>
      <w:r w:rsidR="007374E1" w:rsidRPr="00946DEB">
        <w:rPr>
          <w:rFonts w:ascii="Bookman Old Style" w:hAnsi="Bookman Old Style"/>
          <w:sz w:val="24"/>
          <w:szCs w:val="24"/>
        </w:rPr>
        <w:t xml:space="preserve">. Ponieważ zasadniczo projektowane zmiany zaostrzają (poza nielicznymi </w:t>
      </w:r>
      <w:r w:rsidR="00BB3EAE" w:rsidRPr="00946DEB">
        <w:rPr>
          <w:rFonts w:ascii="Bookman Old Style" w:hAnsi="Bookman Old Style"/>
          <w:sz w:val="24"/>
          <w:szCs w:val="24"/>
        </w:rPr>
        <w:t>wyjątkami ) odpowiedzialność za wykroczenia, będą one miały zastosowanie do czynów popełnionych po wejściu w życie ustawy.</w:t>
      </w:r>
    </w:p>
    <w:p w14:paraId="2BCB04AC" w14:textId="77777777" w:rsidR="006F45C3" w:rsidRDefault="006F45C3" w:rsidP="005E4671">
      <w:pPr>
        <w:spacing w:after="0" w:line="360" w:lineRule="auto"/>
        <w:jc w:val="both"/>
        <w:rPr>
          <w:rFonts w:ascii="Bookman Old Style" w:hAnsi="Bookman Old Style"/>
          <w:sz w:val="24"/>
          <w:szCs w:val="24"/>
        </w:rPr>
      </w:pPr>
    </w:p>
    <w:p w14:paraId="6DDA60AD" w14:textId="7C0D783F" w:rsidR="006F45C3" w:rsidRPr="006F45C3" w:rsidRDefault="006F45C3" w:rsidP="005E4671">
      <w:pPr>
        <w:spacing w:after="0" w:line="360" w:lineRule="auto"/>
        <w:jc w:val="both"/>
        <w:rPr>
          <w:rFonts w:ascii="Bookman Old Style" w:hAnsi="Bookman Old Style"/>
          <w:b/>
          <w:bCs/>
          <w:sz w:val="24"/>
          <w:szCs w:val="24"/>
        </w:rPr>
      </w:pPr>
      <w:r w:rsidRPr="006F45C3">
        <w:rPr>
          <w:rFonts w:ascii="Bookman Old Style" w:hAnsi="Bookman Old Style"/>
          <w:b/>
          <w:bCs/>
          <w:sz w:val="24"/>
          <w:szCs w:val="24"/>
        </w:rPr>
        <w:t>VI. Stosunek proponowanych zmian w obszarze materialnego prawa wykroczeń do procesowego prawa wykroczeń</w:t>
      </w:r>
    </w:p>
    <w:p w14:paraId="4A220096" w14:textId="77777777" w:rsidR="006F45C3" w:rsidRDefault="006F45C3" w:rsidP="005E4671">
      <w:pPr>
        <w:spacing w:after="0" w:line="360" w:lineRule="auto"/>
        <w:jc w:val="both"/>
        <w:rPr>
          <w:rFonts w:ascii="Bookman Old Style" w:hAnsi="Bookman Old Style"/>
          <w:sz w:val="24"/>
          <w:szCs w:val="24"/>
        </w:rPr>
      </w:pPr>
    </w:p>
    <w:p w14:paraId="25E4889B" w14:textId="2ED2F3A9" w:rsidR="003B4BAB" w:rsidRPr="00946DEB" w:rsidRDefault="00742136" w:rsidP="006F45C3">
      <w:pPr>
        <w:spacing w:after="0" w:line="360" w:lineRule="auto"/>
        <w:ind w:firstLine="708"/>
        <w:jc w:val="both"/>
        <w:rPr>
          <w:rFonts w:ascii="Bookman Old Style" w:hAnsi="Bookman Old Style"/>
          <w:sz w:val="24"/>
          <w:szCs w:val="24"/>
        </w:rPr>
      </w:pPr>
      <w:r w:rsidRPr="00946DEB">
        <w:rPr>
          <w:rFonts w:ascii="Bookman Old Style" w:hAnsi="Bookman Old Style"/>
          <w:sz w:val="24"/>
          <w:szCs w:val="24"/>
        </w:rPr>
        <w:t xml:space="preserve">Z uwagi na pilny charakter zmian zaproponowanych w projekcie, koncentrujących się na materialnym prawie wykroczeń nie zdecydowano się na zmiany w obrębie przepisów o postępowaniu w sprawach o wykroczenia. Zwłaszcza nie zdecydowano się na rewizję przepisów o postępowaniu mandatowym, które wymagają gruntowej dyskusji przy udziale procesualistów zajmujących się tym szczególnym trybem postępowania karnego. </w:t>
      </w:r>
      <w:r w:rsidR="00BB3EAE" w:rsidRPr="00946DEB">
        <w:rPr>
          <w:rFonts w:ascii="Bookman Old Style" w:hAnsi="Bookman Old Style"/>
          <w:sz w:val="24"/>
          <w:szCs w:val="24"/>
        </w:rPr>
        <w:t xml:space="preserve"> </w:t>
      </w:r>
      <w:r w:rsidR="00580B07" w:rsidRPr="00946DEB">
        <w:rPr>
          <w:rFonts w:ascii="Bookman Old Style" w:hAnsi="Bookman Old Style"/>
          <w:sz w:val="24"/>
          <w:szCs w:val="24"/>
        </w:rPr>
        <w:t xml:space="preserve"> </w:t>
      </w:r>
    </w:p>
    <w:sectPr w:rsidR="003B4BAB" w:rsidRPr="00946DE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4E9B" w14:textId="77777777" w:rsidR="003674B2" w:rsidRDefault="003674B2" w:rsidP="0061767E">
      <w:pPr>
        <w:spacing w:after="0" w:line="240" w:lineRule="auto"/>
      </w:pPr>
      <w:r>
        <w:separator/>
      </w:r>
    </w:p>
  </w:endnote>
  <w:endnote w:type="continuationSeparator" w:id="0">
    <w:p w14:paraId="44FA918B" w14:textId="77777777" w:rsidR="003674B2" w:rsidRDefault="003674B2" w:rsidP="0061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956439"/>
      <w:docPartObj>
        <w:docPartGallery w:val="Page Numbers (Bottom of Page)"/>
        <w:docPartUnique/>
      </w:docPartObj>
    </w:sdtPr>
    <w:sdtContent>
      <w:p w14:paraId="1510AD1C" w14:textId="61AFC59A" w:rsidR="00854E0B" w:rsidRDefault="00854E0B">
        <w:pPr>
          <w:pStyle w:val="Stopka"/>
          <w:jc w:val="center"/>
        </w:pPr>
        <w:r>
          <w:fldChar w:fldCharType="begin"/>
        </w:r>
        <w:r>
          <w:instrText>PAGE   \* MERGEFORMAT</w:instrText>
        </w:r>
        <w:r>
          <w:fldChar w:fldCharType="separate"/>
        </w:r>
        <w:r>
          <w:t>2</w:t>
        </w:r>
        <w:r>
          <w:fldChar w:fldCharType="end"/>
        </w:r>
      </w:p>
    </w:sdtContent>
  </w:sdt>
  <w:p w14:paraId="463A6AAE" w14:textId="77777777" w:rsidR="00854E0B" w:rsidRDefault="00854E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A9C6" w14:textId="77777777" w:rsidR="003674B2" w:rsidRDefault="003674B2" w:rsidP="0061767E">
      <w:pPr>
        <w:spacing w:after="0" w:line="240" w:lineRule="auto"/>
      </w:pPr>
      <w:r>
        <w:separator/>
      </w:r>
    </w:p>
  </w:footnote>
  <w:footnote w:type="continuationSeparator" w:id="0">
    <w:p w14:paraId="6EFB4BC9" w14:textId="77777777" w:rsidR="003674B2" w:rsidRDefault="003674B2" w:rsidP="00617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63BF"/>
    <w:multiLevelType w:val="hybridMultilevel"/>
    <w:tmpl w:val="DBB8DDB4"/>
    <w:lvl w:ilvl="0" w:tplc="5796803A">
      <w:start w:val="1"/>
      <w:numFmt w:val="decimal"/>
      <w:lvlText w:val="%1."/>
      <w:lvlJc w:val="left"/>
      <w:pPr>
        <w:ind w:left="784" w:hanging="360"/>
      </w:pPr>
      <w:rPr>
        <w:b/>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1" w15:restartNumberingAfterBreak="0">
    <w:nsid w:val="50E0614D"/>
    <w:multiLevelType w:val="multilevel"/>
    <w:tmpl w:val="1314344E"/>
    <w:lvl w:ilvl="0">
      <w:start w:val="1"/>
      <w:numFmt w:val="decimal"/>
      <w:lvlText w:val="%1)"/>
      <w:lvlJc w:val="left"/>
      <w:pPr>
        <w:ind w:left="425" w:hanging="425"/>
      </w:pPr>
      <w:rPr>
        <w:rFonts w:ascii="Times New Roman" w:hAnsi="Times New Roman" w:hint="default"/>
        <w:b w:val="0"/>
        <w:i w:val="0"/>
        <w:color w:val="000000" w:themeColor="text1"/>
        <w:sz w:val="24"/>
      </w:rPr>
    </w:lvl>
    <w:lvl w:ilvl="1">
      <w:start w:val="1"/>
      <w:numFmt w:val="lowerLetter"/>
      <w:lvlText w:val="%2)"/>
      <w:lvlJc w:val="left"/>
      <w:pPr>
        <w:ind w:left="851" w:hanging="426"/>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1"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85291922">
    <w:abstractNumId w:val="0"/>
  </w:num>
  <w:num w:numId="2" w16cid:durableId="1950507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671"/>
    <w:rsid w:val="000106C2"/>
    <w:rsid w:val="00016D24"/>
    <w:rsid w:val="00025C63"/>
    <w:rsid w:val="00030AD6"/>
    <w:rsid w:val="000354A8"/>
    <w:rsid w:val="00040D56"/>
    <w:rsid w:val="00042B94"/>
    <w:rsid w:val="00042F74"/>
    <w:rsid w:val="00047BE5"/>
    <w:rsid w:val="00053892"/>
    <w:rsid w:val="00066A43"/>
    <w:rsid w:val="00075528"/>
    <w:rsid w:val="00082764"/>
    <w:rsid w:val="000877C4"/>
    <w:rsid w:val="000924E9"/>
    <w:rsid w:val="000A3806"/>
    <w:rsid w:val="000A655E"/>
    <w:rsid w:val="000C3BE1"/>
    <w:rsid w:val="000C46D0"/>
    <w:rsid w:val="000C6144"/>
    <w:rsid w:val="000D0CAD"/>
    <w:rsid w:val="001200F0"/>
    <w:rsid w:val="0012779A"/>
    <w:rsid w:val="001312CC"/>
    <w:rsid w:val="0013740A"/>
    <w:rsid w:val="00164633"/>
    <w:rsid w:val="00166C70"/>
    <w:rsid w:val="001730F3"/>
    <w:rsid w:val="00173B66"/>
    <w:rsid w:val="0018102E"/>
    <w:rsid w:val="00182E1E"/>
    <w:rsid w:val="00193DD0"/>
    <w:rsid w:val="001A6D60"/>
    <w:rsid w:val="001A72D6"/>
    <w:rsid w:val="001D2C6A"/>
    <w:rsid w:val="001E4F84"/>
    <w:rsid w:val="001F52B6"/>
    <w:rsid w:val="00202A7B"/>
    <w:rsid w:val="0021092A"/>
    <w:rsid w:val="002208E4"/>
    <w:rsid w:val="00220BEC"/>
    <w:rsid w:val="002239B3"/>
    <w:rsid w:val="002307A8"/>
    <w:rsid w:val="00233161"/>
    <w:rsid w:val="00253CDD"/>
    <w:rsid w:val="00253EA1"/>
    <w:rsid w:val="00257DAD"/>
    <w:rsid w:val="0027240C"/>
    <w:rsid w:val="00275204"/>
    <w:rsid w:val="002827D8"/>
    <w:rsid w:val="00285B73"/>
    <w:rsid w:val="002911E2"/>
    <w:rsid w:val="002B1573"/>
    <w:rsid w:val="002B537B"/>
    <w:rsid w:val="002B7C2D"/>
    <w:rsid w:val="002D7C31"/>
    <w:rsid w:val="002E1FFC"/>
    <w:rsid w:val="002F49FD"/>
    <w:rsid w:val="00327B34"/>
    <w:rsid w:val="00333F00"/>
    <w:rsid w:val="00334C77"/>
    <w:rsid w:val="00337054"/>
    <w:rsid w:val="00342CED"/>
    <w:rsid w:val="0035777B"/>
    <w:rsid w:val="003674B2"/>
    <w:rsid w:val="00376240"/>
    <w:rsid w:val="00377F1C"/>
    <w:rsid w:val="0038384A"/>
    <w:rsid w:val="003851C6"/>
    <w:rsid w:val="003A20D8"/>
    <w:rsid w:val="003B4BAB"/>
    <w:rsid w:val="003B6644"/>
    <w:rsid w:val="003C6180"/>
    <w:rsid w:val="003E1309"/>
    <w:rsid w:val="003F13EB"/>
    <w:rsid w:val="003F4AAC"/>
    <w:rsid w:val="004046F3"/>
    <w:rsid w:val="00420634"/>
    <w:rsid w:val="0042185D"/>
    <w:rsid w:val="004312C3"/>
    <w:rsid w:val="004325BB"/>
    <w:rsid w:val="0043375C"/>
    <w:rsid w:val="0043644C"/>
    <w:rsid w:val="00440ED3"/>
    <w:rsid w:val="00466062"/>
    <w:rsid w:val="00474500"/>
    <w:rsid w:val="00481A48"/>
    <w:rsid w:val="00483306"/>
    <w:rsid w:val="00483FC9"/>
    <w:rsid w:val="0048482B"/>
    <w:rsid w:val="0049170A"/>
    <w:rsid w:val="00494C4B"/>
    <w:rsid w:val="00497638"/>
    <w:rsid w:val="004B4209"/>
    <w:rsid w:val="004D17CF"/>
    <w:rsid w:val="004F0E4C"/>
    <w:rsid w:val="004F70F9"/>
    <w:rsid w:val="00512D35"/>
    <w:rsid w:val="00513D3C"/>
    <w:rsid w:val="00530ABD"/>
    <w:rsid w:val="0055697D"/>
    <w:rsid w:val="00561B7A"/>
    <w:rsid w:val="0056761E"/>
    <w:rsid w:val="00574BD7"/>
    <w:rsid w:val="00580B07"/>
    <w:rsid w:val="00590BFE"/>
    <w:rsid w:val="005957C4"/>
    <w:rsid w:val="005A46C0"/>
    <w:rsid w:val="005B2DFD"/>
    <w:rsid w:val="005B5A8E"/>
    <w:rsid w:val="005B7956"/>
    <w:rsid w:val="005C0AE2"/>
    <w:rsid w:val="005C35DB"/>
    <w:rsid w:val="005C5A83"/>
    <w:rsid w:val="005E065B"/>
    <w:rsid w:val="005E4671"/>
    <w:rsid w:val="005E4F70"/>
    <w:rsid w:val="005E7210"/>
    <w:rsid w:val="005E74F4"/>
    <w:rsid w:val="005E7EF4"/>
    <w:rsid w:val="005F1C2B"/>
    <w:rsid w:val="00605E95"/>
    <w:rsid w:val="00611E88"/>
    <w:rsid w:val="0061260E"/>
    <w:rsid w:val="0061767E"/>
    <w:rsid w:val="00620811"/>
    <w:rsid w:val="006234D6"/>
    <w:rsid w:val="00623990"/>
    <w:rsid w:val="0062469F"/>
    <w:rsid w:val="006335D2"/>
    <w:rsid w:val="00637D81"/>
    <w:rsid w:val="006623CB"/>
    <w:rsid w:val="00666709"/>
    <w:rsid w:val="0067281B"/>
    <w:rsid w:val="0068045F"/>
    <w:rsid w:val="00693B72"/>
    <w:rsid w:val="006B1331"/>
    <w:rsid w:val="006B356A"/>
    <w:rsid w:val="006D638B"/>
    <w:rsid w:val="006F45C3"/>
    <w:rsid w:val="00703AF5"/>
    <w:rsid w:val="007374E1"/>
    <w:rsid w:val="00742136"/>
    <w:rsid w:val="00742752"/>
    <w:rsid w:val="00753B47"/>
    <w:rsid w:val="00757FA6"/>
    <w:rsid w:val="00761C7F"/>
    <w:rsid w:val="00767CDE"/>
    <w:rsid w:val="00777E75"/>
    <w:rsid w:val="007D5D0A"/>
    <w:rsid w:val="007E2355"/>
    <w:rsid w:val="007E487E"/>
    <w:rsid w:val="007E7955"/>
    <w:rsid w:val="007F390A"/>
    <w:rsid w:val="00803092"/>
    <w:rsid w:val="00805C34"/>
    <w:rsid w:val="00816AC5"/>
    <w:rsid w:val="00824562"/>
    <w:rsid w:val="008259B7"/>
    <w:rsid w:val="00827E0C"/>
    <w:rsid w:val="008339A6"/>
    <w:rsid w:val="008527D6"/>
    <w:rsid w:val="00854E0B"/>
    <w:rsid w:val="00864817"/>
    <w:rsid w:val="00872799"/>
    <w:rsid w:val="00876D71"/>
    <w:rsid w:val="00880685"/>
    <w:rsid w:val="00885A89"/>
    <w:rsid w:val="008876BD"/>
    <w:rsid w:val="008A7CAC"/>
    <w:rsid w:val="008A7CFF"/>
    <w:rsid w:val="008B6DA1"/>
    <w:rsid w:val="008C537A"/>
    <w:rsid w:val="008D01B6"/>
    <w:rsid w:val="008E10D6"/>
    <w:rsid w:val="008F037B"/>
    <w:rsid w:val="00904183"/>
    <w:rsid w:val="0092253B"/>
    <w:rsid w:val="00932704"/>
    <w:rsid w:val="00942E1C"/>
    <w:rsid w:val="00942FAC"/>
    <w:rsid w:val="009461F4"/>
    <w:rsid w:val="00946DEB"/>
    <w:rsid w:val="00956537"/>
    <w:rsid w:val="00981343"/>
    <w:rsid w:val="009814BE"/>
    <w:rsid w:val="00983A55"/>
    <w:rsid w:val="009A200A"/>
    <w:rsid w:val="009B5586"/>
    <w:rsid w:val="009C2C00"/>
    <w:rsid w:val="009D146F"/>
    <w:rsid w:val="009D6083"/>
    <w:rsid w:val="009E0717"/>
    <w:rsid w:val="009E36D9"/>
    <w:rsid w:val="00A06AC3"/>
    <w:rsid w:val="00A207FD"/>
    <w:rsid w:val="00A225FA"/>
    <w:rsid w:val="00A308BA"/>
    <w:rsid w:val="00A36A6F"/>
    <w:rsid w:val="00A456B5"/>
    <w:rsid w:val="00A5566B"/>
    <w:rsid w:val="00A623B5"/>
    <w:rsid w:val="00A82909"/>
    <w:rsid w:val="00A86027"/>
    <w:rsid w:val="00AA0BB0"/>
    <w:rsid w:val="00AB3C4C"/>
    <w:rsid w:val="00AB3D6B"/>
    <w:rsid w:val="00AC7216"/>
    <w:rsid w:val="00AE1E53"/>
    <w:rsid w:val="00AE257F"/>
    <w:rsid w:val="00AE3625"/>
    <w:rsid w:val="00AF585C"/>
    <w:rsid w:val="00AF5E42"/>
    <w:rsid w:val="00B01641"/>
    <w:rsid w:val="00B0481E"/>
    <w:rsid w:val="00B217FD"/>
    <w:rsid w:val="00B276D2"/>
    <w:rsid w:val="00B34C49"/>
    <w:rsid w:val="00B402A2"/>
    <w:rsid w:val="00B738B9"/>
    <w:rsid w:val="00B73EC8"/>
    <w:rsid w:val="00B77EA8"/>
    <w:rsid w:val="00B94BD4"/>
    <w:rsid w:val="00BA6021"/>
    <w:rsid w:val="00BB3EAE"/>
    <w:rsid w:val="00BC208A"/>
    <w:rsid w:val="00BC7CA3"/>
    <w:rsid w:val="00BE1D2A"/>
    <w:rsid w:val="00C06519"/>
    <w:rsid w:val="00C070D9"/>
    <w:rsid w:val="00C1679E"/>
    <w:rsid w:val="00C27C6D"/>
    <w:rsid w:val="00C30CD3"/>
    <w:rsid w:val="00C82F59"/>
    <w:rsid w:val="00C85475"/>
    <w:rsid w:val="00C91157"/>
    <w:rsid w:val="00C93229"/>
    <w:rsid w:val="00CA63C5"/>
    <w:rsid w:val="00CC2B60"/>
    <w:rsid w:val="00CD6667"/>
    <w:rsid w:val="00CD6FA4"/>
    <w:rsid w:val="00CF774E"/>
    <w:rsid w:val="00D04A86"/>
    <w:rsid w:val="00D04B39"/>
    <w:rsid w:val="00D345D9"/>
    <w:rsid w:val="00D34744"/>
    <w:rsid w:val="00D403F3"/>
    <w:rsid w:val="00D4191E"/>
    <w:rsid w:val="00D4656F"/>
    <w:rsid w:val="00D53ACB"/>
    <w:rsid w:val="00D62D8E"/>
    <w:rsid w:val="00D87B24"/>
    <w:rsid w:val="00D90FEA"/>
    <w:rsid w:val="00D91FD4"/>
    <w:rsid w:val="00DA70A0"/>
    <w:rsid w:val="00DB7469"/>
    <w:rsid w:val="00DD318D"/>
    <w:rsid w:val="00DD4667"/>
    <w:rsid w:val="00DE27A7"/>
    <w:rsid w:val="00DE483C"/>
    <w:rsid w:val="00DE6B2E"/>
    <w:rsid w:val="00DF10DB"/>
    <w:rsid w:val="00DF2BD9"/>
    <w:rsid w:val="00E13367"/>
    <w:rsid w:val="00E21259"/>
    <w:rsid w:val="00E231E7"/>
    <w:rsid w:val="00E24EAC"/>
    <w:rsid w:val="00E3619D"/>
    <w:rsid w:val="00E43ADB"/>
    <w:rsid w:val="00E54AE1"/>
    <w:rsid w:val="00E57BE9"/>
    <w:rsid w:val="00E6721F"/>
    <w:rsid w:val="00E75D92"/>
    <w:rsid w:val="00E907E3"/>
    <w:rsid w:val="00E91FC3"/>
    <w:rsid w:val="00EA40D1"/>
    <w:rsid w:val="00EB5838"/>
    <w:rsid w:val="00EC119E"/>
    <w:rsid w:val="00ED171E"/>
    <w:rsid w:val="00ED3517"/>
    <w:rsid w:val="00EF0F52"/>
    <w:rsid w:val="00F0750A"/>
    <w:rsid w:val="00F11F82"/>
    <w:rsid w:val="00F12C4C"/>
    <w:rsid w:val="00F210B4"/>
    <w:rsid w:val="00F223EE"/>
    <w:rsid w:val="00F22F28"/>
    <w:rsid w:val="00F230B7"/>
    <w:rsid w:val="00F47CED"/>
    <w:rsid w:val="00F54E5D"/>
    <w:rsid w:val="00F72BB6"/>
    <w:rsid w:val="00F90E1D"/>
    <w:rsid w:val="00F978C7"/>
    <w:rsid w:val="00FA1ED3"/>
    <w:rsid w:val="00FA434B"/>
    <w:rsid w:val="00FB16E5"/>
    <w:rsid w:val="00FB7A06"/>
    <w:rsid w:val="00FD40F3"/>
    <w:rsid w:val="00FD5103"/>
    <w:rsid w:val="00FE1B2D"/>
    <w:rsid w:val="00FE5F86"/>
    <w:rsid w:val="00FE7663"/>
    <w:rsid w:val="00FF4F80"/>
    <w:rsid w:val="00FF54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84C49"/>
  <w15:chartTrackingRefBased/>
  <w15:docId w15:val="{9A719141-5EFC-4475-BEE0-E26A939DF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E46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E46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E467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E467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E467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E467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E467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E467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E467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E467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E467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E467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E467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E467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E467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E467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E467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E4671"/>
    <w:rPr>
      <w:rFonts w:eastAsiaTheme="majorEastAsia" w:cstheme="majorBidi"/>
      <w:color w:val="272727" w:themeColor="text1" w:themeTint="D8"/>
    </w:rPr>
  </w:style>
  <w:style w:type="paragraph" w:styleId="Tytu">
    <w:name w:val="Title"/>
    <w:basedOn w:val="Normalny"/>
    <w:next w:val="Normalny"/>
    <w:link w:val="TytuZnak"/>
    <w:uiPriority w:val="10"/>
    <w:qFormat/>
    <w:rsid w:val="005E4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E467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E467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E467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E4671"/>
    <w:pPr>
      <w:spacing w:before="160"/>
      <w:jc w:val="center"/>
    </w:pPr>
    <w:rPr>
      <w:i/>
      <w:iCs/>
      <w:color w:val="404040" w:themeColor="text1" w:themeTint="BF"/>
    </w:rPr>
  </w:style>
  <w:style w:type="character" w:customStyle="1" w:styleId="CytatZnak">
    <w:name w:val="Cytat Znak"/>
    <w:basedOn w:val="Domylnaczcionkaakapitu"/>
    <w:link w:val="Cytat"/>
    <w:uiPriority w:val="29"/>
    <w:rsid w:val="005E4671"/>
    <w:rPr>
      <w:i/>
      <w:iCs/>
      <w:color w:val="404040" w:themeColor="text1" w:themeTint="BF"/>
    </w:rPr>
  </w:style>
  <w:style w:type="paragraph" w:styleId="Akapitzlist">
    <w:name w:val="List Paragraph"/>
    <w:basedOn w:val="Normalny"/>
    <w:uiPriority w:val="34"/>
    <w:qFormat/>
    <w:rsid w:val="005E4671"/>
    <w:pPr>
      <w:ind w:left="720"/>
      <w:contextualSpacing/>
    </w:pPr>
  </w:style>
  <w:style w:type="character" w:styleId="Wyrnienieintensywne">
    <w:name w:val="Intense Emphasis"/>
    <w:basedOn w:val="Domylnaczcionkaakapitu"/>
    <w:uiPriority w:val="21"/>
    <w:qFormat/>
    <w:rsid w:val="005E4671"/>
    <w:rPr>
      <w:i/>
      <w:iCs/>
      <w:color w:val="2F5496" w:themeColor="accent1" w:themeShade="BF"/>
    </w:rPr>
  </w:style>
  <w:style w:type="paragraph" w:styleId="Cytatintensywny">
    <w:name w:val="Intense Quote"/>
    <w:basedOn w:val="Normalny"/>
    <w:next w:val="Normalny"/>
    <w:link w:val="CytatintensywnyZnak"/>
    <w:uiPriority w:val="30"/>
    <w:qFormat/>
    <w:rsid w:val="005E46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E4671"/>
    <w:rPr>
      <w:i/>
      <w:iCs/>
      <w:color w:val="2F5496" w:themeColor="accent1" w:themeShade="BF"/>
    </w:rPr>
  </w:style>
  <w:style w:type="character" w:styleId="Odwoanieintensywne">
    <w:name w:val="Intense Reference"/>
    <w:basedOn w:val="Domylnaczcionkaakapitu"/>
    <w:uiPriority w:val="32"/>
    <w:qFormat/>
    <w:rsid w:val="005E4671"/>
    <w:rPr>
      <w:b/>
      <w:bCs/>
      <w:smallCaps/>
      <w:color w:val="2F5496" w:themeColor="accent1" w:themeShade="BF"/>
      <w:spacing w:val="5"/>
    </w:rPr>
  </w:style>
  <w:style w:type="character" w:styleId="Pogrubienie">
    <w:name w:val="Strong"/>
    <w:basedOn w:val="Domylnaczcionkaakapitu"/>
    <w:uiPriority w:val="22"/>
    <w:qFormat/>
    <w:rsid w:val="00DE27A7"/>
    <w:rPr>
      <w:b/>
      <w:bCs/>
    </w:rPr>
  </w:style>
  <w:style w:type="paragraph" w:styleId="Tekstprzypisukocowego">
    <w:name w:val="endnote text"/>
    <w:basedOn w:val="Normalny"/>
    <w:link w:val="TekstprzypisukocowegoZnak"/>
    <w:uiPriority w:val="99"/>
    <w:semiHidden/>
    <w:unhideWhenUsed/>
    <w:rsid w:val="0061767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1767E"/>
    <w:rPr>
      <w:sz w:val="20"/>
      <w:szCs w:val="20"/>
    </w:rPr>
  </w:style>
  <w:style w:type="character" w:styleId="Odwoanieprzypisukocowego">
    <w:name w:val="endnote reference"/>
    <w:basedOn w:val="Domylnaczcionkaakapitu"/>
    <w:uiPriority w:val="99"/>
    <w:semiHidden/>
    <w:unhideWhenUsed/>
    <w:rsid w:val="0061767E"/>
    <w:rPr>
      <w:vertAlign w:val="superscript"/>
    </w:rPr>
  </w:style>
  <w:style w:type="paragraph" w:styleId="NormalnyWeb">
    <w:name w:val="Normal (Web)"/>
    <w:basedOn w:val="Normalny"/>
    <w:uiPriority w:val="99"/>
    <w:unhideWhenUsed/>
    <w:rsid w:val="001312C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876D71"/>
    <w:rPr>
      <w:color w:val="0000FF"/>
      <w:u w:val="single"/>
    </w:rPr>
  </w:style>
  <w:style w:type="paragraph" w:styleId="Nagwek">
    <w:name w:val="header"/>
    <w:basedOn w:val="Normalny"/>
    <w:link w:val="NagwekZnak"/>
    <w:uiPriority w:val="99"/>
    <w:unhideWhenUsed/>
    <w:rsid w:val="00854E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54E0B"/>
  </w:style>
  <w:style w:type="paragraph" w:styleId="Stopka">
    <w:name w:val="footer"/>
    <w:basedOn w:val="Normalny"/>
    <w:link w:val="StopkaZnak"/>
    <w:uiPriority w:val="99"/>
    <w:unhideWhenUsed/>
    <w:rsid w:val="00854E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4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8693</Words>
  <Characters>52164</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Jerzy Lachowski</dc:creator>
  <cp:keywords/>
  <dc:description/>
  <cp:lastModifiedBy>Wiraszka-Bereza Beata  (DPK)</cp:lastModifiedBy>
  <cp:revision>2</cp:revision>
  <dcterms:created xsi:type="dcterms:W3CDTF">2026-10-09T12:46:00Z</dcterms:created>
  <dcterms:modified xsi:type="dcterms:W3CDTF">2026-10-09T12:46:00Z</dcterms:modified>
</cp:coreProperties>
</file>