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/>
      </w:pPr>
      <w:r>
        <w:rPr>
          <w:b/>
          <w:bCs/>
          <w:sz w:val="28"/>
          <w:szCs w:val="28"/>
        </w:rPr>
        <w:t>Wykaz nieruchomości Skarbu Państwa przeznaczonej do wydzierżawienia         na okres kolejnych 3 lat, w drodze bezprzetargowej, na rzecz dotychczasowego dzierżawcy.</w:t>
      </w:r>
    </w:p>
    <w:p>
      <w:pPr>
        <w:pStyle w:val="Normal"/>
        <w:bidi w:val="0"/>
        <w:spacing w:lineRule="auto" w:line="360"/>
        <w:jc w:val="both"/>
        <w:rPr/>
      </w:pPr>
      <w:r>
        <w:rPr>
          <w:b/>
          <w:bCs/>
          <w:u w:val="single"/>
        </w:rPr>
        <w:t>1.</w:t>
      </w:r>
      <w:r>
        <w:rPr>
          <w:b w:val="false"/>
          <w:bCs w:val="false"/>
          <w:u w:val="single"/>
        </w:rPr>
        <w:t xml:space="preserve"> Oznaczenie nieruchomości według księgi wieczystej oraz katastru nieruchomości.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</w:rPr>
        <w:t>Nieruchomość stanowiąca własność Skarbu Państwa, położona w obrębie 22 miasta Sieradz, oznaczona w rejestrze ewidencji gruntów numerem działki 55 o pow. 0,2838 ha, dla której  w Wydziale Ksiąg Wieczystych Sądu Rejonowego w Sieradzu prowadzona jest księga wieczysta nr          SR1S/00066752/0.</w:t>
      </w:r>
    </w:p>
    <w:p>
      <w:pPr>
        <w:pStyle w:val="Normal"/>
        <w:bidi w:val="0"/>
        <w:spacing w:lineRule="auto" w:line="360"/>
        <w:jc w:val="both"/>
        <w:rPr/>
      </w:pPr>
      <w:r>
        <w:rPr>
          <w:b/>
          <w:bCs/>
          <w:u w:val="single"/>
        </w:rPr>
        <w:t>2.</w:t>
      </w:r>
      <w:r>
        <w:rPr>
          <w:b w:val="false"/>
          <w:bCs w:val="false"/>
          <w:u w:val="single"/>
        </w:rPr>
        <w:t xml:space="preserve"> Opis nieruchomości.</w:t>
      </w:r>
    </w:p>
    <w:p>
      <w:pPr>
        <w:pStyle w:val="Tretekstu"/>
        <w:bidi w:val="0"/>
        <w:spacing w:lineRule="auto" w:line="360"/>
        <w:jc w:val="both"/>
        <w:rPr/>
      </w:pPr>
      <w:r>
        <w:rPr>
          <w:b w:val="false"/>
          <w:bCs w:val="false"/>
          <w:sz w:val="24"/>
          <w:szCs w:val="24"/>
        </w:rPr>
        <w:t>Nieruchomość jest w kształcie czworoboku nieforemnego. Jest ogrodzona i posiada naniesienia budowlane. Na terenie nieruchomości znajduje się tymczasowy obiekt budowlany w postaci magazynu o konstrukcji stalowej. Działka jest ogrodzona siatką stalową na słupkach stalowych. Teren nieruchomości jest utwardzony. Wszystkie naniesienia na nieruchomości stanowią własność dotychczasowego dzierżawcy. Teren jest uzbrojony w urządzenia infrastruktury technicznej: sieć elektroenergetyczna, wodociągowa i kanalizacja. Na działce brak jest przyłączy w/w sieci. Przez środek nieruchomości przebiega magistralna sieć ciepłownicza.</w:t>
      </w:r>
    </w:p>
    <w:p>
      <w:pPr>
        <w:pStyle w:val="Normal"/>
        <w:bidi w:val="0"/>
        <w:spacing w:lineRule="auto" w:line="360"/>
        <w:jc w:val="both"/>
        <w:rPr/>
      </w:pPr>
      <w:r>
        <w:rPr>
          <w:b/>
          <w:bCs/>
          <w:u w:val="single"/>
        </w:rPr>
        <w:t>3.</w:t>
      </w:r>
      <w:r>
        <w:rPr>
          <w:b w:val="false"/>
          <w:bCs w:val="false"/>
          <w:u w:val="single"/>
        </w:rPr>
        <w:t xml:space="preserve"> Przeznaczenie nieruchomości i sposób jej zagospodarowania.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</w:rPr>
        <w:t>Nieruchomość położona jest na terenie, dla którego brak jest aktualnego planu zagospodarowania przestrzennego. Na podstawie obowiązującej zmiany Studium i kierunków zagospodarowania przestrzennego Miasta Sieradza, uchwalonej Uchwałą Nr XVIII/133/2012 Rady Miejskiej w Sieradzu z dnia 24 kwietnia 2012 roku, działka nr 55 położona jest na terenie oznaczonym symbolem „G” - droga główna. Nieruchomość będzie wykorzystywana na cele składowe. Sposób jej zagospodarowania nie ulega zmianie.</w:t>
      </w:r>
    </w:p>
    <w:p>
      <w:pPr>
        <w:pStyle w:val="Normal"/>
        <w:bidi w:val="0"/>
        <w:spacing w:lineRule="auto" w:line="360"/>
        <w:jc w:val="both"/>
        <w:rPr/>
      </w:pPr>
      <w:r>
        <w:rPr>
          <w:b/>
          <w:bCs/>
          <w:i w:val="false"/>
          <w:iCs w:val="false"/>
          <w:u w:val="single"/>
        </w:rPr>
        <w:t xml:space="preserve">4. </w:t>
      </w:r>
      <w:r>
        <w:rPr>
          <w:b w:val="false"/>
          <w:bCs w:val="false"/>
          <w:i w:val="false"/>
          <w:iCs w:val="false"/>
          <w:u w:val="single"/>
        </w:rPr>
        <w:t>Wysokość rocznej opłaty dzierżawnej.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u w:val="none"/>
        </w:rPr>
        <w:t>946,00 zł. (słownie złotych: siedemset dziesięć 00/100) miesięcznie + VAT.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u w:val="none"/>
        </w:rPr>
        <w:t>Czynsz będzie wnoszony do dnia 20 każdego miesiąca na podstawie wystawionej faktury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Liberation Serif" w:cs="Liberation Serif"/>
          <w:b w:val="false"/>
          <w:bCs w:val="false"/>
          <w:i w:val="false"/>
          <w:iCs w:val="false"/>
          <w:u w:val="none"/>
        </w:rPr>
        <w:t>―――――――――――――――――――――――――――――――――――――――</w:t>
      </w:r>
      <w:r>
        <w:rPr>
          <w:rFonts w:eastAsia="Liberation Serif" w:cs="Liberation Serif"/>
          <w:b w:val="false"/>
          <w:bCs w:val="false"/>
          <w:i w:val="false"/>
          <w:iCs w:val="false"/>
          <w:u w:val="none"/>
        </w:rPr>
        <w:t>-</w:t>
      </w:r>
      <w:r>
        <w:rPr>
          <w:b w:val="false"/>
          <w:bCs w:val="false"/>
          <w:i/>
          <w:iCs/>
          <w:u w:val="none"/>
        </w:rPr>
        <w:t xml:space="preserve">Stosownie do art. 35 ust. 1 ustawy z dnia 21 sierpnia 1997 r. o gospodarce nieruchomościami      </w:t>
      </w:r>
      <w:r>
        <w:rPr>
          <w:i/>
          <w:iCs/>
        </w:rPr>
        <w:t>(t.j. Dz. U. z 2020 r. poz. 1990 z późn. zm.)</w:t>
      </w:r>
      <w:r>
        <w:rPr>
          <w:b w:val="false"/>
          <w:bCs w:val="false"/>
          <w:i/>
          <w:iCs/>
          <w:u w:val="none"/>
        </w:rPr>
        <w:t xml:space="preserve">, niniejszy wykaz wywiesza się na tablicy ogłoszeń Starostwa Powiatowego w Sieradzu na okres 21 dni, a ponadto zamieszcza na stronach internetowych BIP tutejszego urzędu oraz Wojewody Łódzkiego. </w:t>
      </w:r>
    </w:p>
    <w:p>
      <w:pPr>
        <w:pStyle w:val="Normal"/>
        <w:suppressAutoHyphens w:val="false"/>
        <w:bidi w:val="0"/>
        <w:jc w:val="left"/>
        <w:rPr/>
      </w:pPr>
      <w:r>
        <w:rPr>
          <w:b w:val="false"/>
          <w:bCs w:val="false"/>
          <w:i w:val="false"/>
          <w:iCs w:val="false"/>
          <w:u w:val="none"/>
        </w:rPr>
        <w:t>Sieradz, dnia 30 czerwca 2021 roku.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LibreOffice/7.1.0.3$Windows_X86_64 LibreOffice_project/f6099ecf3d29644b5008cc8f48f42f4a40986e4c</Application>
  <AppVersion>15.0000</AppVersion>
  <Pages>1</Pages>
  <Words>299</Words>
  <Characters>2022</Characters>
  <CharactersWithSpaces>2333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2021-07-08T11:20:06Z</dcterms:modified>
  <cp:revision>2</cp:revision>
  <dc:subject/>
  <dc:title/>
</cp:coreProperties>
</file>