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4B1B" w:rsidRDefault="00C64B1B" w:rsidP="00C64B1B">
      <w:pPr>
        <w:jc w:val="center"/>
      </w:pP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134"/>
        <w:gridCol w:w="1843"/>
        <w:gridCol w:w="4678"/>
        <w:gridCol w:w="5812"/>
        <w:gridCol w:w="1359"/>
      </w:tblGrid>
      <w:tr w:rsidR="00A06425" w:rsidRPr="00A06425" w:rsidTr="00A06425">
        <w:tc>
          <w:tcPr>
            <w:tcW w:w="15388" w:type="dxa"/>
            <w:gridSpan w:val="6"/>
            <w:shd w:val="clear" w:color="auto" w:fill="auto"/>
            <w:vAlign w:val="center"/>
          </w:tcPr>
          <w:p w:rsidR="00A06425" w:rsidRPr="00A06425" w:rsidRDefault="00A06425" w:rsidP="00B871B6">
            <w:pPr>
              <w:spacing w:before="120" w:after="120"/>
              <w:rPr>
                <w:rFonts w:asciiTheme="minorHAnsi" w:hAnsiTheme="minorHAnsi" w:cstheme="minorHAnsi"/>
                <w:b/>
                <w:i/>
                <w:sz w:val="22"/>
                <w:szCs w:val="22"/>
              </w:rPr>
            </w:pPr>
            <w:r w:rsidRPr="00A06425">
              <w:rPr>
                <w:rFonts w:asciiTheme="minorHAnsi" w:hAnsiTheme="minorHAnsi" w:cstheme="minorHAnsi"/>
                <w:b/>
                <w:i/>
                <w:sz w:val="22"/>
                <w:szCs w:val="22"/>
              </w:rPr>
              <w:t>Nazwa dokumentu:</w:t>
            </w:r>
          </w:p>
          <w:p w:rsidR="00FE0AB7" w:rsidRPr="00FE0AB7" w:rsidRDefault="00AB527D" w:rsidP="00B871B6">
            <w:pPr>
              <w:spacing w:before="120" w:after="120"/>
              <w:rPr>
                <w:rFonts w:asciiTheme="minorHAnsi" w:hAnsiTheme="minorHAnsi" w:cstheme="minorHAnsi"/>
                <w:b/>
                <w:i/>
                <w:sz w:val="22"/>
                <w:szCs w:val="22"/>
              </w:rPr>
            </w:pPr>
            <w:hyperlink r:id="rId7" w:history="1">
              <w:r w:rsidR="00FE0AB7" w:rsidRPr="00FE0AB7">
                <w:rPr>
                  <w:rStyle w:val="Hipercze"/>
                  <w:rFonts w:asciiTheme="minorHAnsi" w:hAnsiTheme="minorHAnsi" w:cstheme="minorHAnsi"/>
                  <w:b/>
                  <w:bCs/>
                  <w:i/>
                  <w:color w:val="auto"/>
                  <w:sz w:val="22"/>
                  <w:szCs w:val="22"/>
                  <w:u w:val="none"/>
                </w:rPr>
                <w:t>Projekt ustawy o zmianie ustawy o doręczeniach elektronicznych (UD236)</w:t>
              </w:r>
            </w:hyperlink>
          </w:p>
        </w:tc>
      </w:tr>
      <w:tr w:rsidR="00A06425" w:rsidRPr="00A06425" w:rsidTr="00A06425">
        <w:tc>
          <w:tcPr>
            <w:tcW w:w="562" w:type="dxa"/>
            <w:shd w:val="clear" w:color="auto" w:fill="auto"/>
            <w:vAlign w:val="center"/>
          </w:tcPr>
          <w:p w:rsidR="00A06425" w:rsidRPr="00A06425" w:rsidRDefault="00A06425" w:rsidP="004D086F">
            <w:pPr>
              <w:jc w:val="center"/>
              <w:rPr>
                <w:rFonts w:asciiTheme="minorHAnsi" w:hAnsiTheme="minorHAnsi" w:cstheme="minorHAnsi"/>
                <w:b/>
                <w:sz w:val="22"/>
                <w:szCs w:val="22"/>
              </w:rPr>
            </w:pPr>
            <w:r>
              <w:rPr>
                <w:rFonts w:asciiTheme="minorHAnsi" w:hAnsiTheme="minorHAnsi" w:cstheme="minorHAnsi"/>
                <w:b/>
                <w:sz w:val="22"/>
                <w:szCs w:val="22"/>
              </w:rPr>
              <w:t>L</w:t>
            </w:r>
            <w:r w:rsidRPr="00A06425">
              <w:rPr>
                <w:rFonts w:asciiTheme="minorHAnsi" w:hAnsiTheme="minorHAnsi" w:cstheme="minorHAnsi"/>
                <w:b/>
                <w:sz w:val="22"/>
                <w:szCs w:val="22"/>
              </w:rPr>
              <w:t>p.</w:t>
            </w:r>
          </w:p>
        </w:tc>
        <w:tc>
          <w:tcPr>
            <w:tcW w:w="1134" w:type="dxa"/>
            <w:shd w:val="clear" w:color="auto" w:fill="auto"/>
            <w:vAlign w:val="center"/>
          </w:tcPr>
          <w:p w:rsidR="00A06425" w:rsidRPr="00A06425" w:rsidRDefault="00A06425" w:rsidP="004D086F">
            <w:pPr>
              <w:jc w:val="center"/>
              <w:rPr>
                <w:rFonts w:asciiTheme="minorHAnsi" w:hAnsiTheme="minorHAnsi" w:cstheme="minorHAnsi"/>
                <w:b/>
                <w:sz w:val="22"/>
                <w:szCs w:val="22"/>
              </w:rPr>
            </w:pPr>
            <w:r w:rsidRPr="00A06425">
              <w:rPr>
                <w:rFonts w:asciiTheme="minorHAnsi" w:hAnsiTheme="minorHAnsi" w:cstheme="minorHAnsi"/>
                <w:b/>
                <w:sz w:val="22"/>
                <w:szCs w:val="22"/>
              </w:rPr>
              <w:t>Organ wnoszący uwagi</w:t>
            </w:r>
          </w:p>
        </w:tc>
        <w:tc>
          <w:tcPr>
            <w:tcW w:w="1843" w:type="dxa"/>
            <w:shd w:val="clear" w:color="auto" w:fill="auto"/>
            <w:vAlign w:val="center"/>
          </w:tcPr>
          <w:p w:rsidR="00A06425" w:rsidRPr="00A06425" w:rsidRDefault="00A06425" w:rsidP="004D086F">
            <w:pPr>
              <w:jc w:val="center"/>
              <w:rPr>
                <w:rFonts w:asciiTheme="minorHAnsi" w:hAnsiTheme="minorHAnsi" w:cstheme="minorHAnsi"/>
                <w:b/>
                <w:sz w:val="22"/>
                <w:szCs w:val="22"/>
              </w:rPr>
            </w:pPr>
            <w:r w:rsidRPr="00A06425">
              <w:rPr>
                <w:rFonts w:asciiTheme="minorHAnsi" w:hAnsiTheme="minorHAnsi" w:cstheme="minorHAnsi"/>
                <w:b/>
                <w:sz w:val="22"/>
                <w:szCs w:val="22"/>
              </w:rPr>
              <w:t>Jednostka redakcyjna, do której wnoszone są uwagi</w:t>
            </w:r>
          </w:p>
        </w:tc>
        <w:tc>
          <w:tcPr>
            <w:tcW w:w="4678" w:type="dxa"/>
            <w:shd w:val="clear" w:color="auto" w:fill="auto"/>
            <w:vAlign w:val="center"/>
          </w:tcPr>
          <w:p w:rsidR="00A06425" w:rsidRPr="00A06425" w:rsidRDefault="00A06425" w:rsidP="004D086F">
            <w:pPr>
              <w:jc w:val="center"/>
              <w:rPr>
                <w:rFonts w:asciiTheme="minorHAnsi" w:hAnsiTheme="minorHAnsi" w:cstheme="minorHAnsi"/>
                <w:b/>
                <w:sz w:val="22"/>
                <w:szCs w:val="22"/>
              </w:rPr>
            </w:pPr>
            <w:r w:rsidRPr="00A06425">
              <w:rPr>
                <w:rFonts w:asciiTheme="minorHAnsi" w:hAnsiTheme="minorHAnsi" w:cstheme="minorHAnsi"/>
                <w:b/>
                <w:sz w:val="22"/>
                <w:szCs w:val="22"/>
              </w:rPr>
              <w:t>Treść uwagi</w:t>
            </w:r>
          </w:p>
        </w:tc>
        <w:tc>
          <w:tcPr>
            <w:tcW w:w="5812" w:type="dxa"/>
            <w:shd w:val="clear" w:color="auto" w:fill="auto"/>
            <w:vAlign w:val="center"/>
          </w:tcPr>
          <w:p w:rsidR="00A06425" w:rsidRPr="00A06425" w:rsidRDefault="00A06425" w:rsidP="004D086F">
            <w:pPr>
              <w:jc w:val="center"/>
              <w:rPr>
                <w:rFonts w:asciiTheme="minorHAnsi" w:hAnsiTheme="minorHAnsi" w:cstheme="minorHAnsi"/>
                <w:b/>
                <w:sz w:val="22"/>
                <w:szCs w:val="22"/>
              </w:rPr>
            </w:pPr>
            <w:r w:rsidRPr="00A06425">
              <w:rPr>
                <w:rFonts w:asciiTheme="minorHAnsi" w:hAnsiTheme="minorHAnsi" w:cstheme="minorHAnsi"/>
                <w:b/>
                <w:sz w:val="22"/>
                <w:szCs w:val="22"/>
              </w:rPr>
              <w:t>Propozycja zmian zapisu</w:t>
            </w:r>
          </w:p>
        </w:tc>
        <w:tc>
          <w:tcPr>
            <w:tcW w:w="1359" w:type="dxa"/>
            <w:vAlign w:val="center"/>
          </w:tcPr>
          <w:p w:rsidR="00A06425" w:rsidRPr="00A06425" w:rsidRDefault="00A06425" w:rsidP="00A06425">
            <w:pPr>
              <w:jc w:val="center"/>
              <w:rPr>
                <w:rFonts w:asciiTheme="minorHAnsi" w:hAnsiTheme="minorHAnsi" w:cstheme="minorHAnsi"/>
                <w:b/>
                <w:sz w:val="22"/>
                <w:szCs w:val="22"/>
              </w:rPr>
            </w:pPr>
            <w:r w:rsidRPr="00A06425">
              <w:rPr>
                <w:rFonts w:asciiTheme="minorHAnsi" w:hAnsiTheme="minorHAnsi" w:cstheme="minorHAnsi"/>
                <w:b/>
                <w:sz w:val="22"/>
                <w:szCs w:val="22"/>
              </w:rPr>
              <w:t>Odniesienie do uwagi</w:t>
            </w:r>
          </w:p>
        </w:tc>
      </w:tr>
      <w:tr w:rsidR="00A06425" w:rsidRPr="00A06425" w:rsidTr="00A06425">
        <w:tc>
          <w:tcPr>
            <w:tcW w:w="562" w:type="dxa"/>
            <w:shd w:val="clear" w:color="auto" w:fill="auto"/>
          </w:tcPr>
          <w:p w:rsidR="00A06425" w:rsidRPr="00A06425" w:rsidRDefault="00A06425" w:rsidP="00A06425">
            <w:pPr>
              <w:spacing w:before="120" w:after="120"/>
              <w:jc w:val="center"/>
              <w:rPr>
                <w:rFonts w:asciiTheme="minorHAnsi" w:hAnsiTheme="minorHAnsi" w:cstheme="minorHAnsi"/>
                <w:b/>
                <w:sz w:val="22"/>
                <w:szCs w:val="22"/>
              </w:rPr>
            </w:pPr>
            <w:r w:rsidRPr="00A06425">
              <w:rPr>
                <w:rFonts w:asciiTheme="minorHAnsi" w:hAnsiTheme="minorHAnsi" w:cstheme="minorHAnsi"/>
                <w:b/>
                <w:sz w:val="22"/>
                <w:szCs w:val="22"/>
              </w:rPr>
              <w:t>1</w:t>
            </w:r>
          </w:p>
        </w:tc>
        <w:tc>
          <w:tcPr>
            <w:tcW w:w="1134" w:type="dxa"/>
            <w:shd w:val="clear" w:color="auto" w:fill="auto"/>
          </w:tcPr>
          <w:p w:rsidR="00A06425" w:rsidRPr="00A06425" w:rsidRDefault="00AD2536" w:rsidP="004D086F">
            <w:pPr>
              <w:spacing w:before="60" w:after="60"/>
              <w:jc w:val="center"/>
              <w:rPr>
                <w:rFonts w:asciiTheme="minorHAnsi" w:hAnsiTheme="minorHAnsi" w:cstheme="minorHAnsi"/>
                <w:b/>
                <w:sz w:val="22"/>
                <w:szCs w:val="22"/>
              </w:rPr>
            </w:pPr>
            <w:r>
              <w:rPr>
                <w:rFonts w:asciiTheme="minorHAnsi" w:hAnsiTheme="minorHAnsi" w:cstheme="minorHAnsi"/>
                <w:b/>
                <w:sz w:val="22"/>
                <w:szCs w:val="22"/>
              </w:rPr>
              <w:t>MSWiA</w:t>
            </w:r>
          </w:p>
        </w:tc>
        <w:tc>
          <w:tcPr>
            <w:tcW w:w="1843" w:type="dxa"/>
            <w:shd w:val="clear" w:color="auto" w:fill="auto"/>
          </w:tcPr>
          <w:p w:rsidR="00A06425" w:rsidRPr="001638C1" w:rsidRDefault="001638C1" w:rsidP="00A20F96">
            <w:pPr>
              <w:jc w:val="center"/>
              <w:rPr>
                <w:rFonts w:asciiTheme="minorHAnsi" w:hAnsiTheme="minorHAnsi" w:cstheme="minorHAnsi"/>
                <w:sz w:val="22"/>
                <w:szCs w:val="22"/>
              </w:rPr>
            </w:pPr>
            <w:r w:rsidRPr="001638C1">
              <w:rPr>
                <w:rFonts w:asciiTheme="minorHAnsi" w:eastAsiaTheme="majorEastAsia" w:hAnsiTheme="minorHAnsi" w:cstheme="minorHAnsi"/>
                <w:sz w:val="22"/>
                <w:szCs w:val="22"/>
              </w:rPr>
              <w:t>art. 1 pkt 21 lit. b</w:t>
            </w:r>
          </w:p>
        </w:tc>
        <w:tc>
          <w:tcPr>
            <w:tcW w:w="4678" w:type="dxa"/>
            <w:shd w:val="clear" w:color="auto" w:fill="auto"/>
          </w:tcPr>
          <w:p w:rsidR="001638C1" w:rsidRPr="001638C1" w:rsidRDefault="001638C1" w:rsidP="001638C1">
            <w:pPr>
              <w:rPr>
                <w:rFonts w:asciiTheme="minorHAnsi" w:eastAsiaTheme="majorEastAsia" w:hAnsiTheme="minorHAnsi" w:cstheme="minorHAnsi"/>
                <w:i/>
                <w:sz w:val="22"/>
                <w:szCs w:val="22"/>
              </w:rPr>
            </w:pPr>
            <w:r w:rsidRPr="001638C1">
              <w:rPr>
                <w:rFonts w:asciiTheme="minorHAnsi" w:eastAsiaTheme="majorEastAsia" w:hAnsiTheme="minorHAnsi" w:cstheme="minorHAnsi"/>
                <w:sz w:val="22"/>
                <w:szCs w:val="22"/>
              </w:rPr>
              <w:t xml:space="preserve">Zgodnie z art. 42 ust. 3: </w:t>
            </w:r>
            <w:r w:rsidRPr="001638C1">
              <w:rPr>
                <w:rFonts w:asciiTheme="minorHAnsi" w:eastAsiaTheme="majorEastAsia" w:hAnsiTheme="minorHAnsi" w:cstheme="minorHAnsi"/>
                <w:i/>
                <w:sz w:val="22"/>
                <w:szCs w:val="22"/>
              </w:rPr>
              <w:t>Jeżeli ostatni dzień 14-dniowego terminu, o którym mowa w ust. 2, przypada na dzień ustawowo wolny od pracy albo na sobotę, za ostatni dzień terminu uważa się następny dzień po dniu, który nie jest dniem wolnym od pracy ani sobotą.</w:t>
            </w:r>
          </w:p>
          <w:p w:rsidR="00A06425" w:rsidRPr="001638C1" w:rsidRDefault="001638C1" w:rsidP="001638C1">
            <w:pPr>
              <w:rPr>
                <w:rFonts w:ascii="Lato" w:eastAsiaTheme="majorEastAsia" w:hAnsi="Lato" w:cstheme="majorBidi"/>
                <w:i/>
                <w:szCs w:val="32"/>
              </w:rPr>
            </w:pPr>
            <w:r w:rsidRPr="001638C1">
              <w:rPr>
                <w:rFonts w:asciiTheme="minorHAnsi" w:eastAsiaTheme="majorEastAsia" w:hAnsiTheme="minorHAnsi" w:cstheme="minorHAnsi"/>
                <w:sz w:val="22"/>
                <w:szCs w:val="22"/>
              </w:rPr>
              <w:t xml:space="preserve">Jak się wydaje ww. przepis wymaga zmiany polegającej na wykreśleniu sformułowania „po dniu”. Zgodnie z literalnym brzmieniem projektowanej regulacji w przypadku, jeżeli ostatni dzień terminu wypadnie np. w sobotę, za ostatni dzień terminu uważa się następny dzień po poniedziałku, a więc wtorek, co jak się wydaje może być niezgodne z intencją </w:t>
            </w:r>
            <w:r>
              <w:rPr>
                <w:rFonts w:asciiTheme="minorHAnsi" w:eastAsiaTheme="majorEastAsia" w:hAnsiTheme="minorHAnsi" w:cstheme="minorHAnsi"/>
                <w:sz w:val="22"/>
                <w:szCs w:val="22"/>
              </w:rPr>
              <w:t>projektodawcy.</w:t>
            </w:r>
          </w:p>
        </w:tc>
        <w:tc>
          <w:tcPr>
            <w:tcW w:w="5812" w:type="dxa"/>
            <w:shd w:val="clear" w:color="auto" w:fill="auto"/>
          </w:tcPr>
          <w:p w:rsidR="001638C1" w:rsidRPr="001638C1" w:rsidRDefault="001638C1" w:rsidP="001638C1">
            <w:pPr>
              <w:rPr>
                <w:rFonts w:asciiTheme="minorHAnsi" w:eastAsiaTheme="majorEastAsia" w:hAnsiTheme="minorHAnsi" w:cstheme="minorHAnsi"/>
                <w:sz w:val="22"/>
                <w:szCs w:val="22"/>
              </w:rPr>
            </w:pPr>
            <w:r w:rsidRPr="001638C1">
              <w:rPr>
                <w:rFonts w:asciiTheme="minorHAnsi" w:eastAsiaTheme="majorEastAsia" w:hAnsiTheme="minorHAnsi" w:cstheme="minorHAnsi"/>
                <w:sz w:val="22"/>
                <w:szCs w:val="22"/>
              </w:rPr>
              <w:t>Pod rozwagę można poddać następujące brzmienie przepisu, na kształt regulacji zawartej w art. 57 § 4 kpa:</w:t>
            </w:r>
          </w:p>
          <w:p w:rsidR="00A06425" w:rsidRPr="00381B9C" w:rsidRDefault="001638C1" w:rsidP="001638C1">
            <w:pPr>
              <w:autoSpaceDE w:val="0"/>
              <w:autoSpaceDN w:val="0"/>
              <w:adjustRightInd w:val="0"/>
              <w:spacing w:after="120"/>
              <w:rPr>
                <w:rFonts w:asciiTheme="minorHAnsi" w:hAnsiTheme="minorHAnsi" w:cstheme="minorHAnsi"/>
                <w:sz w:val="22"/>
                <w:szCs w:val="22"/>
              </w:rPr>
            </w:pPr>
            <w:r w:rsidRPr="001638C1">
              <w:rPr>
                <w:rFonts w:asciiTheme="minorHAnsi" w:eastAsiaTheme="majorEastAsia" w:hAnsiTheme="minorHAnsi" w:cstheme="minorHAnsi"/>
                <w:i/>
                <w:sz w:val="22"/>
                <w:szCs w:val="22"/>
              </w:rPr>
              <w:t>3.</w:t>
            </w:r>
            <w:r w:rsidRPr="001638C1">
              <w:rPr>
                <w:rFonts w:asciiTheme="minorHAnsi" w:eastAsiaTheme="majorEastAsia" w:hAnsiTheme="minorHAnsi" w:cstheme="minorHAnsi"/>
                <w:i/>
                <w:sz w:val="22"/>
                <w:szCs w:val="22"/>
              </w:rPr>
              <w:tab/>
              <w:t>Jeżeli ostatni dzień 14-dniowego terminu, o którym mowa w ust. 2, przypada na dzień ustawowo wolny od pracy albo na sobotę, za ostatni dzień terminu uważa się następny dzień, który nie jest dniem wolnym od pracy ani sobotą.</w:t>
            </w:r>
          </w:p>
        </w:tc>
        <w:tc>
          <w:tcPr>
            <w:tcW w:w="1359" w:type="dxa"/>
          </w:tcPr>
          <w:p w:rsidR="00A06425" w:rsidRPr="00A06425" w:rsidRDefault="00A06425" w:rsidP="004D086F">
            <w:pPr>
              <w:jc w:val="center"/>
              <w:rPr>
                <w:rFonts w:asciiTheme="minorHAnsi" w:hAnsiTheme="minorHAnsi" w:cstheme="minorHAnsi"/>
                <w:sz w:val="22"/>
                <w:szCs w:val="22"/>
              </w:rPr>
            </w:pPr>
          </w:p>
        </w:tc>
      </w:tr>
      <w:tr w:rsidR="002555AC" w:rsidRPr="00A06425" w:rsidTr="00A06425">
        <w:tc>
          <w:tcPr>
            <w:tcW w:w="562" w:type="dxa"/>
            <w:shd w:val="clear" w:color="auto" w:fill="auto"/>
          </w:tcPr>
          <w:p w:rsidR="002555AC" w:rsidRPr="00A06425" w:rsidRDefault="002555AC" w:rsidP="00A06425">
            <w:pPr>
              <w:spacing w:before="120" w:after="120"/>
              <w:jc w:val="center"/>
              <w:rPr>
                <w:rFonts w:asciiTheme="minorHAnsi" w:hAnsiTheme="minorHAnsi" w:cstheme="minorHAnsi"/>
                <w:b/>
                <w:sz w:val="22"/>
                <w:szCs w:val="22"/>
              </w:rPr>
            </w:pPr>
          </w:p>
        </w:tc>
        <w:tc>
          <w:tcPr>
            <w:tcW w:w="1134" w:type="dxa"/>
            <w:shd w:val="clear" w:color="auto" w:fill="auto"/>
          </w:tcPr>
          <w:p w:rsidR="002555AC" w:rsidRDefault="002555AC" w:rsidP="004D086F">
            <w:pPr>
              <w:spacing w:before="60" w:after="60"/>
              <w:jc w:val="center"/>
              <w:rPr>
                <w:rFonts w:asciiTheme="minorHAnsi" w:hAnsiTheme="minorHAnsi" w:cstheme="minorHAnsi"/>
                <w:b/>
                <w:sz w:val="22"/>
                <w:szCs w:val="22"/>
              </w:rPr>
            </w:pPr>
            <w:r>
              <w:rPr>
                <w:rFonts w:asciiTheme="minorHAnsi" w:hAnsiTheme="minorHAnsi" w:cstheme="minorHAnsi"/>
                <w:b/>
                <w:sz w:val="22"/>
                <w:szCs w:val="22"/>
              </w:rPr>
              <w:t>MSWiA</w:t>
            </w:r>
          </w:p>
        </w:tc>
        <w:tc>
          <w:tcPr>
            <w:tcW w:w="1843" w:type="dxa"/>
            <w:shd w:val="clear" w:color="auto" w:fill="auto"/>
          </w:tcPr>
          <w:p w:rsidR="002555AC" w:rsidRDefault="002555AC" w:rsidP="004D086F">
            <w:pPr>
              <w:jc w:val="center"/>
              <w:rPr>
                <w:rFonts w:asciiTheme="minorHAnsi" w:hAnsiTheme="minorHAnsi" w:cstheme="minorHAnsi"/>
                <w:sz w:val="22"/>
                <w:szCs w:val="22"/>
              </w:rPr>
            </w:pPr>
            <w:r>
              <w:rPr>
                <w:rFonts w:asciiTheme="minorHAnsi" w:hAnsiTheme="minorHAnsi" w:cstheme="minorHAnsi"/>
                <w:sz w:val="22"/>
                <w:szCs w:val="22"/>
              </w:rPr>
              <w:t>Art. 1 pkt 29 lit. b projektu</w:t>
            </w:r>
            <w:r>
              <w:rPr>
                <w:rFonts w:asciiTheme="minorHAnsi" w:hAnsiTheme="minorHAnsi" w:cstheme="minorHAnsi"/>
                <w:sz w:val="22"/>
                <w:szCs w:val="22"/>
              </w:rPr>
              <w:br/>
              <w:t>(w zakresie zmienianego art. 60 ust. 3b pkt 1)</w:t>
            </w:r>
          </w:p>
        </w:tc>
        <w:tc>
          <w:tcPr>
            <w:tcW w:w="4678" w:type="dxa"/>
            <w:shd w:val="clear" w:color="auto" w:fill="auto"/>
          </w:tcPr>
          <w:p w:rsidR="002555AC" w:rsidRPr="0047573B" w:rsidRDefault="002555AC" w:rsidP="0047573B">
            <w:pPr>
              <w:rPr>
                <w:rFonts w:asciiTheme="minorHAnsi" w:eastAsiaTheme="majorEastAsia" w:hAnsiTheme="minorHAnsi" w:cstheme="minorHAnsi"/>
                <w:sz w:val="22"/>
                <w:szCs w:val="22"/>
              </w:rPr>
            </w:pPr>
            <w:r w:rsidRPr="002555AC">
              <w:rPr>
                <w:rFonts w:asciiTheme="minorHAnsi" w:eastAsiaTheme="majorEastAsia" w:hAnsiTheme="minorHAnsi" w:cstheme="minorHAnsi"/>
                <w:sz w:val="22"/>
                <w:szCs w:val="22"/>
              </w:rPr>
              <w:t xml:space="preserve">Wątpliwość budzi kwestia przetwarzania danych osobowych w postaci numeru PESEL profesjonalnych pełnomocników. Numery PESEL przetwarzane przez poszczególne samorządy nie stanowią danej jawnej i dostępnej. Weryfikacja i wyszukiwanie pełnomocników w bazach danych prowadzonych przez poszczególne samorządy zawodowe następuje w oparciu o imię i nazwisko lub numer wpisu. Część radców prawnych wykonuje zawód na podstawie stosunku pracy, w związku z tym ich numer PESEL nie jest ujawniany w CEiDG lub KRS. W projektowanym art. 60 ust. 3b pkt 1 ustawy o doręczeniach elektronicznych zaproponowano, aby dane, o których mowa w art. 60 ust. 1 pkt 2 tej ustawy, a więc również numery PESEL m.in. profesjonalnych </w:t>
            </w:r>
            <w:r w:rsidRPr="002555AC">
              <w:rPr>
                <w:rFonts w:asciiTheme="minorHAnsi" w:eastAsiaTheme="majorEastAsia" w:hAnsiTheme="minorHAnsi" w:cstheme="minorHAnsi"/>
                <w:sz w:val="22"/>
                <w:szCs w:val="22"/>
              </w:rPr>
              <w:lastRenderedPageBreak/>
              <w:t>pełnomocników, były udostępniane podmiotom innym niż publiczne na potrzeby wyszukania adresu do doręczeń elektronicznych. W tym miejscu można wskazać, że zgodnie z obowiązującym od dnia 1 marca 2026 r. art. 126 § 3 kpc w pełnomocnictwie składanym przy pierwszym piśmie wnoszonym do sądu przez profesjonalnego pełnomocnika, należy obligatoryjnie wskazać numer wpisu na właściwą listę prowadzoną przez samorządy zawodowe. Przed ujawnieniem się pełnomocnika zawodowego w toku postępowania sądowego lub sądowoadministracyjnego nie jest możliwa wymiana z nim korespondencji, kierowanej do reprezentowanej przez niego strony. Zarówno obowiązujące przepisy, jak i projektowane zmiany nie wprowadzają obowiązku dokonywania doręczeń drogą elektroniczną radcom prawnym/adwokatom występujących w konkretnej sprawie w charakterze prywatnym jako strona, a nie jako profesjonalny pełnomocnik. Natomiast w art. 391 kpa wprost uregulowano, że doręczenie pełnomocnikowi następuje na adres do doręczeń elektronicznych wskazany w podaniu. W związku z powyższym wystarczające wydaje się przetwarzanie w BAE numeru wpisu radcy prawnego/adwokata, a nie ich numerów PESEL. Wyszukiwanie pełnomocnika w bazie BAE, oprócz po imieniu i nazwisku, mogłoby być dokonywane po numerze wpisu. Jest to w całości dana jawna i ogólnie dostępna.</w:t>
            </w:r>
          </w:p>
        </w:tc>
        <w:tc>
          <w:tcPr>
            <w:tcW w:w="5812" w:type="dxa"/>
            <w:shd w:val="clear" w:color="auto" w:fill="auto"/>
          </w:tcPr>
          <w:p w:rsidR="002555AC" w:rsidRPr="0047573B" w:rsidRDefault="002555AC" w:rsidP="002555AC">
            <w:pPr>
              <w:rPr>
                <w:rFonts w:asciiTheme="minorHAnsi" w:eastAsiaTheme="majorEastAsia" w:hAnsiTheme="minorHAnsi" w:cstheme="minorHAnsi"/>
                <w:sz w:val="22"/>
                <w:szCs w:val="22"/>
              </w:rPr>
            </w:pPr>
            <w:r>
              <w:rPr>
                <w:rFonts w:asciiTheme="minorHAnsi" w:hAnsiTheme="minorHAnsi" w:cstheme="minorHAnsi"/>
                <w:spacing w:val="-4"/>
                <w:sz w:val="22"/>
                <w:szCs w:val="22"/>
              </w:rPr>
              <w:lastRenderedPageBreak/>
              <w:t>Z</w:t>
            </w:r>
            <w:r w:rsidRPr="001048A8">
              <w:rPr>
                <w:rFonts w:asciiTheme="minorHAnsi" w:hAnsiTheme="minorHAnsi" w:cstheme="minorHAnsi"/>
                <w:spacing w:val="-4"/>
                <w:sz w:val="22"/>
                <w:szCs w:val="22"/>
              </w:rPr>
              <w:t xml:space="preserve"> zakresu przekazywanych, a następie przetwarzanych w BAE danych </w:t>
            </w:r>
            <w:r>
              <w:rPr>
                <w:rFonts w:asciiTheme="minorHAnsi" w:hAnsiTheme="minorHAnsi" w:cstheme="minorHAnsi"/>
                <w:spacing w:val="-4"/>
                <w:sz w:val="22"/>
                <w:szCs w:val="22"/>
              </w:rPr>
              <w:t>proponujemy</w:t>
            </w:r>
            <w:r w:rsidRPr="001048A8">
              <w:rPr>
                <w:rFonts w:asciiTheme="minorHAnsi" w:hAnsiTheme="minorHAnsi" w:cstheme="minorHAnsi"/>
                <w:spacing w:val="-4"/>
                <w:sz w:val="22"/>
                <w:szCs w:val="22"/>
              </w:rPr>
              <w:t xml:space="preserve"> wykreślić numer PESEL</w:t>
            </w:r>
            <w:r>
              <w:rPr>
                <w:rFonts w:asciiTheme="minorHAnsi" w:hAnsiTheme="minorHAnsi" w:cstheme="minorHAnsi"/>
                <w:spacing w:val="-4"/>
                <w:sz w:val="22"/>
                <w:szCs w:val="22"/>
              </w:rPr>
              <w:t xml:space="preserve"> profesjonalnego pełnomocnika</w:t>
            </w:r>
            <w:r w:rsidRPr="001048A8">
              <w:rPr>
                <w:rFonts w:asciiTheme="minorHAnsi" w:hAnsiTheme="minorHAnsi" w:cstheme="minorHAnsi"/>
                <w:spacing w:val="-4"/>
                <w:sz w:val="22"/>
                <w:szCs w:val="22"/>
              </w:rPr>
              <w:t>, jako zbędny do prawidłowej weryfikacji statusu profesjonalnego pełnomocnika.</w:t>
            </w:r>
            <w:r>
              <w:rPr>
                <w:rFonts w:asciiTheme="minorHAnsi" w:hAnsiTheme="minorHAnsi" w:cstheme="minorHAnsi"/>
                <w:spacing w:val="-4"/>
                <w:sz w:val="22"/>
                <w:szCs w:val="22"/>
              </w:rPr>
              <w:t xml:space="preserve"> </w:t>
            </w:r>
            <w:r w:rsidRPr="00A11F64">
              <w:rPr>
                <w:rFonts w:asciiTheme="minorHAnsi" w:hAnsiTheme="minorHAnsi" w:cstheme="minorHAnsi"/>
                <w:spacing w:val="-4"/>
                <w:sz w:val="22"/>
                <w:szCs w:val="22"/>
              </w:rPr>
              <w:t xml:space="preserve">Zgodnie z brzmieniem art. 4 projektu Krajowa Rada Radców Prawnych, jak i Naczelna Rada Adwokacka (art. 3 projektu) zapewnia ministrowi właściwemu do spraw informatyzacji stały i automatyczny dostęp do prowadzonych list za pośrednictwem systemu teleinformatycznego w zakresie imienia i nazwiska radcy prawnego/adwokata, nr PESEL, daty uchwały o wpisie na listę i numerze wpisu na listę, daty uchwały o skreśleniu z listy, informacji o zwieszeniu prawa do wykonywania zawodu radcy prawnego/adwokata, formy wykonywania zawodu i adresu do doręczeń. Numer wpisu jest adekwatną i wystarczająca daną umożliwiającą odszukanie i zweryfikowanie w BAE profesjonalnego pełnomocnika, więc nie ma konieczności </w:t>
            </w:r>
            <w:r w:rsidRPr="00A11F64">
              <w:rPr>
                <w:rFonts w:asciiTheme="minorHAnsi" w:hAnsiTheme="minorHAnsi" w:cstheme="minorHAnsi"/>
                <w:spacing w:val="-4"/>
                <w:sz w:val="22"/>
                <w:szCs w:val="22"/>
              </w:rPr>
              <w:lastRenderedPageBreak/>
              <w:t>przetwarzania przez podmioty niepubliczne danej osobowej w postaci numeru PESEL.</w:t>
            </w:r>
          </w:p>
        </w:tc>
        <w:tc>
          <w:tcPr>
            <w:tcW w:w="1359" w:type="dxa"/>
          </w:tcPr>
          <w:p w:rsidR="002555AC" w:rsidRPr="00A06425" w:rsidRDefault="002555AC" w:rsidP="004D086F">
            <w:pPr>
              <w:jc w:val="center"/>
              <w:rPr>
                <w:rFonts w:asciiTheme="minorHAnsi" w:hAnsiTheme="minorHAnsi" w:cstheme="minorHAnsi"/>
                <w:sz w:val="22"/>
                <w:szCs w:val="22"/>
              </w:rPr>
            </w:pPr>
          </w:p>
        </w:tc>
      </w:tr>
      <w:tr w:rsidR="00A06425" w:rsidRPr="00A06425" w:rsidTr="00A06425">
        <w:tc>
          <w:tcPr>
            <w:tcW w:w="562" w:type="dxa"/>
            <w:shd w:val="clear" w:color="auto" w:fill="auto"/>
          </w:tcPr>
          <w:p w:rsidR="00A06425" w:rsidRPr="00A06425" w:rsidRDefault="00A06425" w:rsidP="00A06425">
            <w:pPr>
              <w:spacing w:before="120" w:after="120"/>
              <w:jc w:val="center"/>
              <w:rPr>
                <w:rFonts w:asciiTheme="minorHAnsi" w:hAnsiTheme="minorHAnsi" w:cstheme="minorHAnsi"/>
                <w:b/>
                <w:sz w:val="22"/>
                <w:szCs w:val="22"/>
              </w:rPr>
            </w:pPr>
            <w:r w:rsidRPr="00A06425">
              <w:rPr>
                <w:rFonts w:asciiTheme="minorHAnsi" w:hAnsiTheme="minorHAnsi" w:cstheme="minorHAnsi"/>
                <w:b/>
                <w:sz w:val="22"/>
                <w:szCs w:val="22"/>
              </w:rPr>
              <w:t>2</w:t>
            </w:r>
          </w:p>
        </w:tc>
        <w:tc>
          <w:tcPr>
            <w:tcW w:w="1134" w:type="dxa"/>
            <w:shd w:val="clear" w:color="auto" w:fill="auto"/>
          </w:tcPr>
          <w:p w:rsidR="00A06425" w:rsidRPr="00A06425" w:rsidRDefault="0047573B" w:rsidP="004D086F">
            <w:pPr>
              <w:spacing w:before="60" w:after="60"/>
              <w:jc w:val="center"/>
              <w:rPr>
                <w:rFonts w:asciiTheme="minorHAnsi" w:hAnsiTheme="minorHAnsi" w:cstheme="minorHAnsi"/>
                <w:b/>
                <w:sz w:val="22"/>
                <w:szCs w:val="22"/>
              </w:rPr>
            </w:pPr>
            <w:r>
              <w:rPr>
                <w:rFonts w:asciiTheme="minorHAnsi" w:hAnsiTheme="minorHAnsi" w:cstheme="minorHAnsi"/>
                <w:b/>
                <w:sz w:val="22"/>
                <w:szCs w:val="22"/>
              </w:rPr>
              <w:t>MSWiA</w:t>
            </w:r>
          </w:p>
        </w:tc>
        <w:tc>
          <w:tcPr>
            <w:tcW w:w="1843" w:type="dxa"/>
            <w:shd w:val="clear" w:color="auto" w:fill="auto"/>
          </w:tcPr>
          <w:p w:rsidR="00A06425" w:rsidRPr="00A06425" w:rsidRDefault="0047573B" w:rsidP="004D086F">
            <w:pPr>
              <w:jc w:val="center"/>
              <w:rPr>
                <w:rFonts w:asciiTheme="minorHAnsi" w:hAnsiTheme="minorHAnsi" w:cstheme="minorHAnsi"/>
                <w:sz w:val="22"/>
                <w:szCs w:val="22"/>
              </w:rPr>
            </w:pPr>
            <w:r>
              <w:rPr>
                <w:rFonts w:asciiTheme="minorHAnsi" w:hAnsiTheme="minorHAnsi" w:cstheme="minorHAnsi"/>
                <w:sz w:val="22"/>
                <w:szCs w:val="22"/>
              </w:rPr>
              <w:t>art. 2</w:t>
            </w:r>
          </w:p>
        </w:tc>
        <w:tc>
          <w:tcPr>
            <w:tcW w:w="4678" w:type="dxa"/>
            <w:shd w:val="clear" w:color="auto" w:fill="auto"/>
          </w:tcPr>
          <w:p w:rsidR="0047573B" w:rsidRPr="0047573B" w:rsidRDefault="0047573B" w:rsidP="0047573B">
            <w:pPr>
              <w:rPr>
                <w:rFonts w:asciiTheme="minorHAnsi" w:eastAsiaTheme="majorEastAsia" w:hAnsiTheme="minorHAnsi" w:cstheme="minorHAnsi"/>
                <w:sz w:val="22"/>
                <w:szCs w:val="22"/>
              </w:rPr>
            </w:pPr>
            <w:r w:rsidRPr="0047573B">
              <w:rPr>
                <w:rFonts w:asciiTheme="minorHAnsi" w:eastAsiaTheme="majorEastAsia" w:hAnsiTheme="minorHAnsi" w:cstheme="minorHAnsi"/>
                <w:sz w:val="22"/>
                <w:szCs w:val="22"/>
              </w:rPr>
              <w:t>Zgodnie z projektowanym przepisem:</w:t>
            </w:r>
          </w:p>
          <w:p w:rsidR="0047573B" w:rsidRPr="0047573B" w:rsidRDefault="0047573B" w:rsidP="0047573B">
            <w:pPr>
              <w:rPr>
                <w:rFonts w:asciiTheme="minorHAnsi" w:eastAsiaTheme="majorEastAsia" w:hAnsiTheme="minorHAnsi" w:cstheme="minorHAnsi"/>
                <w:i/>
                <w:sz w:val="22"/>
                <w:szCs w:val="22"/>
              </w:rPr>
            </w:pPr>
            <w:r w:rsidRPr="0047573B">
              <w:rPr>
                <w:rFonts w:asciiTheme="minorHAnsi" w:eastAsiaTheme="majorEastAsia" w:hAnsiTheme="minorHAnsi" w:cstheme="minorHAnsi"/>
                <w:i/>
                <w:sz w:val="22"/>
                <w:szCs w:val="22"/>
              </w:rPr>
              <w:t>§ 2a. Pierwsze podanie w sprawie powinno ponadto zawierać:</w:t>
            </w:r>
          </w:p>
          <w:p w:rsidR="0047573B" w:rsidRPr="0047573B" w:rsidRDefault="0047573B" w:rsidP="0047573B">
            <w:pPr>
              <w:rPr>
                <w:rFonts w:asciiTheme="minorHAnsi" w:eastAsiaTheme="majorEastAsia" w:hAnsiTheme="minorHAnsi" w:cstheme="minorHAnsi"/>
                <w:i/>
                <w:sz w:val="22"/>
                <w:szCs w:val="22"/>
              </w:rPr>
            </w:pPr>
            <w:r w:rsidRPr="0047573B">
              <w:rPr>
                <w:rFonts w:asciiTheme="minorHAnsi" w:eastAsiaTheme="majorEastAsia" w:hAnsiTheme="minorHAnsi" w:cstheme="minorHAnsi"/>
                <w:i/>
                <w:sz w:val="22"/>
                <w:szCs w:val="22"/>
              </w:rPr>
              <w:t xml:space="preserve"> 1)</w:t>
            </w:r>
            <w:r w:rsidRPr="0047573B">
              <w:rPr>
                <w:rFonts w:asciiTheme="minorHAnsi" w:eastAsiaTheme="majorEastAsia" w:hAnsiTheme="minorHAnsi" w:cstheme="minorHAnsi"/>
                <w:i/>
                <w:sz w:val="22"/>
                <w:szCs w:val="22"/>
              </w:rPr>
              <w:tab/>
              <w:t xml:space="preserve">numer Powszechnego Elektronicznego Systemu Ewidencji Ludności (PESEL) strony wnoszącej podanie, będącej osobą fizyczną, oraz </w:t>
            </w:r>
            <w:r w:rsidRPr="0047573B">
              <w:rPr>
                <w:rFonts w:asciiTheme="minorHAnsi" w:eastAsiaTheme="majorEastAsia" w:hAnsiTheme="minorHAnsi" w:cstheme="minorHAnsi"/>
                <w:i/>
                <w:sz w:val="22"/>
                <w:szCs w:val="22"/>
              </w:rPr>
              <w:lastRenderedPageBreak/>
              <w:t>numer PESEL jej przedstawiciela, a jeżeli nie został nadany to:</w:t>
            </w:r>
          </w:p>
          <w:p w:rsidR="0047573B" w:rsidRPr="0047573B" w:rsidRDefault="0047573B" w:rsidP="0047573B">
            <w:pPr>
              <w:rPr>
                <w:rFonts w:asciiTheme="minorHAnsi" w:eastAsiaTheme="majorEastAsia" w:hAnsiTheme="minorHAnsi" w:cstheme="minorHAnsi"/>
                <w:i/>
                <w:sz w:val="22"/>
                <w:szCs w:val="22"/>
              </w:rPr>
            </w:pPr>
            <w:r w:rsidRPr="0047573B">
              <w:rPr>
                <w:rFonts w:asciiTheme="minorHAnsi" w:eastAsiaTheme="majorEastAsia" w:hAnsiTheme="minorHAnsi" w:cstheme="minorHAnsi"/>
                <w:i/>
                <w:sz w:val="22"/>
                <w:szCs w:val="22"/>
              </w:rPr>
              <w:t>a)</w:t>
            </w:r>
            <w:r w:rsidRPr="0047573B">
              <w:rPr>
                <w:rFonts w:asciiTheme="minorHAnsi" w:eastAsiaTheme="majorEastAsia" w:hAnsiTheme="minorHAnsi" w:cstheme="minorHAnsi"/>
                <w:i/>
                <w:sz w:val="22"/>
                <w:szCs w:val="22"/>
              </w:rPr>
              <w:tab/>
              <w:t>niepowtarzalny identyfikator nadany przez państwo członkowskie Unii Europejskiej dla celów transgranicznej identyfikacji, o którym mowa w rozporządzeniu wykonawczym Komisji (UE) 2015/1501 z dnia 8 września 2015 r. w sprawie ram interoperacyjności na podstawie art. 12 ust. 8 rozporządzenia Parlamentu Europejskiego i Rady (UE) nr 910/2014 w sprawie identyfikacji elektronicznej i usług zaufania w odniesieniu do transakcji elektronicznych na rynku wewnętrznym (Dz. Urz. UE L 235 z 09.09.2015, str. 1, z późn. zm.), albo</w:t>
            </w:r>
          </w:p>
          <w:p w:rsidR="0047573B" w:rsidRPr="0047573B" w:rsidRDefault="0047573B" w:rsidP="0047573B">
            <w:pPr>
              <w:rPr>
                <w:rFonts w:asciiTheme="minorHAnsi" w:eastAsiaTheme="majorEastAsia" w:hAnsiTheme="minorHAnsi" w:cstheme="minorHAnsi"/>
                <w:i/>
                <w:sz w:val="22"/>
                <w:szCs w:val="22"/>
              </w:rPr>
            </w:pPr>
            <w:r w:rsidRPr="0047573B">
              <w:rPr>
                <w:rFonts w:asciiTheme="minorHAnsi" w:eastAsiaTheme="majorEastAsia" w:hAnsiTheme="minorHAnsi" w:cstheme="minorHAnsi"/>
                <w:i/>
                <w:sz w:val="22"/>
                <w:szCs w:val="22"/>
              </w:rPr>
              <w:t>b)</w:t>
            </w:r>
            <w:r w:rsidRPr="0047573B">
              <w:rPr>
                <w:rFonts w:asciiTheme="minorHAnsi" w:eastAsiaTheme="majorEastAsia" w:hAnsiTheme="minorHAnsi" w:cstheme="minorHAnsi"/>
                <w:i/>
                <w:sz w:val="22"/>
                <w:szCs w:val="22"/>
              </w:rPr>
              <w:tab/>
              <w:t>inny numer identyfikacyjny wraz z określeniem jego rodzaju, albo</w:t>
            </w:r>
          </w:p>
          <w:p w:rsidR="0047573B" w:rsidRPr="0047573B" w:rsidRDefault="0047573B" w:rsidP="0047573B">
            <w:pPr>
              <w:rPr>
                <w:rFonts w:asciiTheme="minorHAnsi" w:eastAsiaTheme="majorEastAsia" w:hAnsiTheme="minorHAnsi" w:cstheme="minorHAnsi"/>
                <w:i/>
                <w:sz w:val="22"/>
                <w:szCs w:val="22"/>
              </w:rPr>
            </w:pPr>
            <w:r w:rsidRPr="0047573B">
              <w:rPr>
                <w:rFonts w:asciiTheme="minorHAnsi" w:eastAsiaTheme="majorEastAsia" w:hAnsiTheme="minorHAnsi" w:cstheme="minorHAnsi"/>
                <w:i/>
                <w:sz w:val="22"/>
                <w:szCs w:val="22"/>
              </w:rPr>
              <w:t>c)</w:t>
            </w:r>
            <w:r w:rsidRPr="0047573B">
              <w:rPr>
                <w:rFonts w:asciiTheme="minorHAnsi" w:eastAsiaTheme="majorEastAsia" w:hAnsiTheme="minorHAnsi" w:cstheme="minorHAnsi"/>
                <w:i/>
                <w:sz w:val="22"/>
                <w:szCs w:val="22"/>
              </w:rPr>
              <w:tab/>
              <w:t>seria i numeru paszportu lub innego dokumentu stwierdzającego tożsamość;</w:t>
            </w:r>
          </w:p>
          <w:p w:rsidR="006312E8" w:rsidRPr="006312E8" w:rsidRDefault="0047573B" w:rsidP="006312E8">
            <w:pPr>
              <w:rPr>
                <w:rFonts w:asciiTheme="minorHAnsi" w:eastAsiaTheme="majorEastAsia" w:hAnsiTheme="minorHAnsi" w:cstheme="minorHAnsi"/>
                <w:i/>
                <w:sz w:val="22"/>
                <w:szCs w:val="22"/>
              </w:rPr>
            </w:pPr>
            <w:r w:rsidRPr="0047573B">
              <w:rPr>
                <w:rFonts w:asciiTheme="minorHAnsi" w:eastAsiaTheme="majorEastAsia" w:hAnsiTheme="minorHAnsi" w:cstheme="minorHAnsi"/>
                <w:i/>
                <w:sz w:val="22"/>
                <w:szCs w:val="22"/>
              </w:rPr>
              <w:t>2)</w:t>
            </w:r>
            <w:r w:rsidRPr="0047573B">
              <w:rPr>
                <w:rFonts w:asciiTheme="minorHAnsi" w:eastAsiaTheme="majorEastAsia" w:hAnsiTheme="minorHAnsi" w:cstheme="minorHAnsi"/>
                <w:i/>
                <w:sz w:val="22"/>
                <w:szCs w:val="22"/>
              </w:rPr>
              <w:tab/>
              <w:t xml:space="preserve">numer w Krajowym Rejestrze Sądowym, a w przypadku jego braku – numer identyfikacyjny REGON albo numer w innym właściwym rejestrze lub ewidencji, albo numer identyfikacji podatkowej strony wnoszącej pismo, niebędącej osobą fizyczną, która nie ma obowiązku wpisu we właściwym rejestrze lub ewidencji, jeżeli jest ona obowiązana do jego posiadania, albo inny numer </w:t>
            </w:r>
            <w:r w:rsidRPr="006312E8">
              <w:rPr>
                <w:rFonts w:asciiTheme="minorHAnsi" w:eastAsiaTheme="majorEastAsia" w:hAnsiTheme="minorHAnsi" w:cstheme="minorHAnsi"/>
                <w:i/>
                <w:sz w:val="22"/>
                <w:szCs w:val="22"/>
              </w:rPr>
              <w:t>identyfikacyjny wraz z określeniem jego rodzaju.</w:t>
            </w:r>
          </w:p>
          <w:p w:rsidR="006312E8" w:rsidRDefault="006312E8" w:rsidP="006312E8">
            <w:pPr>
              <w:rPr>
                <w:rFonts w:asciiTheme="minorHAnsi" w:eastAsiaTheme="majorEastAsia" w:hAnsiTheme="minorHAnsi" w:cstheme="minorHAnsi"/>
                <w:sz w:val="22"/>
                <w:szCs w:val="22"/>
              </w:rPr>
            </w:pPr>
          </w:p>
          <w:p w:rsidR="006312E8" w:rsidRPr="006312E8" w:rsidRDefault="0047573B" w:rsidP="006312E8">
            <w:pPr>
              <w:rPr>
                <w:rFonts w:asciiTheme="minorHAnsi" w:eastAsiaTheme="majorEastAsia" w:hAnsiTheme="minorHAnsi" w:cstheme="minorHAnsi"/>
                <w:i/>
                <w:sz w:val="22"/>
                <w:szCs w:val="22"/>
              </w:rPr>
            </w:pPr>
            <w:r w:rsidRPr="006312E8">
              <w:rPr>
                <w:rFonts w:asciiTheme="minorHAnsi" w:eastAsiaTheme="majorEastAsia" w:hAnsiTheme="minorHAnsi" w:cstheme="minorHAnsi"/>
                <w:sz w:val="22"/>
                <w:szCs w:val="22"/>
              </w:rPr>
              <w:t xml:space="preserve">Wątpliwości budzi możliwość wskazania, jako danej identyfikującej osobę lub podmiot wnoszący podanie, innego numeru identyfikacyjnego wraz z określeniem jego rodzaju. Jak się wydaje zastosowane w projektowanym przepisie ogólne sformułowanie dotyczące innego numeru identyfikacyjnego sugeruje możliwość wskazania jakiegokolwiek identyfikatora (np. numeru identyfikacyjnego w zakładzie pracy, numeru identyfikacyjnego </w:t>
            </w:r>
            <w:r w:rsidRPr="006312E8">
              <w:rPr>
                <w:rFonts w:asciiTheme="minorHAnsi" w:eastAsiaTheme="majorEastAsia" w:hAnsiTheme="minorHAnsi" w:cstheme="minorHAnsi"/>
                <w:sz w:val="22"/>
                <w:szCs w:val="22"/>
              </w:rPr>
              <w:lastRenderedPageBreak/>
              <w:t>pacjenta w danej przychodni), co w praktyce nie pozwoli na identyfikację strony postępowania administracyjnego z wykorzystaniem takiego numeru. W związku z tym zasadnym jest określenie w projektowanym przepisie identyfikatorów powszechnie występujących w kontaktach z organami administracji publicznej, których weryfikacja będzie możliwa w ramach prowadzonego postępowania administracyjnego. Wydaje się, że takim identyfikatorem mógłby być numer identyfikacji podatkowej NIP, wymieniony w pkt 2 projektowanego przepisu, który jest także identyfikatorem osób fizycznych prowadzących jednoosobową działalność gospodarczą.</w:t>
            </w:r>
          </w:p>
          <w:p w:rsidR="006312E8" w:rsidRPr="006312E8" w:rsidRDefault="006312E8" w:rsidP="006312E8">
            <w:pPr>
              <w:rPr>
                <w:rFonts w:asciiTheme="minorHAnsi" w:eastAsiaTheme="majorEastAsia" w:hAnsiTheme="minorHAnsi" w:cstheme="minorHAnsi"/>
                <w:i/>
                <w:sz w:val="22"/>
                <w:szCs w:val="22"/>
              </w:rPr>
            </w:pPr>
          </w:p>
          <w:p w:rsidR="006312E8" w:rsidRPr="006312E8" w:rsidRDefault="0047573B" w:rsidP="006312E8">
            <w:pPr>
              <w:rPr>
                <w:rFonts w:asciiTheme="minorHAnsi" w:eastAsiaTheme="majorEastAsia" w:hAnsiTheme="minorHAnsi" w:cstheme="minorHAnsi"/>
                <w:i/>
                <w:sz w:val="22"/>
                <w:szCs w:val="22"/>
              </w:rPr>
            </w:pPr>
            <w:r w:rsidRPr="006312E8">
              <w:rPr>
                <w:rFonts w:asciiTheme="minorHAnsi" w:eastAsiaTheme="majorEastAsia" w:hAnsiTheme="minorHAnsi" w:cstheme="minorHAnsi"/>
                <w:sz w:val="22"/>
                <w:szCs w:val="22"/>
              </w:rPr>
              <w:t>Pod rozwagę poddaję zastąpienie sformułowania: seria i numeru paszportu lub innego dokumentu stwierdzającego tożsamość sformułowaniem: rodzaj, seria i numer dokumentu potwierdzającego tożsamość.</w:t>
            </w:r>
          </w:p>
          <w:p w:rsidR="006312E8" w:rsidRPr="006312E8" w:rsidRDefault="006312E8" w:rsidP="006312E8">
            <w:pPr>
              <w:rPr>
                <w:rFonts w:asciiTheme="minorHAnsi" w:eastAsiaTheme="majorEastAsia" w:hAnsiTheme="minorHAnsi" w:cstheme="minorHAnsi"/>
                <w:i/>
                <w:sz w:val="22"/>
                <w:szCs w:val="22"/>
              </w:rPr>
            </w:pPr>
          </w:p>
          <w:p w:rsidR="00421A63" w:rsidRPr="00421A63" w:rsidRDefault="0047573B" w:rsidP="006312E8">
            <w:pPr>
              <w:rPr>
                <w:rFonts w:asciiTheme="minorHAnsi" w:eastAsiaTheme="majorEastAsia" w:hAnsiTheme="minorHAnsi" w:cstheme="minorHAnsi"/>
                <w:sz w:val="22"/>
                <w:szCs w:val="22"/>
              </w:rPr>
            </w:pPr>
            <w:r w:rsidRPr="006312E8">
              <w:rPr>
                <w:rFonts w:asciiTheme="minorHAnsi" w:eastAsiaTheme="majorEastAsia" w:hAnsiTheme="minorHAnsi" w:cstheme="minorHAnsi"/>
                <w:sz w:val="22"/>
                <w:szCs w:val="22"/>
              </w:rPr>
              <w:t>Przepisy kpa przewidują możliwość udziału w postępowaniu administracyjnym przedstawiciela strony oraz jej pełnomocnika. W związku z tym projektowana regulacja wymaga analizy brzmienia projektowanego przepisu pod kątem zastosowanego w nim sformułowania przedstawiciela strony wnoszącej podanie będącej osobą fizyczną.</w:t>
            </w:r>
          </w:p>
        </w:tc>
        <w:tc>
          <w:tcPr>
            <w:tcW w:w="5812" w:type="dxa"/>
            <w:shd w:val="clear" w:color="auto" w:fill="auto"/>
          </w:tcPr>
          <w:p w:rsidR="00A06425" w:rsidRPr="0047573B" w:rsidRDefault="0047573B" w:rsidP="0047573B">
            <w:pPr>
              <w:jc w:val="center"/>
              <w:rPr>
                <w:rFonts w:asciiTheme="minorHAnsi" w:eastAsiaTheme="majorEastAsia" w:hAnsiTheme="minorHAnsi" w:cstheme="minorHAnsi"/>
                <w:sz w:val="22"/>
                <w:szCs w:val="22"/>
              </w:rPr>
            </w:pPr>
            <w:r w:rsidRPr="0047573B">
              <w:rPr>
                <w:rFonts w:asciiTheme="minorHAnsi" w:eastAsiaTheme="majorEastAsia" w:hAnsiTheme="minorHAnsi" w:cstheme="minorHAnsi"/>
                <w:sz w:val="22"/>
                <w:szCs w:val="22"/>
              </w:rPr>
              <w:lastRenderedPageBreak/>
              <w:t>Jak w treści uwagi.</w:t>
            </w:r>
          </w:p>
        </w:tc>
        <w:tc>
          <w:tcPr>
            <w:tcW w:w="1359" w:type="dxa"/>
          </w:tcPr>
          <w:p w:rsidR="00A06425" w:rsidRPr="00A06425" w:rsidRDefault="00A06425" w:rsidP="004D086F">
            <w:pPr>
              <w:jc w:val="center"/>
              <w:rPr>
                <w:rFonts w:asciiTheme="minorHAnsi" w:hAnsiTheme="minorHAnsi" w:cstheme="minorHAnsi"/>
                <w:sz w:val="22"/>
                <w:szCs w:val="22"/>
              </w:rPr>
            </w:pPr>
          </w:p>
        </w:tc>
      </w:tr>
      <w:tr w:rsidR="00421A63" w:rsidRPr="00A06425" w:rsidTr="00A06425">
        <w:tc>
          <w:tcPr>
            <w:tcW w:w="562" w:type="dxa"/>
            <w:shd w:val="clear" w:color="auto" w:fill="auto"/>
          </w:tcPr>
          <w:p w:rsidR="00421A63" w:rsidRPr="00A06425" w:rsidRDefault="00421A63" w:rsidP="00421A63">
            <w:pPr>
              <w:spacing w:before="120" w:after="120"/>
              <w:jc w:val="center"/>
              <w:rPr>
                <w:rFonts w:asciiTheme="minorHAnsi" w:hAnsiTheme="minorHAnsi" w:cstheme="minorHAnsi"/>
                <w:b/>
                <w:sz w:val="22"/>
                <w:szCs w:val="22"/>
              </w:rPr>
            </w:pPr>
            <w:r w:rsidRPr="00A06425">
              <w:rPr>
                <w:rFonts w:asciiTheme="minorHAnsi" w:hAnsiTheme="minorHAnsi" w:cstheme="minorHAnsi"/>
                <w:b/>
                <w:sz w:val="22"/>
                <w:szCs w:val="22"/>
              </w:rPr>
              <w:lastRenderedPageBreak/>
              <w:t>3</w:t>
            </w:r>
          </w:p>
        </w:tc>
        <w:tc>
          <w:tcPr>
            <w:tcW w:w="1134" w:type="dxa"/>
            <w:shd w:val="clear" w:color="auto" w:fill="auto"/>
          </w:tcPr>
          <w:p w:rsidR="00421A63" w:rsidRPr="00A06425" w:rsidRDefault="00421A63" w:rsidP="00421A63">
            <w:pPr>
              <w:spacing w:before="60" w:after="60"/>
              <w:jc w:val="center"/>
              <w:rPr>
                <w:rFonts w:asciiTheme="minorHAnsi" w:hAnsiTheme="minorHAnsi" w:cstheme="minorHAnsi"/>
                <w:b/>
                <w:sz w:val="22"/>
                <w:szCs w:val="22"/>
              </w:rPr>
            </w:pPr>
            <w:r>
              <w:rPr>
                <w:rFonts w:asciiTheme="minorHAnsi" w:hAnsiTheme="minorHAnsi" w:cstheme="minorHAnsi"/>
                <w:b/>
                <w:sz w:val="22"/>
                <w:szCs w:val="22"/>
              </w:rPr>
              <w:t>MSWiA</w:t>
            </w:r>
          </w:p>
        </w:tc>
        <w:tc>
          <w:tcPr>
            <w:tcW w:w="1843" w:type="dxa"/>
            <w:shd w:val="clear" w:color="auto" w:fill="auto"/>
          </w:tcPr>
          <w:p w:rsidR="00421A63" w:rsidRPr="00A06425" w:rsidRDefault="00421A63" w:rsidP="00421A63">
            <w:pPr>
              <w:jc w:val="center"/>
              <w:rPr>
                <w:rFonts w:asciiTheme="minorHAnsi" w:hAnsiTheme="minorHAnsi" w:cstheme="minorHAnsi"/>
                <w:sz w:val="22"/>
                <w:szCs w:val="22"/>
              </w:rPr>
            </w:pPr>
            <w:r>
              <w:rPr>
                <w:rFonts w:asciiTheme="minorHAnsi" w:hAnsiTheme="minorHAnsi" w:cstheme="minorHAnsi"/>
                <w:sz w:val="22"/>
                <w:szCs w:val="22"/>
              </w:rPr>
              <w:t>art. 2</w:t>
            </w:r>
          </w:p>
        </w:tc>
        <w:tc>
          <w:tcPr>
            <w:tcW w:w="4678" w:type="dxa"/>
            <w:shd w:val="clear" w:color="auto" w:fill="auto"/>
          </w:tcPr>
          <w:p w:rsidR="00421A63" w:rsidRPr="00EE1A8B" w:rsidRDefault="00421A63" w:rsidP="00421A63">
            <w:pPr>
              <w:tabs>
                <w:tab w:val="left" w:pos="1265"/>
              </w:tabs>
              <w:rPr>
                <w:rFonts w:ascii="Lato" w:hAnsi="Lato" w:cstheme="minorHAnsi"/>
                <w:sz w:val="22"/>
                <w:szCs w:val="22"/>
              </w:rPr>
            </w:pPr>
            <w:r w:rsidRPr="00EE1A8B">
              <w:rPr>
                <w:rFonts w:ascii="Lato" w:hAnsi="Lato"/>
                <w:spacing w:val="6"/>
                <w:sz w:val="20"/>
                <w:szCs w:val="20"/>
              </w:rPr>
              <w:t xml:space="preserve">Wprowadzony w projektowanym przepisie obowiązek podawania numeru PESEL w pierwszym piśmie procesowym jedynie w postępowaniach wszczynanych „na  wniosek”, a braku analogicznego wymogu w postępowaniach wszczynanych „z urzędu” godzi w zasadę równości wobec prawa. Dodatkowo organy administracji publicznej prowadzące postępowania administracyjne wszczynane „z urzędu” z udziałem osób fizycznych mogą – w sposób niezamierzony – </w:t>
            </w:r>
            <w:r w:rsidRPr="00EE1A8B">
              <w:rPr>
                <w:rFonts w:ascii="Lato" w:hAnsi="Lato"/>
                <w:spacing w:val="6"/>
                <w:sz w:val="20"/>
                <w:szCs w:val="20"/>
              </w:rPr>
              <w:lastRenderedPageBreak/>
              <w:t xml:space="preserve">dopuszczać się naruszenia RODO w kontekście przetwarzania numeru PESEL, ponieważ wobec braku przyjęcia proponowanej uprzednio przez MSWiA uwagi doprecyzowania brzmienia art. 107 § 1 pkt 3 </w:t>
            </w:r>
            <w:r w:rsidRPr="00EE1A8B">
              <w:rPr>
                <w:rFonts w:ascii="Lato" w:hAnsi="Lato"/>
                <w:i/>
                <w:spacing w:val="6"/>
                <w:sz w:val="20"/>
                <w:szCs w:val="20"/>
              </w:rPr>
              <w:t>kpa</w:t>
            </w:r>
            <w:r w:rsidRPr="00EE1A8B">
              <w:rPr>
                <w:rFonts w:ascii="Lato" w:hAnsi="Lato"/>
                <w:spacing w:val="6"/>
                <w:sz w:val="20"/>
                <w:szCs w:val="20"/>
              </w:rPr>
              <w:t xml:space="preserve"> nie będzie można twierdzić, że numer PESEL postrzegany jako „dane osobowe” w rozumieniu art. 4 pkt 1 RODO przetwarzany będzie w oparciu o art. 6 ust. 1 lit. c RODO. Nieprzyjęcie zaproponowanej przez MSWiA uwagi dotyczącej art. 107 § 1 pkt 3 może spowodować powstanie sytuacji, w której z powodów dla ogółu obywateli niezrozumiałych, decyzje administracyjne kończące postępowania wszczynane „na wniosek” będą identyfikować stronę numerem PESEL, podczas gdy decyzje w postępowaniach wszczynanych „z urzędu” tego numeru posiadać nie będą. W związku z powyższym MSWiA nadal podtrzymuje swoją propozycję uzupełnienia przedmiotowego projektu ustawy o zmianę w art. 107 § 1 </w:t>
            </w:r>
            <w:r w:rsidRPr="00EE1A8B">
              <w:rPr>
                <w:rFonts w:ascii="Lato" w:hAnsi="Lato"/>
                <w:i/>
                <w:spacing w:val="6"/>
                <w:sz w:val="20"/>
                <w:szCs w:val="20"/>
              </w:rPr>
              <w:t>kpa</w:t>
            </w:r>
            <w:r w:rsidRPr="00EE1A8B">
              <w:rPr>
                <w:rFonts w:ascii="Lato" w:hAnsi="Lato"/>
                <w:spacing w:val="6"/>
                <w:sz w:val="20"/>
                <w:szCs w:val="20"/>
              </w:rPr>
              <w:t>, przez nadanie nowego brzmienia pkt 3.</w:t>
            </w:r>
          </w:p>
        </w:tc>
        <w:tc>
          <w:tcPr>
            <w:tcW w:w="5812" w:type="dxa"/>
            <w:shd w:val="clear" w:color="auto" w:fill="auto"/>
          </w:tcPr>
          <w:p w:rsidR="00421A63" w:rsidRPr="00EE1A8B" w:rsidRDefault="00421A63" w:rsidP="00421A63">
            <w:pPr>
              <w:rPr>
                <w:rFonts w:ascii="Lato" w:hAnsi="Lato" w:cstheme="minorHAnsi"/>
                <w:sz w:val="22"/>
                <w:szCs w:val="22"/>
              </w:rPr>
            </w:pPr>
            <w:r w:rsidRPr="00EE1A8B">
              <w:rPr>
                <w:rFonts w:ascii="Lato" w:hAnsi="Lato"/>
                <w:spacing w:val="6"/>
                <w:sz w:val="20"/>
                <w:szCs w:val="20"/>
              </w:rPr>
              <w:lastRenderedPageBreak/>
              <w:t xml:space="preserve">Proponuje się uzupełnienie przedmiotowego projektu ustawy o zmianę w art. 107 § 1 </w:t>
            </w:r>
            <w:r w:rsidRPr="00EE1A8B">
              <w:rPr>
                <w:rFonts w:ascii="Lato" w:hAnsi="Lato"/>
                <w:i/>
                <w:spacing w:val="6"/>
                <w:sz w:val="20"/>
                <w:szCs w:val="20"/>
              </w:rPr>
              <w:t>kpa</w:t>
            </w:r>
            <w:r w:rsidRPr="00EE1A8B">
              <w:rPr>
                <w:rFonts w:ascii="Lato" w:hAnsi="Lato"/>
                <w:spacing w:val="6"/>
                <w:sz w:val="20"/>
                <w:szCs w:val="20"/>
              </w:rPr>
              <w:t>, przez nadanie nowego brzmienia pkt 3.</w:t>
            </w:r>
          </w:p>
        </w:tc>
        <w:tc>
          <w:tcPr>
            <w:tcW w:w="1359" w:type="dxa"/>
          </w:tcPr>
          <w:p w:rsidR="00421A63" w:rsidRPr="00A06425" w:rsidRDefault="00421A63" w:rsidP="00421A63">
            <w:pPr>
              <w:jc w:val="center"/>
              <w:rPr>
                <w:rFonts w:asciiTheme="minorHAnsi" w:hAnsiTheme="minorHAnsi" w:cstheme="minorHAnsi"/>
                <w:sz w:val="22"/>
                <w:szCs w:val="22"/>
              </w:rPr>
            </w:pPr>
          </w:p>
        </w:tc>
      </w:tr>
      <w:tr w:rsidR="00421A63" w:rsidRPr="00A06425" w:rsidTr="00A06425">
        <w:tc>
          <w:tcPr>
            <w:tcW w:w="562" w:type="dxa"/>
            <w:shd w:val="clear" w:color="auto" w:fill="auto"/>
          </w:tcPr>
          <w:p w:rsidR="00421A63" w:rsidRPr="00A06425" w:rsidRDefault="00421A63" w:rsidP="00421A63">
            <w:pPr>
              <w:spacing w:before="120" w:after="120"/>
              <w:jc w:val="center"/>
              <w:rPr>
                <w:rFonts w:asciiTheme="minorHAnsi" w:hAnsiTheme="minorHAnsi" w:cstheme="minorHAnsi"/>
                <w:b/>
                <w:sz w:val="22"/>
                <w:szCs w:val="22"/>
              </w:rPr>
            </w:pPr>
            <w:r w:rsidRPr="00A06425">
              <w:rPr>
                <w:rFonts w:asciiTheme="minorHAnsi" w:hAnsiTheme="minorHAnsi" w:cstheme="minorHAnsi"/>
                <w:b/>
                <w:sz w:val="22"/>
                <w:szCs w:val="22"/>
              </w:rPr>
              <w:t>4</w:t>
            </w:r>
          </w:p>
        </w:tc>
        <w:tc>
          <w:tcPr>
            <w:tcW w:w="1134" w:type="dxa"/>
            <w:shd w:val="clear" w:color="auto" w:fill="auto"/>
          </w:tcPr>
          <w:p w:rsidR="00421A63" w:rsidRPr="00A06425" w:rsidRDefault="00421A63" w:rsidP="00421A63">
            <w:pPr>
              <w:spacing w:before="60" w:after="60"/>
              <w:jc w:val="center"/>
              <w:rPr>
                <w:rFonts w:asciiTheme="minorHAnsi" w:hAnsiTheme="minorHAnsi" w:cstheme="minorHAnsi"/>
                <w:b/>
                <w:sz w:val="22"/>
                <w:szCs w:val="22"/>
              </w:rPr>
            </w:pPr>
            <w:r>
              <w:rPr>
                <w:rFonts w:asciiTheme="minorHAnsi" w:hAnsiTheme="minorHAnsi" w:cstheme="minorHAnsi"/>
                <w:b/>
                <w:sz w:val="22"/>
                <w:szCs w:val="22"/>
              </w:rPr>
              <w:t>MSWiA</w:t>
            </w:r>
          </w:p>
        </w:tc>
        <w:tc>
          <w:tcPr>
            <w:tcW w:w="1843" w:type="dxa"/>
            <w:shd w:val="clear" w:color="auto" w:fill="auto"/>
          </w:tcPr>
          <w:p w:rsidR="00421A63" w:rsidRPr="00A06425" w:rsidRDefault="00421A63" w:rsidP="00421A63">
            <w:pPr>
              <w:jc w:val="center"/>
              <w:rPr>
                <w:rFonts w:asciiTheme="minorHAnsi" w:hAnsiTheme="minorHAnsi" w:cstheme="minorHAnsi"/>
                <w:sz w:val="22"/>
                <w:szCs w:val="22"/>
              </w:rPr>
            </w:pPr>
            <w:r>
              <w:rPr>
                <w:rFonts w:asciiTheme="minorHAnsi" w:hAnsiTheme="minorHAnsi" w:cstheme="minorHAnsi"/>
                <w:sz w:val="22"/>
                <w:szCs w:val="22"/>
              </w:rPr>
              <w:t>ogólna</w:t>
            </w:r>
          </w:p>
        </w:tc>
        <w:tc>
          <w:tcPr>
            <w:tcW w:w="4678" w:type="dxa"/>
            <w:shd w:val="clear" w:color="auto" w:fill="auto"/>
          </w:tcPr>
          <w:p w:rsidR="00421A63" w:rsidRDefault="00421A63" w:rsidP="00421A63">
            <w:pPr>
              <w:rPr>
                <w:rFonts w:ascii="Lato" w:hAnsi="Lato"/>
                <w:spacing w:val="6"/>
                <w:sz w:val="20"/>
                <w:szCs w:val="20"/>
              </w:rPr>
            </w:pPr>
            <w:r w:rsidRPr="00EE1A8B">
              <w:rPr>
                <w:rFonts w:ascii="Lato" w:hAnsi="Lato" w:cstheme="minorHAnsi"/>
                <w:sz w:val="20"/>
                <w:szCs w:val="20"/>
              </w:rPr>
              <w:t xml:space="preserve">W ślad za uwagą UODO zgłoszoną na wcześniejszych etapach opiniowania – należy także podnieść, że </w:t>
            </w:r>
            <w:r w:rsidRPr="00EE1A8B">
              <w:rPr>
                <w:rFonts w:ascii="Lato" w:hAnsi="Lato"/>
                <w:spacing w:val="6"/>
                <w:sz w:val="20"/>
                <w:szCs w:val="20"/>
              </w:rPr>
              <w:t xml:space="preserve">w projektowanych przepisach </w:t>
            </w:r>
            <w:r w:rsidRPr="00EE1A8B">
              <w:rPr>
                <w:rFonts w:ascii="Lato" w:hAnsi="Lato"/>
                <w:b/>
                <w:spacing w:val="6"/>
                <w:sz w:val="20"/>
                <w:szCs w:val="20"/>
                <w:u w:val="single"/>
              </w:rPr>
              <w:t xml:space="preserve">brak podstawy do </w:t>
            </w:r>
            <w:r w:rsidRPr="00EE1A8B">
              <w:rPr>
                <w:rFonts w:ascii="Lato" w:hAnsi="Lato"/>
                <w:b/>
                <w:bCs/>
                <w:spacing w:val="6"/>
                <w:sz w:val="20"/>
                <w:szCs w:val="20"/>
                <w:u w:val="single"/>
              </w:rPr>
              <w:t>wykorzystywania</w:t>
            </w:r>
            <w:r w:rsidRPr="00EE1A8B">
              <w:rPr>
                <w:rFonts w:ascii="Lato" w:hAnsi="Lato"/>
                <w:b/>
                <w:bCs/>
                <w:spacing w:val="6"/>
                <w:sz w:val="20"/>
                <w:szCs w:val="20"/>
              </w:rPr>
              <w:t xml:space="preserve"> numeru PESEL oraz prywatnego profilu mObywatela, profilu zaufanego oraz osobistej bankowości elektronicznej pracownika do celów służbowych, który jest wymagany w związku z utworzeniem adresu do doręczeń elektronicznych (ADE) </w:t>
            </w:r>
            <w:r w:rsidRPr="00EE1A8B">
              <w:rPr>
                <w:rFonts w:ascii="Lato" w:hAnsi="Lato"/>
                <w:spacing w:val="6"/>
                <w:sz w:val="20"/>
                <w:szCs w:val="20"/>
              </w:rPr>
              <w:t xml:space="preserve">i wskazywaniem tych osób jako administratora/ów oraz użytkowników skrzynki doręczeń, o których mowa w ustawie o doręczeniach elektronicznych. </w:t>
            </w:r>
          </w:p>
          <w:p w:rsidR="00421A63" w:rsidRPr="00EE1A8B" w:rsidRDefault="00421A63" w:rsidP="00421A63">
            <w:pPr>
              <w:rPr>
                <w:rFonts w:ascii="Lato" w:hAnsi="Lato"/>
                <w:i/>
                <w:spacing w:val="6"/>
                <w:sz w:val="20"/>
                <w:szCs w:val="20"/>
              </w:rPr>
            </w:pPr>
            <w:r>
              <w:rPr>
                <w:rFonts w:ascii="Lato" w:hAnsi="Lato"/>
                <w:spacing w:val="6"/>
                <w:sz w:val="20"/>
                <w:szCs w:val="20"/>
              </w:rPr>
              <w:t>IOD MSWIA jak najbardziej przychyla się do stanowiska UODO, że: „</w:t>
            </w:r>
            <w:r w:rsidRPr="00EE1A8B">
              <w:rPr>
                <w:rFonts w:ascii="Lato" w:hAnsi="Lato"/>
                <w:i/>
                <w:spacing w:val="6"/>
                <w:sz w:val="20"/>
                <w:szCs w:val="20"/>
              </w:rPr>
              <w:t xml:space="preserve">Osoby te, logując się do skrzynki doręczeń muszą skorzystać z mObywatela, Profilu Zaufanego, osobistej bankowości elektronicznej (na co wskazuje m.in. art. 19 ust. 4 ustawy o doręczeniach elektronicznych). Projektodawca w wyjaśnieniach </w:t>
            </w:r>
            <w:r w:rsidRPr="00EE1A8B">
              <w:rPr>
                <w:rFonts w:ascii="Lato" w:hAnsi="Lato"/>
                <w:i/>
                <w:spacing w:val="6"/>
                <w:sz w:val="20"/>
                <w:szCs w:val="20"/>
              </w:rPr>
              <w:lastRenderedPageBreak/>
              <w:t xml:space="preserve">w tabeli uwag (punkt 56) wskazał: „(…) w obowiązującym stanie prawnym nie funkcjonuje podział na „prywatne” i „służbowe” środki identyfikacji elektronicznej – takiego podziału nie wprowadzają przepisy rozporządzenia nr 910/2014, jak również przepisy ustawy z dnia 17 lutego 2005 r. o informatyzacji działalności podmiotów realizujących zadania publiczne (Dz. U. z 2024 r. poz. 1557 i 1717) czy też ustawy z dnia 5 września 2016 r. o usługach zaufania oraz identyfikacji elektronicznej (Dz. U. z 2024 r. poz. 1725). Każdy środek identyfikacji elektronicznej, wydawany w ramach systemu identyfikacji elektronicznej przyłączonego do węzła krajowego identyfikacji elektronicznej, o którym mowa w art. 21a ust. 1 pkt 1 ustawy z dnia 5 września 2016 r. o usługach zaufania oraz identyfikacji elektronicznej, może być użyty w celu uwierzytelnienia w systemie teleinformatycznym podmiotu publicznego – a ustawa nie wprowadza podziału na środki identyfikacji elektronicznej „aktywowane” do użycia w celu „prywatnym” czy też „służbowym”. Projektodawca stoi na stanowisku, że w obowiązującym stanie prawnym, w sytuacji gdy pracownik dobrowolnie zdecyduje się na użycie środka identyfikacji elektronicznej – np. profilu zaufanego – podmiot publiczny może, w oparciu o przepisy ustawy o doręczeniach elektronicznych oraz przepisy ustawy o usługach zaufania oraz identyfikacji elektronicznej, przetwarzać dane osobowe tej osoby w zakresie niezbędnym do realizacji procesu uwierzytelnienia. Zakres ten obejmuje m.in. imię, nazwisko, numer PESEL lub identyfikator środka identyfikacji (UUID), przekazywane zgodnie z art. 21a ust. 6 ustawy z dnia 5 września 2016 r.”. </w:t>
            </w:r>
            <w:r w:rsidRPr="00EE1A8B">
              <w:rPr>
                <w:rFonts w:ascii="Lato" w:hAnsi="Lato"/>
                <w:b/>
                <w:i/>
                <w:spacing w:val="6"/>
                <w:sz w:val="20"/>
                <w:szCs w:val="20"/>
              </w:rPr>
              <w:t xml:space="preserve">Osoba fizyczna uprawniona przez podmiot publiczny do korzystania z bazy adresów elektronicznych (czyli wykonywania obowiązków wynikających ze stosunku pracy) jest zobowiązana do ujawniania numeru PESEL, co jest niezgodne z zasadami wyrażonymi w art. 5 i art. 87 ogólnego rozporządzenia o ochronie </w:t>
            </w:r>
            <w:r w:rsidRPr="00EE1A8B">
              <w:rPr>
                <w:rFonts w:ascii="Lato" w:hAnsi="Lato"/>
                <w:b/>
                <w:i/>
                <w:spacing w:val="6"/>
                <w:sz w:val="20"/>
                <w:szCs w:val="20"/>
              </w:rPr>
              <w:lastRenderedPageBreak/>
              <w:t>danych oraz art. 22</w:t>
            </w:r>
            <w:r w:rsidRPr="00EE1A8B">
              <w:rPr>
                <w:rFonts w:ascii="Lato" w:hAnsi="Lato"/>
                <w:b/>
                <w:i/>
                <w:spacing w:val="6"/>
                <w:sz w:val="20"/>
                <w:szCs w:val="20"/>
                <w:vertAlign w:val="superscript"/>
              </w:rPr>
              <w:t>1</w:t>
            </w:r>
            <w:r w:rsidRPr="00EE1A8B">
              <w:rPr>
                <w:rFonts w:ascii="Lato" w:hAnsi="Lato"/>
                <w:b/>
                <w:i/>
                <w:spacing w:val="6"/>
                <w:sz w:val="20"/>
                <w:szCs w:val="20"/>
              </w:rPr>
              <w:t xml:space="preserve"> ustawy z dnia 26 czerwca 1974 r. – Kodeks pracy.</w:t>
            </w:r>
            <w:r w:rsidRPr="00EE1A8B">
              <w:rPr>
                <w:rFonts w:ascii="Lato" w:hAnsi="Lato"/>
                <w:i/>
                <w:spacing w:val="6"/>
                <w:sz w:val="20"/>
                <w:szCs w:val="20"/>
              </w:rPr>
              <w:t xml:space="preserve"> </w:t>
            </w:r>
            <w:r w:rsidRPr="00EE1A8B">
              <w:rPr>
                <w:rFonts w:ascii="Lato" w:hAnsi="Lato"/>
                <w:i/>
                <w:spacing w:val="6"/>
                <w:sz w:val="20"/>
                <w:szCs w:val="20"/>
                <w:u w:val="single"/>
              </w:rPr>
              <w:t>Wykorzystywane środki identyfikacji powinny należeć do podmiotu publicznego, a nie być narzędziem pracownika jako osoby prywatnej.</w:t>
            </w:r>
            <w:r w:rsidRPr="00EE1A8B">
              <w:rPr>
                <w:rFonts w:ascii="Lato" w:hAnsi="Lato"/>
                <w:i/>
                <w:spacing w:val="6"/>
                <w:sz w:val="20"/>
                <w:szCs w:val="20"/>
              </w:rPr>
              <w:t xml:space="preserve"> Prawodawca nie wykazał powodów wprowadzenia takich rozwiązań w sytuacji, gdy tożsamość pracownika reprezentującego pracodawcę mogłaby być potwierdzana przez inne metody uwierzytelniania. </w:t>
            </w:r>
          </w:p>
          <w:p w:rsidR="00421A63" w:rsidRPr="00EE1A8B" w:rsidRDefault="00421A63" w:rsidP="00421A63">
            <w:pPr>
              <w:rPr>
                <w:rFonts w:ascii="Lato" w:hAnsi="Lato" w:cstheme="minorHAnsi"/>
                <w:sz w:val="20"/>
                <w:szCs w:val="20"/>
              </w:rPr>
            </w:pPr>
            <w:r w:rsidRPr="00EE1A8B">
              <w:rPr>
                <w:rFonts w:ascii="Lato" w:hAnsi="Lato"/>
                <w:i/>
                <w:spacing w:val="6"/>
                <w:sz w:val="20"/>
                <w:szCs w:val="20"/>
              </w:rPr>
              <w:t>Uwagi organu nadzorczego zawarte w przedmiotowym wystąpieniu związane z modelem dostępu do danych osobowych w związku z realizacją usługi doręczeń elektronicznych, nieuwzględnione w projektowanych przepisach, pozostają zatem aktualne</w:t>
            </w:r>
            <w:r>
              <w:rPr>
                <w:rFonts w:ascii="Lato" w:hAnsi="Lato"/>
                <w:i/>
                <w:spacing w:val="6"/>
                <w:sz w:val="20"/>
                <w:szCs w:val="20"/>
              </w:rPr>
              <w:t>”</w:t>
            </w:r>
            <w:r w:rsidRPr="00EE1A8B">
              <w:rPr>
                <w:rFonts w:ascii="Lato" w:hAnsi="Lato"/>
                <w:spacing w:val="6"/>
                <w:sz w:val="20"/>
                <w:szCs w:val="20"/>
              </w:rPr>
              <w:t>.</w:t>
            </w:r>
          </w:p>
        </w:tc>
        <w:tc>
          <w:tcPr>
            <w:tcW w:w="5812" w:type="dxa"/>
            <w:shd w:val="clear" w:color="auto" w:fill="auto"/>
          </w:tcPr>
          <w:p w:rsidR="00421A63" w:rsidRPr="00A06425" w:rsidRDefault="00421A63" w:rsidP="00421A63">
            <w:pPr>
              <w:rPr>
                <w:rFonts w:asciiTheme="minorHAnsi" w:hAnsiTheme="minorHAnsi" w:cstheme="minorHAnsi"/>
                <w:sz w:val="22"/>
                <w:szCs w:val="22"/>
              </w:rPr>
            </w:pPr>
            <w:r>
              <w:rPr>
                <w:rFonts w:asciiTheme="minorHAnsi" w:hAnsiTheme="minorHAnsi" w:cstheme="minorHAnsi"/>
                <w:sz w:val="22"/>
                <w:szCs w:val="22"/>
              </w:rPr>
              <w:lastRenderedPageBreak/>
              <w:t xml:space="preserve">Proponuje się nadać postawę prawną zobowiązującą pracownika do wykorzystania jego danych w celach służbowych lub wprowadzić inne sposoby uwierzytelniania </w:t>
            </w:r>
          </w:p>
        </w:tc>
        <w:tc>
          <w:tcPr>
            <w:tcW w:w="1359" w:type="dxa"/>
          </w:tcPr>
          <w:p w:rsidR="00421A63" w:rsidRPr="00A06425" w:rsidRDefault="00421A63" w:rsidP="00421A63">
            <w:pPr>
              <w:jc w:val="center"/>
              <w:rPr>
                <w:rFonts w:asciiTheme="minorHAnsi" w:hAnsiTheme="minorHAnsi" w:cstheme="minorHAnsi"/>
                <w:sz w:val="22"/>
                <w:szCs w:val="22"/>
              </w:rPr>
            </w:pPr>
          </w:p>
        </w:tc>
      </w:tr>
    </w:tbl>
    <w:p w:rsidR="00C64B1B" w:rsidRDefault="00C64B1B" w:rsidP="00C64B1B">
      <w:pPr>
        <w:jc w:val="center"/>
      </w:pPr>
      <w:bookmarkStart w:id="0" w:name="_GoBack"/>
      <w:bookmarkEnd w:id="0"/>
    </w:p>
    <w:sectPr w:rsidR="00C64B1B" w:rsidSect="00A06425">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527D" w:rsidRDefault="00AB527D" w:rsidP="006440A4">
      <w:r>
        <w:separator/>
      </w:r>
    </w:p>
  </w:endnote>
  <w:endnote w:type="continuationSeparator" w:id="0">
    <w:p w:rsidR="00AB527D" w:rsidRDefault="00AB527D" w:rsidP="00644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Lato">
    <w:altName w:val="Times New Roman"/>
    <w:panose1 w:val="020F0502020204030203"/>
    <w:charset w:val="EE"/>
    <w:family w:val="swiss"/>
    <w:pitch w:val="variable"/>
    <w:sig w:usb0="E10002FF" w:usb1="5000ECFF" w:usb2="0000002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527D" w:rsidRDefault="00AB527D" w:rsidP="006440A4">
      <w:r>
        <w:separator/>
      </w:r>
    </w:p>
  </w:footnote>
  <w:footnote w:type="continuationSeparator" w:id="0">
    <w:p w:rsidR="00AB527D" w:rsidRDefault="00AB527D" w:rsidP="006440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023185"/>
    <w:multiLevelType w:val="hybridMultilevel"/>
    <w:tmpl w:val="CDCC9C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B1B"/>
    <w:rsid w:val="00034258"/>
    <w:rsid w:val="00052093"/>
    <w:rsid w:val="00083260"/>
    <w:rsid w:val="00140BE8"/>
    <w:rsid w:val="001638C1"/>
    <w:rsid w:val="00167FC1"/>
    <w:rsid w:val="00184C8B"/>
    <w:rsid w:val="0019648E"/>
    <w:rsid w:val="001E4213"/>
    <w:rsid w:val="00216F4C"/>
    <w:rsid w:val="002555AC"/>
    <w:rsid w:val="002715B2"/>
    <w:rsid w:val="003124D1"/>
    <w:rsid w:val="00381B9C"/>
    <w:rsid w:val="003B4105"/>
    <w:rsid w:val="00404634"/>
    <w:rsid w:val="00421A63"/>
    <w:rsid w:val="0047573B"/>
    <w:rsid w:val="00476683"/>
    <w:rsid w:val="004D086F"/>
    <w:rsid w:val="005F6527"/>
    <w:rsid w:val="006312E8"/>
    <w:rsid w:val="006440A4"/>
    <w:rsid w:val="006705EC"/>
    <w:rsid w:val="006856BB"/>
    <w:rsid w:val="006E16E9"/>
    <w:rsid w:val="00744957"/>
    <w:rsid w:val="00807385"/>
    <w:rsid w:val="00944932"/>
    <w:rsid w:val="009E09E3"/>
    <w:rsid w:val="009E22BF"/>
    <w:rsid w:val="009E5FDB"/>
    <w:rsid w:val="00A06425"/>
    <w:rsid w:val="00A20F96"/>
    <w:rsid w:val="00AB527D"/>
    <w:rsid w:val="00AC7796"/>
    <w:rsid w:val="00AD2536"/>
    <w:rsid w:val="00B871B6"/>
    <w:rsid w:val="00C10BB3"/>
    <w:rsid w:val="00C64B1B"/>
    <w:rsid w:val="00CD5EB0"/>
    <w:rsid w:val="00D737EC"/>
    <w:rsid w:val="00E14C33"/>
    <w:rsid w:val="00FE0AB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379E184-FF6E-46FA-BB13-F6EF6AC0F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C64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A06425"/>
    <w:rPr>
      <w:rFonts w:ascii="Segoe UI" w:hAnsi="Segoe UI" w:cs="Segoe UI"/>
      <w:sz w:val="18"/>
      <w:szCs w:val="18"/>
    </w:rPr>
  </w:style>
  <w:style w:type="character" w:customStyle="1" w:styleId="TekstdymkaZnak">
    <w:name w:val="Tekst dymka Znak"/>
    <w:basedOn w:val="Domylnaczcionkaakapitu"/>
    <w:link w:val="Tekstdymka"/>
    <w:rsid w:val="00A06425"/>
    <w:rPr>
      <w:rFonts w:ascii="Segoe UI" w:hAnsi="Segoe UI" w:cs="Segoe UI"/>
      <w:sz w:val="18"/>
      <w:szCs w:val="18"/>
    </w:rPr>
  </w:style>
  <w:style w:type="paragraph" w:styleId="Tekstprzypisudolnego">
    <w:name w:val="footnote text"/>
    <w:basedOn w:val="Normalny"/>
    <w:link w:val="TekstprzypisudolnegoZnak"/>
    <w:uiPriority w:val="99"/>
    <w:unhideWhenUsed/>
    <w:rsid w:val="006440A4"/>
    <w:rPr>
      <w:rFonts w:asciiTheme="minorHAnsi" w:eastAsiaTheme="minorHAnsi" w:hAnsiTheme="minorHAnsi" w:cstheme="minorBidi"/>
      <w:sz w:val="20"/>
      <w:szCs w:val="20"/>
      <w:lang w:eastAsia="en-US"/>
    </w:rPr>
  </w:style>
  <w:style w:type="character" w:customStyle="1" w:styleId="TekstprzypisudolnegoZnak">
    <w:name w:val="Tekst przypisu dolnego Znak"/>
    <w:basedOn w:val="Domylnaczcionkaakapitu"/>
    <w:link w:val="Tekstprzypisudolnego"/>
    <w:uiPriority w:val="99"/>
    <w:rsid w:val="006440A4"/>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6440A4"/>
    <w:rPr>
      <w:vertAlign w:val="superscript"/>
    </w:rPr>
  </w:style>
  <w:style w:type="character" w:styleId="Hipercze">
    <w:name w:val="Hyperlink"/>
    <w:basedOn w:val="Domylnaczcionkaakapitu"/>
    <w:uiPriority w:val="99"/>
    <w:unhideWhenUsed/>
    <w:rsid w:val="00FE0AB7"/>
    <w:rPr>
      <w:color w:val="0563C1" w:themeColor="hyperlink"/>
      <w:u w:val="single"/>
    </w:rPr>
  </w:style>
  <w:style w:type="paragraph" w:styleId="Akapitzlist">
    <w:name w:val="List Paragraph"/>
    <w:basedOn w:val="Normalny"/>
    <w:uiPriority w:val="34"/>
    <w:qFormat/>
    <w:rsid w:val="0047573B"/>
    <w:pPr>
      <w:spacing w:after="16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pl/web/kdsc/projekt-ustawy-o-zmianie-ustawy-o-doreczeniach-elektronicznych-ud23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1770</Words>
  <Characters>10624</Characters>
  <Application>Microsoft Office Word</Application>
  <DocSecurity>0</DocSecurity>
  <Lines>88</Lines>
  <Paragraphs>24</Paragraphs>
  <ScaleCrop>false</ScaleCrop>
  <HeadingPairs>
    <vt:vector size="2" baseType="variant">
      <vt:variant>
        <vt:lpstr>Tytuł</vt:lpstr>
      </vt:variant>
      <vt:variant>
        <vt:i4>1</vt:i4>
      </vt:variant>
    </vt:vector>
  </HeadingPairs>
  <TitlesOfParts>
    <vt:vector size="1" baseType="lpstr">
      <vt:lpstr/>
    </vt:vector>
  </TitlesOfParts>
  <Company>MSWIA</Company>
  <LinksUpToDate>false</LinksUpToDate>
  <CharactersWithSpaces>12370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BAF</dc:creator>
  <cp:keywords/>
  <cp:lastModifiedBy>Departament Teleinformatyki</cp:lastModifiedBy>
  <cp:revision>3</cp:revision>
  <dcterms:created xsi:type="dcterms:W3CDTF">2026-07-14T11:03:00Z</dcterms:created>
  <dcterms:modified xsi:type="dcterms:W3CDTF">2026-07-14T11:40:00Z</dcterms:modified>
</cp:coreProperties>
</file>