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D4D23" w14:textId="68F2653B" w:rsidR="00C23459" w:rsidRPr="002854C9" w:rsidRDefault="00B65EC0" w:rsidP="00ED353A">
      <w:pPr>
        <w:pStyle w:val="StylNumerowanie"/>
        <w:numPr>
          <w:ilvl w:val="0"/>
          <w:numId w:val="0"/>
        </w:numPr>
        <w:ind w:left="340"/>
        <w:rPr>
          <w:rFonts w:ascii="Calibri" w:hAnsi="Calibri"/>
          <w:b/>
          <w:sz w:val="22"/>
          <w:szCs w:val="22"/>
        </w:rPr>
      </w:pPr>
      <w:bookmarkStart w:id="0" w:name="_GoBack"/>
      <w:bookmarkEnd w:id="0"/>
      <w:r w:rsidRPr="002854C9">
        <w:rPr>
          <w:rFonts w:ascii="Calibri" w:hAnsi="Calibri"/>
          <w:b/>
          <w:sz w:val="22"/>
          <w:szCs w:val="22"/>
        </w:rPr>
        <w:t xml:space="preserve">Załącznik nr </w:t>
      </w:r>
      <w:r w:rsidRPr="002854C9">
        <w:rPr>
          <w:rFonts w:ascii="Calibri" w:hAnsi="Calibri"/>
          <w:b/>
          <w:sz w:val="22"/>
          <w:szCs w:val="22"/>
        </w:rPr>
        <w:fldChar w:fldCharType="begin"/>
      </w:r>
      <w:r w:rsidRPr="002854C9">
        <w:rPr>
          <w:rFonts w:ascii="Calibri" w:hAnsi="Calibri"/>
          <w:b/>
          <w:sz w:val="22"/>
          <w:szCs w:val="22"/>
        </w:rPr>
        <w:instrText xml:space="preserve"> AUTONUM  \* Arabic \s </w:instrText>
      </w:r>
      <w:r w:rsidRPr="002854C9">
        <w:rPr>
          <w:rFonts w:ascii="Calibri" w:hAnsi="Calibri"/>
          <w:b/>
          <w:sz w:val="22"/>
          <w:szCs w:val="22"/>
        </w:rPr>
        <w:fldChar w:fldCharType="end"/>
      </w:r>
      <w:r w:rsidRPr="002854C9">
        <w:rPr>
          <w:rFonts w:ascii="Calibri" w:hAnsi="Calibri"/>
          <w:b/>
          <w:sz w:val="22"/>
          <w:szCs w:val="22"/>
        </w:rPr>
        <w:t xml:space="preserve"> </w:t>
      </w:r>
      <w:r w:rsidR="00C23459" w:rsidRPr="002854C9">
        <w:rPr>
          <w:rFonts w:ascii="Calibri" w:hAnsi="Calibri"/>
          <w:b/>
          <w:sz w:val="22"/>
          <w:szCs w:val="22"/>
        </w:rPr>
        <w:t>do Regulaminu „</w:t>
      </w:r>
      <w:r w:rsidR="002F47AC">
        <w:rPr>
          <w:rFonts w:ascii="Calibri" w:hAnsi="Calibri"/>
          <w:b/>
          <w:sz w:val="22"/>
          <w:szCs w:val="22"/>
        </w:rPr>
        <w:t>P</w:t>
      </w:r>
      <w:r w:rsidR="0014490A">
        <w:rPr>
          <w:rFonts w:ascii="Calibri" w:hAnsi="Calibri"/>
          <w:b/>
          <w:sz w:val="22"/>
          <w:szCs w:val="22"/>
        </w:rPr>
        <w:t>omoc humanitarna 2022</w:t>
      </w:r>
      <w:r w:rsidR="00C23459" w:rsidRPr="002854C9">
        <w:rPr>
          <w:rFonts w:ascii="Calibri" w:hAnsi="Calibri"/>
          <w:b/>
          <w:sz w:val="22"/>
          <w:szCs w:val="22"/>
        </w:rPr>
        <w:t>”</w:t>
      </w:r>
    </w:p>
    <w:p w14:paraId="3EFA7254" w14:textId="77777777" w:rsidR="00C23459" w:rsidRPr="00C23459" w:rsidRDefault="00C23459" w:rsidP="00ED353A">
      <w:pPr>
        <w:pStyle w:val="StylNumerowanie"/>
        <w:numPr>
          <w:ilvl w:val="0"/>
          <w:numId w:val="0"/>
        </w:numPr>
        <w:ind w:left="340"/>
        <w:rPr>
          <w:rFonts w:ascii="Calibri" w:hAnsi="Calibri"/>
          <w:b/>
          <w:sz w:val="22"/>
          <w:szCs w:val="22"/>
          <w:highlight w:val="yellow"/>
        </w:rPr>
      </w:pPr>
    </w:p>
    <w:p w14:paraId="73CDBBF1" w14:textId="3A885422" w:rsidR="00C23459" w:rsidRPr="0003063E" w:rsidRDefault="00B65EC0" w:rsidP="0003063E">
      <w:pPr>
        <w:pStyle w:val="StylNumerowanie"/>
        <w:numPr>
          <w:ilvl w:val="0"/>
          <w:numId w:val="0"/>
        </w:numPr>
        <w:spacing w:before="0" w:after="0"/>
        <w:ind w:left="340"/>
        <w:jc w:val="center"/>
        <w:rPr>
          <w:rFonts w:ascii="Calibri" w:hAnsi="Calibri"/>
          <w:b/>
          <w:sz w:val="24"/>
        </w:rPr>
      </w:pPr>
      <w:r w:rsidRPr="0003063E">
        <w:rPr>
          <w:rFonts w:ascii="Calibri" w:hAnsi="Calibri"/>
          <w:b/>
          <w:sz w:val="24"/>
        </w:rPr>
        <w:t xml:space="preserve">Wytyczne dla </w:t>
      </w:r>
      <w:r w:rsidR="00C23459" w:rsidRPr="0003063E">
        <w:rPr>
          <w:rFonts w:ascii="Calibri" w:hAnsi="Calibri"/>
          <w:b/>
          <w:sz w:val="24"/>
        </w:rPr>
        <w:t>oferentów</w:t>
      </w:r>
      <w:r w:rsidR="0003063E">
        <w:rPr>
          <w:rFonts w:ascii="Calibri" w:hAnsi="Calibri"/>
          <w:b/>
          <w:sz w:val="24"/>
        </w:rPr>
        <w:t xml:space="preserve"> </w:t>
      </w:r>
      <w:r w:rsidR="0003063E">
        <w:rPr>
          <w:rFonts w:ascii="Calibri" w:hAnsi="Calibri"/>
          <w:b/>
          <w:sz w:val="24"/>
        </w:rPr>
        <w:br/>
      </w:r>
      <w:r w:rsidR="0003063E" w:rsidRPr="0003063E">
        <w:rPr>
          <w:rFonts w:ascii="Calibri" w:hAnsi="Calibri"/>
          <w:b/>
          <w:sz w:val="24"/>
        </w:rPr>
        <w:t>u</w:t>
      </w:r>
      <w:r w:rsidR="00C23459" w:rsidRPr="0003063E">
        <w:rPr>
          <w:rFonts w:ascii="Calibri" w:hAnsi="Calibri"/>
          <w:b/>
          <w:sz w:val="24"/>
        </w:rPr>
        <w:t>biegających się o dotację w konkursie „</w:t>
      </w:r>
      <w:r w:rsidR="002F47AC" w:rsidRPr="0003063E">
        <w:rPr>
          <w:rFonts w:ascii="Calibri" w:hAnsi="Calibri"/>
          <w:b/>
          <w:sz w:val="24"/>
        </w:rPr>
        <w:t>P</w:t>
      </w:r>
      <w:r w:rsidR="00DB202F">
        <w:rPr>
          <w:rFonts w:ascii="Calibri" w:hAnsi="Calibri"/>
          <w:b/>
          <w:sz w:val="24"/>
        </w:rPr>
        <w:t>omoc humanitarna 2022</w:t>
      </w:r>
      <w:r w:rsidR="00C23459" w:rsidRPr="0003063E">
        <w:rPr>
          <w:rFonts w:ascii="Calibri" w:hAnsi="Calibri"/>
          <w:b/>
          <w:sz w:val="24"/>
        </w:rPr>
        <w:t>”</w:t>
      </w:r>
    </w:p>
    <w:p w14:paraId="06F37BD9" w14:textId="41C3A892" w:rsidR="00B65EC0" w:rsidRPr="00C8544E" w:rsidRDefault="001958B3" w:rsidP="00ED353A">
      <w:pPr>
        <w:pStyle w:val="Nagwek1"/>
        <w:numPr>
          <w:ilvl w:val="0"/>
          <w:numId w:val="2"/>
        </w:numPr>
        <w:spacing w:before="60" w:after="60"/>
        <w:rPr>
          <w:rFonts w:ascii="Calibri" w:hAnsi="Calibri"/>
          <w:sz w:val="22"/>
        </w:rPr>
      </w:pPr>
      <w:bookmarkStart w:id="1" w:name="_Toc274305322"/>
      <w:r w:rsidRPr="00C8544E">
        <w:rPr>
          <w:rFonts w:ascii="Calibri" w:hAnsi="Calibri"/>
          <w:sz w:val="22"/>
        </w:rPr>
        <w:t xml:space="preserve">Słownik </w:t>
      </w:r>
      <w:r w:rsidR="00B65EC0" w:rsidRPr="00C8544E">
        <w:rPr>
          <w:rFonts w:ascii="Calibri" w:hAnsi="Calibri"/>
          <w:sz w:val="22"/>
        </w:rPr>
        <w:t>poję</w:t>
      </w:r>
      <w:r w:rsidRPr="00C8544E">
        <w:rPr>
          <w:rFonts w:ascii="Calibri" w:hAnsi="Calibri"/>
          <w:sz w:val="22"/>
        </w:rPr>
        <w:t>ć</w:t>
      </w:r>
      <w:r w:rsidR="00B65EC0" w:rsidRPr="00C8544E">
        <w:rPr>
          <w:rFonts w:ascii="Calibri" w:hAnsi="Calibri"/>
          <w:sz w:val="22"/>
        </w:rPr>
        <w:t xml:space="preserve"> </w:t>
      </w:r>
      <w:bookmarkEnd w:id="1"/>
    </w:p>
    <w:p w14:paraId="45E2FB04" w14:textId="477F1126" w:rsidR="00B65EC0" w:rsidRPr="00C8544E" w:rsidRDefault="00B65EC0" w:rsidP="00ED353A">
      <w:pPr>
        <w:pStyle w:val="Nagwek1"/>
        <w:numPr>
          <w:ilvl w:val="1"/>
          <w:numId w:val="2"/>
        </w:numPr>
        <w:spacing w:before="60" w:after="60"/>
        <w:jc w:val="both"/>
        <w:rPr>
          <w:rFonts w:ascii="Calibri" w:hAnsi="Calibri"/>
          <w:b w:val="0"/>
          <w:sz w:val="22"/>
        </w:rPr>
      </w:pPr>
      <w:r w:rsidRPr="00C8544E">
        <w:rPr>
          <w:rFonts w:ascii="Calibri" w:hAnsi="Calibri"/>
          <w:sz w:val="22"/>
        </w:rPr>
        <w:t xml:space="preserve">beneficjent – </w:t>
      </w:r>
      <w:r w:rsidR="001958B3" w:rsidRPr="00C8544E">
        <w:rPr>
          <w:rFonts w:ascii="Calibri" w:hAnsi="Calibri"/>
          <w:b w:val="0"/>
          <w:sz w:val="22"/>
        </w:rPr>
        <w:t>osoba</w:t>
      </w:r>
      <w:r w:rsidRPr="00C8544E">
        <w:rPr>
          <w:rFonts w:ascii="Calibri" w:hAnsi="Calibri"/>
          <w:b w:val="0"/>
          <w:sz w:val="22"/>
        </w:rPr>
        <w:t xml:space="preserve"> lub gru</w:t>
      </w:r>
      <w:r w:rsidR="001958B3" w:rsidRPr="00C8544E">
        <w:rPr>
          <w:rFonts w:ascii="Calibri" w:hAnsi="Calibri"/>
          <w:b w:val="0"/>
          <w:sz w:val="22"/>
        </w:rPr>
        <w:t>pa społeczna</w:t>
      </w:r>
      <w:r w:rsidRPr="00C8544E">
        <w:rPr>
          <w:rFonts w:ascii="Calibri" w:hAnsi="Calibri"/>
          <w:b w:val="0"/>
          <w:sz w:val="22"/>
        </w:rPr>
        <w:t xml:space="preserve">, do </w:t>
      </w:r>
      <w:r w:rsidR="001958B3" w:rsidRPr="00C8544E">
        <w:rPr>
          <w:rFonts w:ascii="Calibri" w:hAnsi="Calibri"/>
          <w:b w:val="0"/>
          <w:sz w:val="22"/>
        </w:rPr>
        <w:t xml:space="preserve">której </w:t>
      </w:r>
      <w:r w:rsidRPr="00C8544E">
        <w:rPr>
          <w:rFonts w:ascii="Calibri" w:hAnsi="Calibri"/>
          <w:b w:val="0"/>
          <w:sz w:val="22"/>
        </w:rPr>
        <w:t xml:space="preserve">kierowane są </w:t>
      </w:r>
      <w:r w:rsidRPr="00C8544E">
        <w:rPr>
          <w:rFonts w:ascii="Calibri" w:hAnsi="Calibri"/>
          <w:b w:val="0"/>
          <w:i/>
          <w:sz w:val="22"/>
        </w:rPr>
        <w:t>działania projekt</w:t>
      </w:r>
      <w:r w:rsidR="00067C2F" w:rsidRPr="00C8544E">
        <w:rPr>
          <w:rFonts w:ascii="Calibri" w:hAnsi="Calibri"/>
          <w:b w:val="0"/>
          <w:i/>
          <w:sz w:val="22"/>
        </w:rPr>
        <w:t>owe</w:t>
      </w:r>
      <w:r w:rsidR="001958B3" w:rsidRPr="00C8544E">
        <w:rPr>
          <w:rFonts w:ascii="Calibri" w:hAnsi="Calibri"/>
          <w:b w:val="0"/>
          <w:sz w:val="22"/>
        </w:rPr>
        <w:t xml:space="preserve"> i która korzysta z ich</w:t>
      </w:r>
      <w:r w:rsidRPr="00C8544E">
        <w:rPr>
          <w:rFonts w:ascii="Calibri" w:hAnsi="Calibri"/>
          <w:b w:val="0"/>
          <w:sz w:val="22"/>
        </w:rPr>
        <w:t xml:space="preserve"> efektów;</w:t>
      </w:r>
    </w:p>
    <w:p w14:paraId="2FC4915C" w14:textId="08F8D2FE" w:rsidR="00B65EC0" w:rsidRPr="00C8544E" w:rsidRDefault="00B65EC0" w:rsidP="00ED353A">
      <w:pPr>
        <w:pStyle w:val="Nagwek1"/>
        <w:numPr>
          <w:ilvl w:val="1"/>
          <w:numId w:val="2"/>
        </w:numPr>
        <w:spacing w:before="60" w:after="60"/>
        <w:jc w:val="both"/>
        <w:rPr>
          <w:rFonts w:ascii="Calibri" w:hAnsi="Calibri"/>
          <w:b w:val="0"/>
          <w:sz w:val="22"/>
        </w:rPr>
      </w:pPr>
      <w:r w:rsidRPr="00C8544E">
        <w:rPr>
          <w:rFonts w:ascii="Calibri" w:hAnsi="Calibri"/>
          <w:sz w:val="22"/>
        </w:rPr>
        <w:t>cel ogólny</w:t>
      </w:r>
      <w:r w:rsidRPr="00C8544E">
        <w:rPr>
          <w:rFonts w:ascii="Calibri" w:hAnsi="Calibri"/>
          <w:b w:val="0"/>
          <w:sz w:val="22"/>
        </w:rPr>
        <w:t xml:space="preserve"> </w:t>
      </w:r>
      <w:r w:rsidR="00C23459" w:rsidRPr="00C8544E">
        <w:rPr>
          <w:rFonts w:ascii="Calibri" w:hAnsi="Calibri"/>
          <w:b w:val="0"/>
          <w:sz w:val="22"/>
        </w:rPr>
        <w:t>(</w:t>
      </w:r>
      <w:r w:rsidR="00C23459" w:rsidRPr="00C8544E">
        <w:rPr>
          <w:rFonts w:ascii="Calibri" w:hAnsi="Calibri"/>
          <w:sz w:val="22"/>
        </w:rPr>
        <w:t>rezultat</w:t>
      </w:r>
      <w:r w:rsidR="00C23459" w:rsidRPr="00C8544E">
        <w:rPr>
          <w:rFonts w:ascii="Calibri" w:hAnsi="Calibri"/>
          <w:b w:val="0"/>
          <w:sz w:val="22"/>
        </w:rPr>
        <w:t xml:space="preserve">) </w:t>
      </w:r>
      <w:r w:rsidRPr="00C8544E">
        <w:rPr>
          <w:rFonts w:ascii="Calibri" w:hAnsi="Calibri"/>
          <w:b w:val="0"/>
          <w:sz w:val="22"/>
        </w:rPr>
        <w:t xml:space="preserve">– cel, </w:t>
      </w:r>
      <w:r w:rsidR="006B7F18" w:rsidRPr="00C8544E">
        <w:rPr>
          <w:rFonts w:ascii="Calibri" w:hAnsi="Calibri"/>
          <w:b w:val="0"/>
          <w:sz w:val="22"/>
        </w:rPr>
        <w:t>który ma charakter długoterminowy, nie jest osiągany bezpośrednio po zakończeniu realizacji projektu. Realizacja projektu powinna jednak istotnie przyczynić się do osiągnięcia celu</w:t>
      </w:r>
      <w:r w:rsidR="00297C96" w:rsidRPr="00C8544E">
        <w:rPr>
          <w:rFonts w:ascii="Calibri" w:hAnsi="Calibri"/>
          <w:b w:val="0"/>
          <w:sz w:val="22"/>
        </w:rPr>
        <w:t xml:space="preserve"> w perspektywie długoterminowej;</w:t>
      </w:r>
    </w:p>
    <w:p w14:paraId="23094626" w14:textId="7B777D8C" w:rsidR="00B65EC0" w:rsidRPr="00C8544E" w:rsidRDefault="00B65EC0" w:rsidP="00ED353A">
      <w:pPr>
        <w:pStyle w:val="Nagwek1"/>
        <w:numPr>
          <w:ilvl w:val="1"/>
          <w:numId w:val="2"/>
        </w:numPr>
        <w:spacing w:before="60" w:after="60"/>
        <w:jc w:val="both"/>
        <w:rPr>
          <w:rFonts w:ascii="Calibri" w:hAnsi="Calibri"/>
          <w:b w:val="0"/>
          <w:sz w:val="22"/>
        </w:rPr>
      </w:pPr>
      <w:r w:rsidRPr="00C8544E">
        <w:rPr>
          <w:rFonts w:ascii="Calibri" w:hAnsi="Calibri"/>
          <w:sz w:val="22"/>
        </w:rPr>
        <w:t>cel bezpośredni</w:t>
      </w:r>
      <w:r w:rsidRPr="00C8544E">
        <w:rPr>
          <w:rFonts w:ascii="Calibri" w:hAnsi="Calibri"/>
          <w:b w:val="0"/>
          <w:sz w:val="22"/>
        </w:rPr>
        <w:t xml:space="preserve"> – cel</w:t>
      </w:r>
      <w:r w:rsidR="00F129CE" w:rsidRPr="00C8544E">
        <w:rPr>
          <w:rFonts w:ascii="Calibri" w:hAnsi="Calibri"/>
          <w:b w:val="0"/>
          <w:sz w:val="22"/>
        </w:rPr>
        <w:t xml:space="preserve">, który </w:t>
      </w:r>
      <w:r w:rsidR="00297C96" w:rsidRPr="00C8544E">
        <w:rPr>
          <w:rFonts w:ascii="Calibri" w:hAnsi="Calibri"/>
          <w:b w:val="0"/>
          <w:sz w:val="22"/>
        </w:rPr>
        <w:t>odnosi się do kluczowego problemu, rozwiąz</w:t>
      </w:r>
      <w:r w:rsidR="002C3250" w:rsidRPr="00C8544E">
        <w:rPr>
          <w:rFonts w:ascii="Calibri" w:hAnsi="Calibri"/>
          <w:b w:val="0"/>
          <w:sz w:val="22"/>
        </w:rPr>
        <w:t xml:space="preserve">ywanego </w:t>
      </w:r>
      <w:r w:rsidR="00297C96" w:rsidRPr="00C8544E">
        <w:rPr>
          <w:rFonts w:ascii="Calibri" w:hAnsi="Calibri"/>
          <w:b w:val="0"/>
          <w:sz w:val="22"/>
        </w:rPr>
        <w:t>za pomocą projektu, a także do grupy beneficjentów</w:t>
      </w:r>
      <w:r w:rsidR="00826FDC" w:rsidRPr="00C8544E">
        <w:rPr>
          <w:rFonts w:ascii="Calibri" w:hAnsi="Calibri"/>
          <w:b w:val="0"/>
          <w:sz w:val="22"/>
        </w:rPr>
        <w:t xml:space="preserve">. Cel powinien być </w:t>
      </w:r>
      <w:r w:rsidR="00297C96" w:rsidRPr="00C8544E">
        <w:rPr>
          <w:rFonts w:ascii="Calibri" w:hAnsi="Calibri"/>
          <w:b w:val="0"/>
          <w:sz w:val="22"/>
        </w:rPr>
        <w:t>osiągnięt</w:t>
      </w:r>
      <w:r w:rsidR="00826FDC" w:rsidRPr="00C8544E">
        <w:rPr>
          <w:rFonts w:ascii="Calibri" w:hAnsi="Calibri"/>
          <w:b w:val="0"/>
          <w:sz w:val="22"/>
        </w:rPr>
        <w:t>y</w:t>
      </w:r>
      <w:r w:rsidR="00297C96" w:rsidRPr="00C8544E">
        <w:rPr>
          <w:rFonts w:ascii="Calibri" w:hAnsi="Calibri"/>
          <w:b w:val="0"/>
          <w:sz w:val="22"/>
        </w:rPr>
        <w:t xml:space="preserve"> </w:t>
      </w:r>
      <w:r w:rsidR="00826FDC" w:rsidRPr="00C8544E">
        <w:rPr>
          <w:rFonts w:ascii="Calibri" w:hAnsi="Calibri"/>
          <w:b w:val="0"/>
          <w:sz w:val="22"/>
        </w:rPr>
        <w:t>wraz z zakończeniem finansowania</w:t>
      </w:r>
      <w:r w:rsidR="005E3FDB" w:rsidRPr="00C8544E">
        <w:rPr>
          <w:rFonts w:ascii="Calibri" w:hAnsi="Calibri"/>
          <w:b w:val="0"/>
          <w:sz w:val="22"/>
        </w:rPr>
        <w:t xml:space="preserve">, </w:t>
      </w:r>
      <w:r w:rsidR="00297C96" w:rsidRPr="00C8544E">
        <w:rPr>
          <w:rFonts w:ascii="Calibri" w:hAnsi="Calibri"/>
          <w:b w:val="0"/>
          <w:sz w:val="22"/>
        </w:rPr>
        <w:t>przy wykorzystaniu</w:t>
      </w:r>
      <w:r w:rsidR="005E3FDB" w:rsidRPr="00C8544E">
        <w:rPr>
          <w:rFonts w:ascii="Calibri" w:hAnsi="Calibri"/>
          <w:b w:val="0"/>
          <w:sz w:val="22"/>
        </w:rPr>
        <w:t xml:space="preserve"> środków dostępnych w projekcie</w:t>
      </w:r>
      <w:r w:rsidR="005C62AB" w:rsidRPr="00C8544E">
        <w:rPr>
          <w:rFonts w:ascii="Calibri" w:hAnsi="Calibri"/>
          <w:b w:val="0"/>
          <w:sz w:val="22"/>
        </w:rPr>
        <w:t xml:space="preserve"> oraz</w:t>
      </w:r>
      <w:r w:rsidR="00297C96" w:rsidRPr="00C8544E">
        <w:rPr>
          <w:rFonts w:ascii="Calibri" w:hAnsi="Calibri"/>
          <w:b w:val="0"/>
          <w:sz w:val="22"/>
        </w:rPr>
        <w:t xml:space="preserve"> wskazywać na trwałe z</w:t>
      </w:r>
      <w:r w:rsidR="000E23D8" w:rsidRPr="00C8544E">
        <w:rPr>
          <w:rFonts w:ascii="Calibri" w:hAnsi="Calibri"/>
          <w:b w:val="0"/>
          <w:sz w:val="22"/>
        </w:rPr>
        <w:t>miany dla beneficjentów</w:t>
      </w:r>
      <w:r w:rsidR="00297C96" w:rsidRPr="00C8544E">
        <w:rPr>
          <w:rFonts w:ascii="Calibri" w:hAnsi="Calibri"/>
          <w:b w:val="0"/>
          <w:sz w:val="22"/>
        </w:rPr>
        <w:t>, rozumiane jako efekty (korzyści), które nast</w:t>
      </w:r>
      <w:r w:rsidR="000E23D8" w:rsidRPr="00C8544E">
        <w:rPr>
          <w:rFonts w:ascii="Calibri" w:hAnsi="Calibri"/>
          <w:b w:val="0"/>
          <w:sz w:val="22"/>
        </w:rPr>
        <w:t>ąpią w wyniku jego realizacji</w:t>
      </w:r>
      <w:r w:rsidR="005C62AB" w:rsidRPr="00C8544E">
        <w:rPr>
          <w:rFonts w:ascii="Calibri" w:hAnsi="Calibri"/>
          <w:b w:val="0"/>
          <w:sz w:val="22"/>
        </w:rPr>
        <w:t>;</w:t>
      </w:r>
    </w:p>
    <w:p w14:paraId="5A0AD989" w14:textId="78FD624D" w:rsidR="00B65EC0" w:rsidRPr="00C8544E" w:rsidRDefault="00B65EC0" w:rsidP="00ED353A">
      <w:pPr>
        <w:pStyle w:val="Nagwek1"/>
        <w:numPr>
          <w:ilvl w:val="1"/>
          <w:numId w:val="2"/>
        </w:numPr>
        <w:spacing w:before="60" w:after="60"/>
        <w:jc w:val="both"/>
        <w:rPr>
          <w:rFonts w:ascii="Calibri" w:hAnsi="Calibri"/>
          <w:b w:val="0"/>
          <w:sz w:val="22"/>
        </w:rPr>
      </w:pPr>
      <w:r w:rsidRPr="00C8544E">
        <w:rPr>
          <w:rFonts w:ascii="Calibri" w:hAnsi="Calibri"/>
          <w:sz w:val="22"/>
        </w:rPr>
        <w:t>koordynator projektu</w:t>
      </w:r>
      <w:r w:rsidRPr="00C8544E">
        <w:rPr>
          <w:rFonts w:ascii="Calibri" w:hAnsi="Calibri"/>
          <w:b w:val="0"/>
          <w:sz w:val="22"/>
        </w:rPr>
        <w:t xml:space="preserve"> – osoba </w:t>
      </w:r>
      <w:r w:rsidR="002C6148" w:rsidRPr="00C8544E">
        <w:rPr>
          <w:rFonts w:ascii="Calibri" w:hAnsi="Calibri"/>
          <w:b w:val="0"/>
          <w:sz w:val="22"/>
        </w:rPr>
        <w:t xml:space="preserve">wskazana przez </w:t>
      </w:r>
      <w:r w:rsidR="002C6148" w:rsidRPr="00C8544E">
        <w:rPr>
          <w:rFonts w:ascii="Calibri" w:hAnsi="Calibri"/>
          <w:b w:val="0"/>
          <w:i/>
          <w:sz w:val="22"/>
        </w:rPr>
        <w:t>oferenta</w:t>
      </w:r>
      <w:r w:rsidR="002C6148" w:rsidRPr="00C8544E">
        <w:rPr>
          <w:rFonts w:ascii="Calibri" w:hAnsi="Calibri"/>
          <w:b w:val="0"/>
          <w:sz w:val="22"/>
        </w:rPr>
        <w:t xml:space="preserve"> do zarządzania projektem i</w:t>
      </w:r>
      <w:r w:rsidR="00D814F1" w:rsidRPr="00C8544E">
        <w:rPr>
          <w:rFonts w:ascii="Calibri" w:hAnsi="Calibri"/>
          <w:b w:val="0"/>
          <w:sz w:val="22"/>
        </w:rPr>
        <w:t> </w:t>
      </w:r>
      <w:r w:rsidR="002C6148" w:rsidRPr="00C8544E">
        <w:rPr>
          <w:rFonts w:ascii="Calibri" w:hAnsi="Calibri"/>
          <w:b w:val="0"/>
          <w:sz w:val="22"/>
        </w:rPr>
        <w:t>informowania</w:t>
      </w:r>
      <w:r w:rsidRPr="00C8544E">
        <w:rPr>
          <w:rFonts w:ascii="Calibri" w:hAnsi="Calibri"/>
          <w:b w:val="0"/>
          <w:sz w:val="22"/>
        </w:rPr>
        <w:t xml:space="preserve"> MSZ o </w:t>
      </w:r>
      <w:r w:rsidR="00F129CE" w:rsidRPr="00C8544E">
        <w:rPr>
          <w:rFonts w:ascii="Calibri" w:hAnsi="Calibri"/>
          <w:b w:val="0"/>
          <w:sz w:val="22"/>
        </w:rPr>
        <w:t xml:space="preserve">jego </w:t>
      </w:r>
      <w:r w:rsidRPr="00C8544E">
        <w:rPr>
          <w:rFonts w:ascii="Calibri" w:hAnsi="Calibri"/>
          <w:b w:val="0"/>
          <w:sz w:val="22"/>
        </w:rPr>
        <w:t>przebiegu;</w:t>
      </w:r>
    </w:p>
    <w:p w14:paraId="6D483795" w14:textId="75645504" w:rsidR="00B65EC0" w:rsidRPr="00C8544E" w:rsidRDefault="00B65EC0" w:rsidP="00ED353A">
      <w:pPr>
        <w:pStyle w:val="Nagwek1"/>
        <w:numPr>
          <w:ilvl w:val="1"/>
          <w:numId w:val="2"/>
        </w:numPr>
        <w:spacing w:before="60" w:after="60"/>
        <w:jc w:val="both"/>
        <w:rPr>
          <w:rFonts w:ascii="Calibri" w:hAnsi="Calibri"/>
          <w:b w:val="0"/>
          <w:sz w:val="22"/>
        </w:rPr>
      </w:pPr>
      <w:r w:rsidRPr="00C8544E">
        <w:rPr>
          <w:rFonts w:ascii="Calibri" w:hAnsi="Calibri"/>
          <w:sz w:val="22"/>
        </w:rPr>
        <w:t>koszty administracyjne</w:t>
      </w:r>
      <w:r w:rsidRPr="00C8544E">
        <w:rPr>
          <w:rFonts w:ascii="Calibri" w:hAnsi="Calibri"/>
          <w:b w:val="0"/>
          <w:sz w:val="22"/>
        </w:rPr>
        <w:t xml:space="preserve"> – koszty związane z </w:t>
      </w:r>
      <w:r w:rsidR="00986421" w:rsidRPr="00C8544E">
        <w:rPr>
          <w:rFonts w:ascii="Calibri" w:hAnsi="Calibri"/>
          <w:b w:val="0"/>
          <w:sz w:val="22"/>
        </w:rPr>
        <w:t>wykonywaniem działań o charakterze administracyjnym, nadzorczym i kontrolnym, w tym z obsłu</w:t>
      </w:r>
      <w:r w:rsidR="00BA3CA0" w:rsidRPr="00C8544E">
        <w:rPr>
          <w:rFonts w:ascii="Calibri" w:hAnsi="Calibri"/>
          <w:b w:val="0"/>
          <w:sz w:val="22"/>
        </w:rPr>
        <w:t>gą finansową i prawną projektu;</w:t>
      </w:r>
    </w:p>
    <w:p w14:paraId="06892EAB" w14:textId="77777777" w:rsidR="00B65EC0" w:rsidRPr="00C8544E" w:rsidRDefault="00B65EC0" w:rsidP="00ED353A">
      <w:pPr>
        <w:pStyle w:val="Nagwek1"/>
        <w:numPr>
          <w:ilvl w:val="1"/>
          <w:numId w:val="2"/>
        </w:numPr>
        <w:spacing w:before="60" w:after="60"/>
        <w:jc w:val="both"/>
        <w:rPr>
          <w:rFonts w:ascii="Calibri" w:hAnsi="Calibri"/>
          <w:b w:val="0"/>
          <w:sz w:val="22"/>
        </w:rPr>
      </w:pPr>
      <w:r w:rsidRPr="00C8544E">
        <w:rPr>
          <w:rFonts w:ascii="Calibri" w:hAnsi="Calibri"/>
          <w:sz w:val="22"/>
        </w:rPr>
        <w:t>koszty programowe</w:t>
      </w:r>
      <w:r w:rsidRPr="00C8544E">
        <w:rPr>
          <w:rFonts w:ascii="Calibri" w:hAnsi="Calibri"/>
          <w:b w:val="0"/>
          <w:sz w:val="22"/>
        </w:rPr>
        <w:t xml:space="preserve"> – koszty związane z </w:t>
      </w:r>
      <w:r w:rsidR="00E91102" w:rsidRPr="00C8544E">
        <w:rPr>
          <w:rFonts w:ascii="Calibri" w:hAnsi="Calibri"/>
          <w:b w:val="0"/>
          <w:sz w:val="22"/>
        </w:rPr>
        <w:t>bezpośrednim celem realizowanego projektu</w:t>
      </w:r>
      <w:r w:rsidRPr="00C8544E">
        <w:rPr>
          <w:rFonts w:ascii="Calibri" w:hAnsi="Calibri"/>
          <w:b w:val="0"/>
          <w:sz w:val="22"/>
        </w:rPr>
        <w:t>;</w:t>
      </w:r>
    </w:p>
    <w:p w14:paraId="57CFFA03" w14:textId="2B779085" w:rsidR="0014545E" w:rsidRPr="00C8544E" w:rsidRDefault="0014545E" w:rsidP="00ED353A">
      <w:pPr>
        <w:pStyle w:val="Nagwek1"/>
        <w:numPr>
          <w:ilvl w:val="1"/>
          <w:numId w:val="2"/>
        </w:numPr>
        <w:spacing w:before="60" w:after="60"/>
        <w:jc w:val="both"/>
        <w:rPr>
          <w:rFonts w:asciiTheme="minorHAnsi" w:hAnsiTheme="minorHAnsi"/>
          <w:b w:val="0"/>
          <w:sz w:val="22"/>
        </w:rPr>
      </w:pPr>
      <w:r w:rsidRPr="00C8544E">
        <w:tab/>
      </w:r>
      <w:r w:rsidRPr="00C8544E">
        <w:rPr>
          <w:rFonts w:ascii="Calibri" w:hAnsi="Calibri"/>
          <w:sz w:val="22"/>
        </w:rPr>
        <w:t>oferent –</w:t>
      </w:r>
      <w:r w:rsidRPr="00C8544E">
        <w:rPr>
          <w:b w:val="0"/>
        </w:rPr>
        <w:t xml:space="preserve"> </w:t>
      </w:r>
      <w:r w:rsidRPr="00C8544E">
        <w:rPr>
          <w:rFonts w:ascii="Calibri" w:hAnsi="Calibri"/>
          <w:b w:val="0"/>
          <w:sz w:val="22"/>
        </w:rPr>
        <w:t>podmiot</w:t>
      </w:r>
      <w:r w:rsidR="004B3576" w:rsidRPr="00C8544E">
        <w:rPr>
          <w:rFonts w:ascii="Calibri" w:hAnsi="Calibri"/>
          <w:b w:val="0"/>
          <w:sz w:val="22"/>
        </w:rPr>
        <w:t xml:space="preserve"> składający</w:t>
      </w:r>
      <w:r w:rsidRPr="00C8544E">
        <w:rPr>
          <w:rFonts w:ascii="Calibri" w:hAnsi="Calibri"/>
          <w:b w:val="0"/>
          <w:sz w:val="22"/>
        </w:rPr>
        <w:t xml:space="preserve"> </w:t>
      </w:r>
      <w:r w:rsidR="004B3576" w:rsidRPr="00C8544E">
        <w:rPr>
          <w:rFonts w:ascii="Calibri" w:hAnsi="Calibri"/>
          <w:b w:val="0"/>
          <w:sz w:val="22"/>
        </w:rPr>
        <w:t>ofertę</w:t>
      </w:r>
      <w:r w:rsidRPr="00C8544E">
        <w:rPr>
          <w:rFonts w:ascii="Calibri" w:hAnsi="Calibri"/>
          <w:b w:val="0"/>
          <w:sz w:val="22"/>
        </w:rPr>
        <w:t xml:space="preserve"> w konkursie „</w:t>
      </w:r>
      <w:r w:rsidR="003B5FAC">
        <w:rPr>
          <w:rFonts w:ascii="Calibri" w:hAnsi="Calibri"/>
          <w:b w:val="0"/>
          <w:sz w:val="22"/>
        </w:rPr>
        <w:t>P</w:t>
      </w:r>
      <w:r w:rsidR="00DB202F">
        <w:rPr>
          <w:rFonts w:ascii="Calibri" w:hAnsi="Calibri"/>
          <w:b w:val="0"/>
          <w:sz w:val="22"/>
        </w:rPr>
        <w:t>omoc humanitarna 2022</w:t>
      </w:r>
      <w:r w:rsidR="00BA3CA0" w:rsidRPr="00C8544E">
        <w:rPr>
          <w:rFonts w:ascii="Calibri" w:hAnsi="Calibri"/>
          <w:b w:val="0"/>
          <w:sz w:val="22"/>
        </w:rPr>
        <w:t>”;</w:t>
      </w:r>
    </w:p>
    <w:p w14:paraId="52FF6ED6" w14:textId="60004F15" w:rsidR="00972F5C" w:rsidRPr="00C8544E" w:rsidRDefault="0014545E" w:rsidP="00ED353A">
      <w:pPr>
        <w:pStyle w:val="Nagwek1"/>
        <w:numPr>
          <w:ilvl w:val="1"/>
          <w:numId w:val="2"/>
        </w:numPr>
        <w:spacing w:before="60" w:after="60"/>
        <w:jc w:val="both"/>
        <w:rPr>
          <w:rFonts w:ascii="Calibri" w:hAnsi="Calibri"/>
          <w:b w:val="0"/>
          <w:sz w:val="22"/>
        </w:rPr>
      </w:pPr>
      <w:r w:rsidRPr="00C8544E">
        <w:rPr>
          <w:rFonts w:ascii="Calibri" w:hAnsi="Calibri"/>
          <w:sz w:val="22"/>
        </w:rPr>
        <w:t xml:space="preserve">oferta </w:t>
      </w:r>
      <w:r w:rsidR="00A225DB" w:rsidRPr="00C8544E">
        <w:rPr>
          <w:rFonts w:ascii="Calibri" w:hAnsi="Calibri"/>
          <w:b w:val="0"/>
          <w:sz w:val="22"/>
        </w:rPr>
        <w:t>– opis</w:t>
      </w:r>
      <w:r w:rsidRPr="00C8544E">
        <w:rPr>
          <w:rFonts w:ascii="Calibri" w:hAnsi="Calibri"/>
          <w:b w:val="0"/>
          <w:sz w:val="22"/>
        </w:rPr>
        <w:t xml:space="preserve"> realizacji </w:t>
      </w:r>
      <w:r w:rsidR="00A225DB" w:rsidRPr="00C8544E">
        <w:rPr>
          <w:rFonts w:ascii="Calibri" w:hAnsi="Calibri"/>
          <w:b w:val="0"/>
          <w:sz w:val="22"/>
        </w:rPr>
        <w:t xml:space="preserve">planowanego </w:t>
      </w:r>
      <w:r w:rsidRPr="00C8544E">
        <w:rPr>
          <w:rFonts w:ascii="Calibri" w:hAnsi="Calibri"/>
          <w:b w:val="0"/>
          <w:sz w:val="22"/>
        </w:rPr>
        <w:t>zadania</w:t>
      </w:r>
      <w:r w:rsidR="00A225DB" w:rsidRPr="00C8544E">
        <w:rPr>
          <w:rFonts w:ascii="Calibri" w:hAnsi="Calibri"/>
          <w:b w:val="0"/>
          <w:sz w:val="22"/>
        </w:rPr>
        <w:t xml:space="preserve"> publicznego</w:t>
      </w:r>
      <w:r w:rsidRPr="00C8544E">
        <w:rPr>
          <w:rFonts w:ascii="Calibri" w:hAnsi="Calibri"/>
          <w:b w:val="0"/>
          <w:sz w:val="22"/>
        </w:rPr>
        <w:t xml:space="preserve"> </w:t>
      </w:r>
      <w:r w:rsidR="008739A3" w:rsidRPr="00C8544E">
        <w:rPr>
          <w:rFonts w:ascii="Calibri" w:hAnsi="Calibri"/>
          <w:b w:val="0"/>
          <w:sz w:val="22"/>
        </w:rPr>
        <w:t>zgodnie z zasadami uczciwej konkurencji, gwarantujący wykon</w:t>
      </w:r>
      <w:r w:rsidR="00972F5C" w:rsidRPr="00C8544E">
        <w:rPr>
          <w:rFonts w:ascii="Calibri" w:hAnsi="Calibri"/>
          <w:b w:val="0"/>
          <w:sz w:val="22"/>
        </w:rPr>
        <w:t>anie zadania w sposób efektywny, oszczędny i terminowy;</w:t>
      </w:r>
    </w:p>
    <w:p w14:paraId="06E6C534" w14:textId="5DEF36BA" w:rsidR="00BA3CA0" w:rsidRPr="00C8544E" w:rsidRDefault="00BA3CA0" w:rsidP="00ED353A">
      <w:pPr>
        <w:pStyle w:val="Nagwek1"/>
        <w:numPr>
          <w:ilvl w:val="1"/>
          <w:numId w:val="2"/>
        </w:numPr>
        <w:spacing w:before="60" w:after="60"/>
        <w:jc w:val="both"/>
      </w:pPr>
      <w:r w:rsidRPr="00C8544E">
        <w:rPr>
          <w:rFonts w:asciiTheme="minorHAnsi" w:hAnsiTheme="minorHAnsi"/>
          <w:sz w:val="22"/>
        </w:rPr>
        <w:t>opiekun projektu –</w:t>
      </w:r>
      <w:r w:rsidRPr="00C8544E">
        <w:t xml:space="preserve"> </w:t>
      </w:r>
      <w:r w:rsidRPr="00C8544E">
        <w:rPr>
          <w:rFonts w:ascii="Calibri" w:hAnsi="Calibri"/>
          <w:b w:val="0"/>
          <w:sz w:val="22"/>
        </w:rPr>
        <w:t>pracownik DWR MSZ, wyznaczony do roboczych kontaktów ze zleceniobiorcą w sprawie realizacji umowy dotacji;</w:t>
      </w:r>
      <w:r w:rsidRPr="00C8544E">
        <w:t xml:space="preserve"> </w:t>
      </w:r>
    </w:p>
    <w:p w14:paraId="7BD6C969" w14:textId="012CD1BA" w:rsidR="00B65EC0" w:rsidRPr="00C8544E" w:rsidRDefault="00B65EC0" w:rsidP="00ED353A">
      <w:pPr>
        <w:pStyle w:val="Nagwek1"/>
        <w:numPr>
          <w:ilvl w:val="1"/>
          <w:numId w:val="2"/>
        </w:numPr>
        <w:spacing w:before="60" w:after="60"/>
        <w:jc w:val="both"/>
        <w:rPr>
          <w:rFonts w:ascii="Calibri" w:hAnsi="Calibri"/>
          <w:b w:val="0"/>
          <w:sz w:val="22"/>
        </w:rPr>
      </w:pPr>
      <w:r w:rsidRPr="00C8544E">
        <w:rPr>
          <w:rFonts w:ascii="Calibri" w:hAnsi="Calibri"/>
          <w:sz w:val="22"/>
        </w:rPr>
        <w:t>partner</w:t>
      </w:r>
      <w:r w:rsidRPr="00C8544E">
        <w:rPr>
          <w:rFonts w:ascii="Calibri" w:hAnsi="Calibri"/>
          <w:b w:val="0"/>
          <w:sz w:val="22"/>
        </w:rPr>
        <w:t xml:space="preserve"> – </w:t>
      </w:r>
      <w:r w:rsidR="00D47E7E" w:rsidRPr="00C8544E">
        <w:rPr>
          <w:rFonts w:ascii="Calibri" w:hAnsi="Calibri"/>
          <w:b w:val="0"/>
          <w:sz w:val="22"/>
        </w:rPr>
        <w:t xml:space="preserve">podmiot współpracujący z </w:t>
      </w:r>
      <w:r w:rsidR="00D47E7E" w:rsidRPr="00C8544E">
        <w:rPr>
          <w:rFonts w:ascii="Calibri" w:hAnsi="Calibri"/>
          <w:b w:val="0"/>
          <w:i/>
          <w:sz w:val="22"/>
        </w:rPr>
        <w:t xml:space="preserve">oferentem, </w:t>
      </w:r>
      <w:r w:rsidR="00D47E7E" w:rsidRPr="00C8544E">
        <w:rPr>
          <w:rFonts w:ascii="Calibri" w:hAnsi="Calibri"/>
          <w:b w:val="0"/>
          <w:sz w:val="22"/>
        </w:rPr>
        <w:t>ale niebędący stroną umowy dotacji</w:t>
      </w:r>
      <w:r w:rsidR="00240C79" w:rsidRPr="00C8544E">
        <w:rPr>
          <w:rFonts w:ascii="Calibri" w:hAnsi="Calibri"/>
          <w:b w:val="0"/>
          <w:sz w:val="22"/>
        </w:rPr>
        <w:t xml:space="preserve"> (partnerem nie jest przedstawicielstwo oferenta zarejestrowanego za granicą)</w:t>
      </w:r>
      <w:r w:rsidR="00D47E7E" w:rsidRPr="00C8544E">
        <w:rPr>
          <w:rFonts w:ascii="Calibri" w:hAnsi="Calibri"/>
          <w:b w:val="0"/>
          <w:sz w:val="22"/>
        </w:rPr>
        <w:t>. Partner bierze udział w formułowaniu założeń i w realizacji projektu, może</w:t>
      </w:r>
      <w:r w:rsidR="008E1929">
        <w:rPr>
          <w:rFonts w:ascii="Calibri" w:hAnsi="Calibri"/>
          <w:b w:val="0"/>
          <w:sz w:val="22"/>
        </w:rPr>
        <w:t xml:space="preserve"> zaangażować w jego realizacje </w:t>
      </w:r>
      <w:r w:rsidR="00D47E7E" w:rsidRPr="00C8544E">
        <w:rPr>
          <w:rFonts w:ascii="Calibri" w:hAnsi="Calibri"/>
          <w:b w:val="0"/>
          <w:sz w:val="22"/>
        </w:rPr>
        <w:t>zasoby, zgodnie z pkt</w:t>
      </w:r>
      <w:r w:rsidR="00240C79" w:rsidRPr="00C8544E">
        <w:rPr>
          <w:rFonts w:ascii="Calibri" w:hAnsi="Calibri"/>
          <w:b w:val="0"/>
          <w:sz w:val="22"/>
        </w:rPr>
        <w:t xml:space="preserve">. </w:t>
      </w:r>
      <w:r w:rsidR="009C04F8">
        <w:rPr>
          <w:rFonts w:ascii="Calibri" w:hAnsi="Calibri"/>
          <w:b w:val="0"/>
          <w:sz w:val="22"/>
        </w:rPr>
        <w:t>5</w:t>
      </w:r>
      <w:r w:rsidR="00D47E7E" w:rsidRPr="008A6E10">
        <w:rPr>
          <w:rFonts w:ascii="Calibri" w:hAnsi="Calibri"/>
          <w:b w:val="0"/>
          <w:sz w:val="22"/>
        </w:rPr>
        <w:t>.6 Wytycznych;</w:t>
      </w:r>
    </w:p>
    <w:p w14:paraId="777D38A3" w14:textId="5E05482A" w:rsidR="00323BAE" w:rsidRPr="007F0321" w:rsidRDefault="00323BAE" w:rsidP="00ED353A">
      <w:pPr>
        <w:pStyle w:val="Nagwek1"/>
        <w:numPr>
          <w:ilvl w:val="1"/>
          <w:numId w:val="2"/>
        </w:numPr>
        <w:spacing w:before="60" w:after="60"/>
        <w:jc w:val="both"/>
        <w:rPr>
          <w:rFonts w:asciiTheme="minorHAnsi" w:hAnsiTheme="minorHAnsi"/>
          <w:b w:val="0"/>
          <w:sz w:val="22"/>
        </w:rPr>
      </w:pPr>
      <w:r w:rsidRPr="007F0321">
        <w:rPr>
          <w:rFonts w:asciiTheme="minorHAnsi" w:hAnsiTheme="minorHAnsi"/>
          <w:sz w:val="22"/>
        </w:rPr>
        <w:t xml:space="preserve">pomoc humanitarna </w:t>
      </w:r>
      <w:r w:rsidRPr="007F0321">
        <w:rPr>
          <w:rFonts w:asciiTheme="minorHAnsi" w:hAnsiTheme="minorHAnsi"/>
          <w:b w:val="0"/>
          <w:sz w:val="22"/>
        </w:rPr>
        <w:t>– jeden z sektorów Oficjalnej Pomocy Rozwojowej wg. DAC OECD. Zgodnie z art. 2 ust.1 pkt 2 ustawy z dnia 16 września 2011 r. o współpracy rozwojowej pomoc humanitarna polega w szczególności na zapewnieniu pomocy, opieki i ochrony dla ludności, która została poszkodowana w wyniku konfliktów zbrojnych, klęsk żywiołowych lub innych kryzysów humanitarnych spowodowanych przez naturę lub człowieka. Polska, jako sygnatariusz Europejskiego Konsensusu w sprawie Pomocy Humanitarnej, zobowiązała się do przestrzegania określonych zasad i wzorców postępowania w pomocy humanitarnej. Polska pomoc humanitarna jest realizowana zgodnie z podstawowymi zasadami humanitarnymi, tj. zasadą humanitaryzmu, neutralności, niezależności i bezstronności.</w:t>
      </w:r>
    </w:p>
    <w:p w14:paraId="36E4719D" w14:textId="70BC5019" w:rsidR="00323BAE" w:rsidRPr="007F0321" w:rsidRDefault="00323BAE" w:rsidP="00ED353A">
      <w:pPr>
        <w:pStyle w:val="Nagwek1"/>
        <w:numPr>
          <w:ilvl w:val="1"/>
          <w:numId w:val="2"/>
        </w:numPr>
        <w:spacing w:before="60" w:after="60"/>
        <w:jc w:val="both"/>
        <w:rPr>
          <w:rFonts w:asciiTheme="minorHAnsi" w:hAnsiTheme="minorHAnsi"/>
          <w:b w:val="0"/>
          <w:sz w:val="22"/>
        </w:rPr>
      </w:pPr>
      <w:r w:rsidRPr="007F0321">
        <w:rPr>
          <w:rFonts w:asciiTheme="minorHAnsi" w:hAnsiTheme="minorHAnsi"/>
          <w:sz w:val="22"/>
        </w:rPr>
        <w:t>projekt humanitarny (humanitarny charakter projektu</w:t>
      </w:r>
      <w:r w:rsidRPr="007F0321">
        <w:rPr>
          <w:rFonts w:asciiTheme="minorHAnsi" w:hAnsiTheme="minorHAnsi"/>
          <w:b w:val="0"/>
          <w:sz w:val="22"/>
        </w:rPr>
        <w:t>) – ciąg działań, mających na celu niesienie pomocy humanitarnej z</w:t>
      </w:r>
      <w:r w:rsidR="00196E2E" w:rsidRPr="007F0321">
        <w:rPr>
          <w:rFonts w:asciiTheme="minorHAnsi" w:hAnsiTheme="minorHAnsi"/>
          <w:b w:val="0"/>
          <w:sz w:val="22"/>
        </w:rPr>
        <w:t>godnie z definicją zawartą w pkt</w:t>
      </w:r>
      <w:r w:rsidRPr="007F0321">
        <w:rPr>
          <w:rFonts w:asciiTheme="minorHAnsi" w:hAnsiTheme="minorHAnsi"/>
          <w:b w:val="0"/>
          <w:sz w:val="22"/>
        </w:rPr>
        <w:t>. 1.1</w:t>
      </w:r>
      <w:r w:rsidR="003B5FAC">
        <w:rPr>
          <w:rFonts w:asciiTheme="minorHAnsi" w:hAnsiTheme="minorHAnsi"/>
          <w:b w:val="0"/>
          <w:sz w:val="22"/>
        </w:rPr>
        <w:t>1</w:t>
      </w:r>
      <w:r w:rsidRPr="007F0321">
        <w:rPr>
          <w:rFonts w:asciiTheme="minorHAnsi" w:hAnsiTheme="minorHAnsi"/>
          <w:b w:val="0"/>
          <w:sz w:val="22"/>
        </w:rPr>
        <w:t xml:space="preserve"> Wytycznych, stanowiących zamkniętą całość, realizowanych w ściśle określonym czasie, finansowanych </w:t>
      </w:r>
      <w:r w:rsidR="0055246C" w:rsidRPr="007F0321">
        <w:rPr>
          <w:rFonts w:asciiTheme="minorHAnsi" w:hAnsiTheme="minorHAnsi"/>
          <w:b w:val="0"/>
          <w:sz w:val="22"/>
        </w:rPr>
        <w:br/>
      </w:r>
      <w:r w:rsidRPr="007F0321">
        <w:rPr>
          <w:rFonts w:asciiTheme="minorHAnsi" w:hAnsiTheme="minorHAnsi"/>
          <w:b w:val="0"/>
          <w:sz w:val="22"/>
        </w:rPr>
        <w:t xml:space="preserve">w ramach określonego budżetu, służących osiągnięciu konkretnych celów i rezultatów. </w:t>
      </w:r>
    </w:p>
    <w:p w14:paraId="1F58D0BA" w14:textId="1C5A0AE0" w:rsidR="00C23459" w:rsidRPr="00C8544E" w:rsidRDefault="003B5FAC" w:rsidP="00ED353A">
      <w:pPr>
        <w:pStyle w:val="Nagwek1"/>
        <w:numPr>
          <w:ilvl w:val="1"/>
          <w:numId w:val="2"/>
        </w:numPr>
        <w:spacing w:before="60" w:after="60"/>
        <w:jc w:val="both"/>
        <w:rPr>
          <w:rFonts w:ascii="Calibri" w:hAnsi="Calibri"/>
          <w:b w:val="0"/>
          <w:sz w:val="22"/>
        </w:rPr>
      </w:pPr>
      <w:r>
        <w:rPr>
          <w:rFonts w:ascii="Calibri" w:hAnsi="Calibri"/>
          <w:sz w:val="22"/>
        </w:rPr>
        <w:t>r</w:t>
      </w:r>
      <w:r w:rsidR="00DF20C0" w:rsidRPr="00C8544E">
        <w:rPr>
          <w:rFonts w:ascii="Calibri" w:hAnsi="Calibri"/>
          <w:sz w:val="22"/>
        </w:rPr>
        <w:t>ezultat</w:t>
      </w:r>
      <w:r w:rsidR="003E4077" w:rsidRPr="00C8544E">
        <w:rPr>
          <w:rFonts w:ascii="Calibri" w:hAnsi="Calibri"/>
          <w:sz w:val="22"/>
        </w:rPr>
        <w:t xml:space="preserve"> bezpośredni</w:t>
      </w:r>
      <w:r w:rsidR="00DF20C0" w:rsidRPr="00C8544E">
        <w:rPr>
          <w:rFonts w:ascii="Calibri" w:hAnsi="Calibri"/>
          <w:b w:val="0"/>
          <w:sz w:val="22"/>
        </w:rPr>
        <w:t xml:space="preserve"> –</w:t>
      </w:r>
      <w:r w:rsidR="00B65EC0" w:rsidRPr="00C8544E">
        <w:rPr>
          <w:rFonts w:ascii="Calibri" w:hAnsi="Calibri"/>
          <w:b w:val="0"/>
          <w:sz w:val="22"/>
        </w:rPr>
        <w:t xml:space="preserve"> wynik zrealizowanych działań projektowych. Każde działanie podjęte </w:t>
      </w:r>
      <w:r w:rsidR="0055246C" w:rsidRPr="00C8544E">
        <w:rPr>
          <w:rFonts w:ascii="Calibri" w:hAnsi="Calibri"/>
          <w:b w:val="0"/>
          <w:sz w:val="22"/>
        </w:rPr>
        <w:br/>
      </w:r>
      <w:r w:rsidR="00B65EC0" w:rsidRPr="00C8544E">
        <w:rPr>
          <w:rFonts w:ascii="Calibri" w:hAnsi="Calibri"/>
          <w:b w:val="0"/>
          <w:sz w:val="22"/>
        </w:rPr>
        <w:t>w ramach projektu musi przyczynić się do osiągnięcia konkretnego rezu</w:t>
      </w:r>
      <w:r w:rsidR="004C5E8C" w:rsidRPr="00C8544E">
        <w:rPr>
          <w:rFonts w:ascii="Calibri" w:hAnsi="Calibri"/>
          <w:b w:val="0"/>
          <w:sz w:val="22"/>
        </w:rPr>
        <w:t xml:space="preserve">ltatu, przy czym możliwe jest, </w:t>
      </w:r>
      <w:r w:rsidR="00B65EC0" w:rsidRPr="00C8544E">
        <w:rPr>
          <w:rFonts w:ascii="Calibri" w:hAnsi="Calibri"/>
          <w:b w:val="0"/>
          <w:sz w:val="22"/>
        </w:rPr>
        <w:t>ż</w:t>
      </w:r>
      <w:r w:rsidR="004C5E8C" w:rsidRPr="00C8544E">
        <w:rPr>
          <w:rFonts w:ascii="Calibri" w:hAnsi="Calibri"/>
          <w:b w:val="0"/>
          <w:sz w:val="22"/>
        </w:rPr>
        <w:t>e</w:t>
      </w:r>
      <w:r w:rsidR="00B65EC0" w:rsidRPr="00C8544E">
        <w:rPr>
          <w:rFonts w:ascii="Calibri" w:hAnsi="Calibri"/>
          <w:b w:val="0"/>
          <w:sz w:val="22"/>
        </w:rPr>
        <w:t xml:space="preserve"> kilka działań będzie dotyczyło jednego rezultatu. Rezultaty projektu przyczyniają się do osiągnięcia założonych </w:t>
      </w:r>
      <w:r w:rsidR="00B65EC0" w:rsidRPr="00C8544E">
        <w:rPr>
          <w:rFonts w:ascii="Calibri" w:hAnsi="Calibri"/>
          <w:b w:val="0"/>
          <w:i/>
          <w:sz w:val="22"/>
        </w:rPr>
        <w:t>celów bezpośrednich</w:t>
      </w:r>
      <w:r w:rsidR="00B65EC0" w:rsidRPr="00C8544E">
        <w:rPr>
          <w:rFonts w:ascii="Calibri" w:hAnsi="Calibri"/>
          <w:b w:val="0"/>
          <w:sz w:val="22"/>
        </w:rPr>
        <w:t xml:space="preserve"> i w konsekwencji – również </w:t>
      </w:r>
      <w:r w:rsidR="00B65EC0" w:rsidRPr="00C8544E">
        <w:rPr>
          <w:rFonts w:ascii="Calibri" w:hAnsi="Calibri"/>
          <w:b w:val="0"/>
          <w:i/>
          <w:sz w:val="22"/>
        </w:rPr>
        <w:t>celu ogólnego</w:t>
      </w:r>
      <w:r w:rsidR="00B65EC0" w:rsidRPr="00C8544E">
        <w:rPr>
          <w:rFonts w:ascii="Calibri" w:hAnsi="Calibri"/>
          <w:b w:val="0"/>
          <w:sz w:val="22"/>
        </w:rPr>
        <w:t xml:space="preserve">. </w:t>
      </w:r>
      <w:r w:rsidR="00C23459" w:rsidRPr="00C8544E">
        <w:rPr>
          <w:rFonts w:ascii="Calibri" w:hAnsi="Calibri"/>
          <w:b w:val="0"/>
          <w:sz w:val="22"/>
        </w:rPr>
        <w:t xml:space="preserve">Istotą </w:t>
      </w:r>
      <w:r w:rsidR="00C23459" w:rsidRPr="00C8544E">
        <w:rPr>
          <w:rFonts w:ascii="Calibri" w:hAnsi="Calibri"/>
          <w:b w:val="0"/>
          <w:sz w:val="22"/>
        </w:rPr>
        <w:lastRenderedPageBreak/>
        <w:t xml:space="preserve">rezultatu jest to, że jest on w pełni policzalny dzięki wskaźnikom, przy pomocy dostępnych miar i wag lub jednostek matematycznych. </w:t>
      </w:r>
    </w:p>
    <w:p w14:paraId="13C53ED2" w14:textId="77777777" w:rsidR="002854C9" w:rsidRDefault="00B65EC0" w:rsidP="00ED353A">
      <w:pPr>
        <w:pStyle w:val="Nagwek1"/>
        <w:numPr>
          <w:ilvl w:val="1"/>
          <w:numId w:val="2"/>
        </w:numPr>
        <w:spacing w:before="60" w:after="60"/>
        <w:jc w:val="both"/>
        <w:rPr>
          <w:rFonts w:ascii="Calibri" w:hAnsi="Calibri"/>
          <w:b w:val="0"/>
          <w:sz w:val="22"/>
        </w:rPr>
      </w:pPr>
      <w:bookmarkStart w:id="2" w:name="_Toc161822730"/>
      <w:bookmarkStart w:id="3" w:name="_Toc161822795"/>
      <w:bookmarkStart w:id="4" w:name="_Toc162075971"/>
      <w:bookmarkStart w:id="5" w:name="_Toc132393186"/>
      <w:r w:rsidRPr="002854C9">
        <w:rPr>
          <w:rFonts w:ascii="Calibri" w:hAnsi="Calibri"/>
          <w:sz w:val="22"/>
        </w:rPr>
        <w:t xml:space="preserve">wskaźnik </w:t>
      </w:r>
      <w:r w:rsidR="00B25868" w:rsidRPr="002854C9">
        <w:rPr>
          <w:rFonts w:ascii="Calibri" w:hAnsi="Calibri"/>
          <w:sz w:val="22"/>
        </w:rPr>
        <w:t xml:space="preserve">rezultatu </w:t>
      </w:r>
      <w:r w:rsidR="003E4077" w:rsidRPr="002854C9">
        <w:rPr>
          <w:rFonts w:ascii="Calibri" w:hAnsi="Calibri"/>
          <w:sz w:val="22"/>
        </w:rPr>
        <w:t xml:space="preserve">bezpośredniego </w:t>
      </w:r>
      <w:r w:rsidRPr="002854C9">
        <w:rPr>
          <w:rFonts w:ascii="Calibri" w:hAnsi="Calibri"/>
          <w:b w:val="0"/>
          <w:sz w:val="22"/>
        </w:rPr>
        <w:t>–</w:t>
      </w:r>
      <w:r w:rsidR="00B25868" w:rsidRPr="002854C9">
        <w:rPr>
          <w:rFonts w:ascii="Calibri" w:hAnsi="Calibri"/>
          <w:b w:val="0"/>
          <w:sz w:val="22"/>
        </w:rPr>
        <w:t xml:space="preserve"> </w:t>
      </w:r>
      <w:r w:rsidR="003E4077" w:rsidRPr="002854C9">
        <w:rPr>
          <w:rFonts w:ascii="Calibri" w:hAnsi="Calibri"/>
          <w:b w:val="0"/>
          <w:sz w:val="22"/>
        </w:rPr>
        <w:t xml:space="preserve">narzędzie służące monitorowaniu postępu w realizacji założonych działań i </w:t>
      </w:r>
      <w:r w:rsidR="003E4077" w:rsidRPr="002854C9">
        <w:rPr>
          <w:rFonts w:ascii="Calibri" w:hAnsi="Calibri"/>
          <w:b w:val="0"/>
          <w:i/>
          <w:sz w:val="22"/>
        </w:rPr>
        <w:t>celów bezpośrednich</w:t>
      </w:r>
      <w:r w:rsidR="003E4077" w:rsidRPr="002854C9">
        <w:rPr>
          <w:rFonts w:ascii="Calibri" w:hAnsi="Calibri"/>
          <w:b w:val="0"/>
          <w:sz w:val="22"/>
        </w:rPr>
        <w:t xml:space="preserve"> projektu. Główną funkcją wskaźników jest zmierzenie, na ile cel projektu (w przypadku wskaźników rezultatu) lub przewidziane w nim działania zostały zrealizowane, tj. kiedy można uznać, że zidentyfikowany w projekcie problem dotyczący grupy docelowej został rozwiązany lub złagodzony, a projekt zakończył się sukcesem. Wszystkie wskaźniki muszą być mierzalne i możliwe do zweryfikowania. Nie należy wybierać wskaźników zbyt skomplikowanych, niemożliwych do policzenia i sprawdzenia. W przypadku bardziej złożonych wskaźników oferenci powinni dokładnie i w sposób czytelny przedstawić metodologię, jaką zastosowali przy pomiarze wielkości wskaźnika;</w:t>
      </w:r>
    </w:p>
    <w:p w14:paraId="3345C9AA" w14:textId="0EDB5D8E" w:rsidR="00B65EC0" w:rsidRDefault="00B65EC0" w:rsidP="00ED353A">
      <w:pPr>
        <w:pStyle w:val="Nagwek1"/>
        <w:numPr>
          <w:ilvl w:val="1"/>
          <w:numId w:val="2"/>
        </w:numPr>
        <w:spacing w:before="60" w:after="60"/>
        <w:jc w:val="both"/>
        <w:rPr>
          <w:rFonts w:ascii="Calibri" w:hAnsi="Calibri"/>
          <w:b w:val="0"/>
          <w:sz w:val="22"/>
        </w:rPr>
      </w:pPr>
      <w:r w:rsidRPr="002854C9">
        <w:rPr>
          <w:rFonts w:ascii="Calibri" w:hAnsi="Calibri"/>
          <w:sz w:val="22"/>
        </w:rPr>
        <w:t>wskaźnik</w:t>
      </w:r>
      <w:r w:rsidR="004C5E8C" w:rsidRPr="002854C9">
        <w:rPr>
          <w:rFonts w:ascii="Calibri" w:hAnsi="Calibri"/>
          <w:sz w:val="22"/>
        </w:rPr>
        <w:t xml:space="preserve"> </w:t>
      </w:r>
      <w:r w:rsidRPr="002854C9">
        <w:rPr>
          <w:rFonts w:ascii="Calibri" w:hAnsi="Calibri"/>
          <w:sz w:val="22"/>
        </w:rPr>
        <w:t>celu</w:t>
      </w:r>
      <w:r w:rsidR="004C5E8C" w:rsidRPr="002854C9">
        <w:rPr>
          <w:rFonts w:ascii="Calibri" w:hAnsi="Calibri"/>
          <w:sz w:val="22"/>
        </w:rPr>
        <w:t xml:space="preserve"> </w:t>
      </w:r>
      <w:r w:rsidRPr="002854C9">
        <w:rPr>
          <w:rFonts w:ascii="Calibri" w:hAnsi="Calibri"/>
          <w:sz w:val="22"/>
        </w:rPr>
        <w:t>bezpośredniego</w:t>
      </w:r>
      <w:r w:rsidR="004C5E8C" w:rsidRPr="002854C9">
        <w:rPr>
          <w:rFonts w:ascii="Calibri" w:hAnsi="Calibri"/>
          <w:sz w:val="22"/>
        </w:rPr>
        <w:t xml:space="preserve"> </w:t>
      </w:r>
      <w:r w:rsidRPr="002854C9">
        <w:rPr>
          <w:rFonts w:ascii="Calibri" w:hAnsi="Calibri"/>
          <w:b w:val="0"/>
          <w:sz w:val="22"/>
        </w:rPr>
        <w:t>–</w:t>
      </w:r>
      <w:r w:rsidR="00B25868" w:rsidRPr="002854C9">
        <w:rPr>
          <w:rFonts w:ascii="Calibri" w:hAnsi="Calibri"/>
          <w:b w:val="0"/>
          <w:sz w:val="22"/>
        </w:rPr>
        <w:t xml:space="preserve"> </w:t>
      </w:r>
      <w:r w:rsidRPr="002854C9">
        <w:rPr>
          <w:rFonts w:ascii="Calibri" w:hAnsi="Calibri"/>
          <w:b w:val="0"/>
          <w:sz w:val="22"/>
        </w:rPr>
        <w:t>kryterium</w:t>
      </w:r>
      <w:r w:rsidR="004C5E8C" w:rsidRPr="002854C9">
        <w:rPr>
          <w:rFonts w:ascii="Calibri" w:hAnsi="Calibri"/>
          <w:b w:val="0"/>
          <w:sz w:val="22"/>
        </w:rPr>
        <w:t xml:space="preserve"> </w:t>
      </w:r>
      <w:r w:rsidRPr="002854C9">
        <w:rPr>
          <w:rFonts w:ascii="Calibri" w:hAnsi="Calibri"/>
          <w:b w:val="0"/>
          <w:sz w:val="22"/>
        </w:rPr>
        <w:t>pozwalające</w:t>
      </w:r>
      <w:r w:rsidR="004C5E8C" w:rsidRPr="002854C9">
        <w:rPr>
          <w:rFonts w:ascii="Calibri" w:hAnsi="Calibri"/>
          <w:b w:val="0"/>
          <w:sz w:val="22"/>
        </w:rPr>
        <w:t xml:space="preserve"> </w:t>
      </w:r>
      <w:r w:rsidR="00B25868" w:rsidRPr="002854C9">
        <w:rPr>
          <w:rFonts w:ascii="Calibri" w:hAnsi="Calibri"/>
          <w:b w:val="0"/>
          <w:sz w:val="22"/>
        </w:rPr>
        <w:t xml:space="preserve">określić, </w:t>
      </w:r>
      <w:r w:rsidRPr="002854C9">
        <w:rPr>
          <w:rFonts w:ascii="Calibri" w:hAnsi="Calibri"/>
          <w:b w:val="0"/>
          <w:sz w:val="22"/>
        </w:rPr>
        <w:t>w jakim sto</w:t>
      </w:r>
      <w:r w:rsidR="00B25868" w:rsidRPr="002854C9">
        <w:rPr>
          <w:rFonts w:ascii="Calibri" w:hAnsi="Calibri"/>
          <w:b w:val="0"/>
          <w:sz w:val="22"/>
        </w:rPr>
        <w:t>pniu realizacja działań projektowych</w:t>
      </w:r>
      <w:r w:rsidRPr="002854C9">
        <w:rPr>
          <w:rFonts w:ascii="Calibri" w:hAnsi="Calibri"/>
          <w:b w:val="0"/>
          <w:sz w:val="22"/>
        </w:rPr>
        <w:t xml:space="preserve"> poz</w:t>
      </w:r>
      <w:r w:rsidR="00B25868" w:rsidRPr="002854C9">
        <w:rPr>
          <w:rFonts w:ascii="Calibri" w:hAnsi="Calibri"/>
          <w:b w:val="0"/>
          <w:sz w:val="22"/>
        </w:rPr>
        <w:t>woliła na rozwiązanie</w:t>
      </w:r>
      <w:r w:rsidRPr="002854C9">
        <w:rPr>
          <w:rFonts w:ascii="Calibri" w:hAnsi="Calibri"/>
          <w:b w:val="0"/>
          <w:sz w:val="22"/>
        </w:rPr>
        <w:t xml:space="preserve"> problemu, którego projekt dotyczył. Wskaźn</w:t>
      </w:r>
      <w:r w:rsidR="00547CD0" w:rsidRPr="002854C9">
        <w:rPr>
          <w:rFonts w:ascii="Calibri" w:hAnsi="Calibri"/>
          <w:b w:val="0"/>
          <w:sz w:val="22"/>
        </w:rPr>
        <w:t xml:space="preserve">ik wiąże się </w:t>
      </w:r>
      <w:r w:rsidRPr="002854C9">
        <w:rPr>
          <w:rFonts w:ascii="Calibri" w:hAnsi="Calibri"/>
          <w:b w:val="0"/>
          <w:sz w:val="22"/>
        </w:rPr>
        <w:t>z</w:t>
      </w:r>
      <w:r w:rsidR="00547CD0" w:rsidRPr="002854C9">
        <w:rPr>
          <w:rFonts w:ascii="Calibri" w:hAnsi="Calibri"/>
          <w:b w:val="0"/>
          <w:sz w:val="22"/>
        </w:rPr>
        <w:t xml:space="preserve"> efektami projektu i dostarcza</w:t>
      </w:r>
      <w:r w:rsidRPr="002854C9">
        <w:rPr>
          <w:rFonts w:ascii="Calibri" w:hAnsi="Calibri"/>
          <w:b w:val="0"/>
          <w:sz w:val="22"/>
        </w:rPr>
        <w:t xml:space="preserve"> informacji o zmianach,</w:t>
      </w:r>
      <w:r w:rsidR="00547CD0" w:rsidRPr="002854C9">
        <w:rPr>
          <w:rFonts w:ascii="Calibri" w:hAnsi="Calibri"/>
          <w:b w:val="0"/>
          <w:sz w:val="22"/>
        </w:rPr>
        <w:t xml:space="preserve"> jakie nastąpiły </w:t>
      </w:r>
      <w:r w:rsidR="0055246C" w:rsidRPr="002854C9">
        <w:rPr>
          <w:rFonts w:ascii="Calibri" w:hAnsi="Calibri"/>
          <w:b w:val="0"/>
          <w:sz w:val="22"/>
        </w:rPr>
        <w:br/>
      </w:r>
      <w:r w:rsidR="00547CD0" w:rsidRPr="002854C9">
        <w:rPr>
          <w:rFonts w:ascii="Calibri" w:hAnsi="Calibri"/>
          <w:b w:val="0"/>
          <w:sz w:val="22"/>
        </w:rPr>
        <w:t>u beneficjenta</w:t>
      </w:r>
      <w:r w:rsidR="00DE48B8" w:rsidRPr="002854C9">
        <w:rPr>
          <w:rFonts w:ascii="Calibri" w:hAnsi="Calibri"/>
          <w:b w:val="0"/>
          <w:sz w:val="22"/>
        </w:rPr>
        <w:t xml:space="preserve"> w wyniku realizacji projektu.</w:t>
      </w:r>
      <w:r w:rsidR="00BB3D52" w:rsidRPr="002854C9">
        <w:rPr>
          <w:rFonts w:ascii="Calibri" w:hAnsi="Calibri"/>
          <w:b w:val="0"/>
          <w:sz w:val="22"/>
        </w:rPr>
        <w:t xml:space="preserve"> </w:t>
      </w:r>
    </w:p>
    <w:p w14:paraId="41930E44" w14:textId="77777777" w:rsidR="0014490A" w:rsidRPr="00957A19" w:rsidRDefault="0014490A" w:rsidP="0014490A">
      <w:pPr>
        <w:pStyle w:val="Akapitzlist"/>
        <w:numPr>
          <w:ilvl w:val="1"/>
          <w:numId w:val="2"/>
        </w:numPr>
        <w:spacing w:before="120" w:after="120"/>
        <w:ind w:left="578" w:hanging="578"/>
        <w:rPr>
          <w:sz w:val="22"/>
          <w:szCs w:val="22"/>
        </w:rPr>
      </w:pPr>
      <w:r w:rsidRPr="00957A19">
        <w:rPr>
          <w:b/>
          <w:sz w:val="22"/>
          <w:szCs w:val="22"/>
        </w:rPr>
        <w:t>zleceniodawca</w:t>
      </w:r>
      <w:r w:rsidRPr="00957A19">
        <w:rPr>
          <w:sz w:val="22"/>
          <w:szCs w:val="22"/>
        </w:rPr>
        <w:t xml:space="preserve"> – minister spraw zagranicznych;</w:t>
      </w:r>
    </w:p>
    <w:p w14:paraId="10A0BD65" w14:textId="745C5252" w:rsidR="0014490A" w:rsidRPr="0014490A" w:rsidRDefault="0014490A" w:rsidP="0014490A">
      <w:pPr>
        <w:pStyle w:val="Akapitzlist"/>
        <w:numPr>
          <w:ilvl w:val="1"/>
          <w:numId w:val="2"/>
        </w:numPr>
        <w:jc w:val="both"/>
      </w:pPr>
      <w:r w:rsidRPr="00957A19">
        <w:rPr>
          <w:b/>
          <w:sz w:val="22"/>
          <w:szCs w:val="22"/>
        </w:rPr>
        <w:t>zleceniobiorca</w:t>
      </w:r>
      <w:r w:rsidRPr="00957A19">
        <w:rPr>
          <w:sz w:val="22"/>
          <w:szCs w:val="22"/>
        </w:rPr>
        <w:t xml:space="preserve"> – oferent, który uzyskał dotację dla projektu złożo</w:t>
      </w:r>
      <w:r>
        <w:rPr>
          <w:sz w:val="22"/>
          <w:szCs w:val="22"/>
        </w:rPr>
        <w:t>nego w konkursie ofert „Pomoc humanitarna</w:t>
      </w:r>
      <w:r w:rsidRPr="00957A19">
        <w:rPr>
          <w:sz w:val="22"/>
          <w:szCs w:val="22"/>
        </w:rPr>
        <w:t xml:space="preserve"> 2022”.</w:t>
      </w:r>
    </w:p>
    <w:p w14:paraId="21B883EF" w14:textId="77777777" w:rsidR="0014490A" w:rsidRPr="0014490A" w:rsidRDefault="0014490A" w:rsidP="0014490A">
      <w:pPr>
        <w:pStyle w:val="Nagwek1"/>
        <w:numPr>
          <w:ilvl w:val="0"/>
          <w:numId w:val="2"/>
        </w:numPr>
        <w:spacing w:before="60" w:after="60"/>
        <w:jc w:val="both"/>
        <w:rPr>
          <w:rFonts w:ascii="Calibri" w:hAnsi="Calibri"/>
          <w:sz w:val="22"/>
        </w:rPr>
      </w:pPr>
      <w:r w:rsidRPr="0014490A">
        <w:rPr>
          <w:rFonts w:ascii="Calibri" w:hAnsi="Calibri"/>
          <w:sz w:val="22"/>
        </w:rPr>
        <w:t>Rekomendacje</w:t>
      </w:r>
    </w:p>
    <w:p w14:paraId="45F03697" w14:textId="7811C297" w:rsidR="00ED353A" w:rsidRPr="00ED353A" w:rsidRDefault="0014490A" w:rsidP="00ED353A">
      <w:pPr>
        <w:pStyle w:val="Akapitzlist"/>
        <w:numPr>
          <w:ilvl w:val="1"/>
          <w:numId w:val="2"/>
        </w:numPr>
        <w:jc w:val="both"/>
      </w:pPr>
      <w:r w:rsidRPr="00957A19">
        <w:rPr>
          <w:rFonts w:cs="Calibri"/>
          <w:sz w:val="22"/>
        </w:rPr>
        <w:t>Minister zachęca podmioty biorące udział w konkursie do uwzględniania przy planowaniu i realizacji projektów w ramach współpracy rozwojowej i pomocy humanitarnej dokumentu OECD zawierającego rekomendacje, mające na celu wzmocnienie współpracy w zakresie sp</w:t>
      </w:r>
      <w:r>
        <w:rPr>
          <w:rFonts w:cs="Calibri"/>
          <w:sz w:val="22"/>
        </w:rPr>
        <w:t xml:space="preserve">ołeczeństwa obywatelskiego, pt. </w:t>
      </w:r>
      <w:r w:rsidRPr="00B750A7">
        <w:rPr>
          <w:rFonts w:cs="Calibri"/>
          <w:sz w:val="22"/>
        </w:rPr>
        <w:t xml:space="preserve">Rekomendacje </w:t>
      </w:r>
      <w:r>
        <w:rPr>
          <w:rFonts w:cs="Calibri"/>
          <w:sz w:val="22"/>
        </w:rPr>
        <w:t>Komitetu Pomocy Rozwojowej</w:t>
      </w:r>
      <w:r w:rsidRPr="00B750A7">
        <w:rPr>
          <w:rFonts w:cs="Calibri"/>
          <w:sz w:val="22"/>
        </w:rPr>
        <w:t xml:space="preserve"> w sprawie włączenia społeczeństwa obywatelskiego we współpracę rozwojową </w:t>
      </w:r>
      <w:r>
        <w:rPr>
          <w:rFonts w:cs="Calibri"/>
          <w:sz w:val="22"/>
        </w:rPr>
        <w:t>i</w:t>
      </w:r>
      <w:r w:rsidRPr="00B750A7">
        <w:rPr>
          <w:rFonts w:cs="Calibri"/>
          <w:sz w:val="22"/>
        </w:rPr>
        <w:t xml:space="preserve"> pomoc humanitarną</w:t>
      </w:r>
      <w:r>
        <w:rPr>
          <w:rFonts w:cs="Calibri"/>
          <w:sz w:val="22"/>
        </w:rPr>
        <w:t xml:space="preserve"> –</w:t>
      </w:r>
      <w:r w:rsidRPr="00B750A7">
        <w:rPr>
          <w:rFonts w:cs="Calibri"/>
          <w:sz w:val="22"/>
        </w:rPr>
        <w:t xml:space="preserve"> </w:t>
      </w:r>
      <w:r w:rsidRPr="00B750A7">
        <w:rPr>
          <w:rFonts w:cs="Calibri"/>
          <w:i/>
          <w:iCs/>
          <w:sz w:val="22"/>
        </w:rPr>
        <w:t xml:space="preserve">DAC </w:t>
      </w:r>
      <w:proofErr w:type="spellStart"/>
      <w:r w:rsidRPr="00B750A7">
        <w:rPr>
          <w:rFonts w:cs="Calibri"/>
          <w:i/>
          <w:iCs/>
          <w:sz w:val="22"/>
        </w:rPr>
        <w:t>Recommendation</w:t>
      </w:r>
      <w:proofErr w:type="spellEnd"/>
      <w:r w:rsidRPr="00B750A7">
        <w:rPr>
          <w:rFonts w:cs="Calibri"/>
          <w:i/>
          <w:iCs/>
          <w:sz w:val="22"/>
        </w:rPr>
        <w:t xml:space="preserve"> on </w:t>
      </w:r>
      <w:proofErr w:type="spellStart"/>
      <w:r w:rsidRPr="00B750A7">
        <w:rPr>
          <w:rFonts w:cs="Calibri"/>
          <w:i/>
          <w:iCs/>
          <w:sz w:val="22"/>
        </w:rPr>
        <w:t>Enabling</w:t>
      </w:r>
      <w:proofErr w:type="spellEnd"/>
      <w:r w:rsidRPr="00B750A7">
        <w:rPr>
          <w:rFonts w:cs="Calibri"/>
          <w:i/>
          <w:iCs/>
          <w:sz w:val="22"/>
        </w:rPr>
        <w:t xml:space="preserve"> </w:t>
      </w:r>
      <w:proofErr w:type="spellStart"/>
      <w:r w:rsidRPr="00B750A7">
        <w:rPr>
          <w:rFonts w:cs="Calibri"/>
          <w:i/>
          <w:iCs/>
          <w:sz w:val="22"/>
        </w:rPr>
        <w:t>Civil</w:t>
      </w:r>
      <w:proofErr w:type="spellEnd"/>
      <w:r w:rsidRPr="00B750A7">
        <w:rPr>
          <w:rFonts w:cs="Calibri"/>
          <w:i/>
          <w:iCs/>
          <w:sz w:val="22"/>
        </w:rPr>
        <w:t xml:space="preserve"> </w:t>
      </w:r>
      <w:proofErr w:type="spellStart"/>
      <w:r w:rsidRPr="00B750A7">
        <w:rPr>
          <w:rFonts w:cs="Calibri"/>
          <w:i/>
          <w:iCs/>
          <w:sz w:val="22"/>
        </w:rPr>
        <w:t>Society</w:t>
      </w:r>
      <w:proofErr w:type="spellEnd"/>
      <w:r w:rsidRPr="00B750A7">
        <w:rPr>
          <w:rFonts w:cs="Calibri"/>
          <w:i/>
          <w:iCs/>
          <w:sz w:val="22"/>
        </w:rPr>
        <w:t xml:space="preserve"> in Development Co-</w:t>
      </w:r>
      <w:proofErr w:type="spellStart"/>
      <w:r w:rsidRPr="00B750A7">
        <w:rPr>
          <w:rFonts w:cs="Calibri"/>
          <w:i/>
          <w:iCs/>
          <w:sz w:val="22"/>
        </w:rPr>
        <w:t>operation</w:t>
      </w:r>
      <w:proofErr w:type="spellEnd"/>
      <w:r w:rsidRPr="00B750A7">
        <w:rPr>
          <w:rFonts w:cs="Calibri"/>
          <w:i/>
          <w:iCs/>
          <w:sz w:val="22"/>
        </w:rPr>
        <w:t xml:space="preserve"> and </w:t>
      </w:r>
      <w:proofErr w:type="spellStart"/>
      <w:r w:rsidRPr="00B750A7">
        <w:rPr>
          <w:rFonts w:cs="Calibri"/>
          <w:i/>
          <w:iCs/>
          <w:sz w:val="22"/>
        </w:rPr>
        <w:t>Humanitarian</w:t>
      </w:r>
      <w:proofErr w:type="spellEnd"/>
      <w:r w:rsidRPr="00B750A7">
        <w:rPr>
          <w:rFonts w:cs="Calibri"/>
          <w:i/>
          <w:iCs/>
          <w:sz w:val="22"/>
        </w:rPr>
        <w:t xml:space="preserve"> Assistance</w:t>
      </w:r>
      <w:r w:rsidRPr="00957A19">
        <w:rPr>
          <w:rStyle w:val="Odwoanieprzypisudolnego"/>
        </w:rPr>
        <w:footnoteReference w:id="1"/>
      </w:r>
      <w:r w:rsidRPr="00B750A7">
        <w:rPr>
          <w:rFonts w:cs="Calibri"/>
          <w:iCs/>
          <w:sz w:val="22"/>
        </w:rPr>
        <w:t>.</w:t>
      </w:r>
    </w:p>
    <w:p w14:paraId="335B1D28" w14:textId="77777777" w:rsidR="002854C9" w:rsidRPr="00D33878" w:rsidRDefault="002854C9" w:rsidP="00ED353A">
      <w:pPr>
        <w:pStyle w:val="Nagwek1"/>
        <w:numPr>
          <w:ilvl w:val="0"/>
          <w:numId w:val="2"/>
        </w:numPr>
        <w:spacing w:before="60" w:after="60"/>
        <w:jc w:val="both"/>
      </w:pPr>
      <w:r w:rsidRPr="00D33878">
        <w:rPr>
          <w:rFonts w:ascii="Calibri" w:hAnsi="Calibri"/>
          <w:sz w:val="22"/>
        </w:rPr>
        <w:t xml:space="preserve">Działania niekwalifikowane jako </w:t>
      </w:r>
      <w:r w:rsidRPr="002854C9">
        <w:rPr>
          <w:rFonts w:ascii="Calibri" w:hAnsi="Calibri"/>
          <w:sz w:val="22"/>
        </w:rPr>
        <w:t>oficjalna pomoc rozwojowa (ODA)</w:t>
      </w:r>
      <w:r w:rsidRPr="00D33878">
        <w:rPr>
          <w:rFonts w:ascii="Calibri" w:hAnsi="Calibri"/>
          <w:sz w:val="22"/>
        </w:rPr>
        <w:t xml:space="preserve"> </w:t>
      </w:r>
    </w:p>
    <w:p w14:paraId="497A547B" w14:textId="77777777" w:rsidR="002854C9" w:rsidRPr="00D33878" w:rsidRDefault="002854C9" w:rsidP="00ED353A">
      <w:pPr>
        <w:pStyle w:val="Nagwek1"/>
        <w:numPr>
          <w:ilvl w:val="1"/>
          <w:numId w:val="2"/>
        </w:numPr>
        <w:spacing w:before="60" w:after="60"/>
        <w:jc w:val="both"/>
        <w:rPr>
          <w:rFonts w:ascii="Calibri" w:hAnsi="Calibri"/>
          <w:b w:val="0"/>
          <w:sz w:val="22"/>
        </w:rPr>
      </w:pPr>
      <w:r w:rsidRPr="00D33878">
        <w:rPr>
          <w:rFonts w:ascii="Calibri" w:hAnsi="Calibri"/>
          <w:b w:val="0"/>
          <w:sz w:val="22"/>
        </w:rPr>
        <w:t>Zgodnie z wytyczn</w:t>
      </w:r>
      <w:r w:rsidRPr="002854C9">
        <w:rPr>
          <w:rFonts w:ascii="Calibri" w:hAnsi="Calibri"/>
          <w:b w:val="0"/>
          <w:sz w:val="22"/>
        </w:rPr>
        <w:t>ymi Komitetu Współpracy Rozwojowej (DAC OECD)</w:t>
      </w:r>
      <w:r w:rsidRPr="002854C9">
        <w:rPr>
          <w:rStyle w:val="Odwoanieprzypisudolnego"/>
          <w:rFonts w:ascii="Calibri" w:hAnsi="Calibri"/>
          <w:b w:val="0"/>
          <w:sz w:val="22"/>
        </w:rPr>
        <w:footnoteReference w:id="2"/>
      </w:r>
      <w:r w:rsidRPr="002854C9">
        <w:rPr>
          <w:rFonts w:ascii="Calibri" w:hAnsi="Calibri"/>
          <w:b w:val="0"/>
          <w:sz w:val="22"/>
        </w:rPr>
        <w:t xml:space="preserve"> do oficjalnej pomocy rozwojowej (ODA)</w:t>
      </w:r>
      <w:r>
        <w:rPr>
          <w:rFonts w:ascii="Calibri" w:hAnsi="Calibri"/>
          <w:b w:val="0"/>
          <w:sz w:val="22"/>
        </w:rPr>
        <w:t xml:space="preserve"> </w:t>
      </w:r>
      <w:r w:rsidRPr="00D33878">
        <w:rPr>
          <w:rFonts w:ascii="Calibri" w:hAnsi="Calibri"/>
          <w:sz w:val="22"/>
        </w:rPr>
        <w:t>nie zalicza</w:t>
      </w:r>
      <w:r w:rsidRPr="00D33878">
        <w:rPr>
          <w:rFonts w:ascii="Calibri" w:hAnsi="Calibri"/>
          <w:b w:val="0"/>
          <w:sz w:val="22"/>
        </w:rPr>
        <w:t xml:space="preserve"> się m.in.: </w:t>
      </w:r>
    </w:p>
    <w:p w14:paraId="7507E16D" w14:textId="77777777" w:rsidR="002854C9" w:rsidRPr="00D33878" w:rsidRDefault="002854C9" w:rsidP="00ED353A">
      <w:pPr>
        <w:pStyle w:val="Nagwek1"/>
        <w:numPr>
          <w:ilvl w:val="0"/>
          <w:numId w:val="24"/>
        </w:numPr>
        <w:spacing w:before="60" w:after="60"/>
        <w:ind w:left="992" w:hanging="425"/>
        <w:jc w:val="both"/>
        <w:rPr>
          <w:rFonts w:ascii="Calibri" w:hAnsi="Calibri"/>
          <w:b w:val="0"/>
          <w:sz w:val="22"/>
        </w:rPr>
      </w:pPr>
      <w:r w:rsidRPr="00D33878">
        <w:rPr>
          <w:rFonts w:ascii="Calibri" w:hAnsi="Calibri"/>
          <w:b w:val="0"/>
          <w:sz w:val="22"/>
        </w:rPr>
        <w:t>pomocy wojskowej (np. szkolenia i wyposażenia armii), działań antyterrorystycznych oraz niektórych aspektów misji pokojowych;</w:t>
      </w:r>
    </w:p>
    <w:p w14:paraId="4A5FFE45" w14:textId="77777777" w:rsidR="002854C9" w:rsidRPr="00D33878" w:rsidRDefault="002854C9" w:rsidP="00ED353A">
      <w:pPr>
        <w:pStyle w:val="Nagwek1"/>
        <w:numPr>
          <w:ilvl w:val="0"/>
          <w:numId w:val="24"/>
        </w:numPr>
        <w:spacing w:before="60" w:after="60"/>
        <w:ind w:left="992" w:hanging="425"/>
        <w:jc w:val="both"/>
        <w:rPr>
          <w:rFonts w:ascii="Calibri" w:hAnsi="Calibri"/>
          <w:b w:val="0"/>
          <w:sz w:val="22"/>
        </w:rPr>
      </w:pPr>
      <w:r w:rsidRPr="00D33878">
        <w:rPr>
          <w:rFonts w:ascii="Calibri" w:hAnsi="Calibri"/>
          <w:b w:val="0"/>
          <w:sz w:val="22"/>
        </w:rPr>
        <w:t>szkoleń policji w zakresie operacji paramilitarnych;</w:t>
      </w:r>
    </w:p>
    <w:p w14:paraId="5FAA77A7" w14:textId="77777777" w:rsidR="002854C9" w:rsidRPr="00D33878" w:rsidRDefault="002854C9" w:rsidP="00ED353A">
      <w:pPr>
        <w:pStyle w:val="Nagwek1"/>
        <w:numPr>
          <w:ilvl w:val="0"/>
          <w:numId w:val="24"/>
        </w:numPr>
        <w:spacing w:before="60" w:after="60"/>
        <w:ind w:left="992" w:hanging="425"/>
        <w:jc w:val="both"/>
        <w:rPr>
          <w:rFonts w:ascii="Calibri" w:hAnsi="Calibri"/>
          <w:b w:val="0"/>
          <w:sz w:val="22"/>
        </w:rPr>
      </w:pPr>
      <w:r w:rsidRPr="00D33878">
        <w:rPr>
          <w:rFonts w:ascii="Calibri" w:hAnsi="Calibri"/>
          <w:b w:val="0"/>
          <w:sz w:val="22"/>
        </w:rPr>
        <w:t>rozminowywania (w celach innych niż cywilne);</w:t>
      </w:r>
    </w:p>
    <w:p w14:paraId="29BD32A9" w14:textId="77777777" w:rsidR="002854C9" w:rsidRPr="00D33878" w:rsidRDefault="002854C9" w:rsidP="00ED353A">
      <w:pPr>
        <w:pStyle w:val="Nagwek1"/>
        <w:numPr>
          <w:ilvl w:val="0"/>
          <w:numId w:val="24"/>
        </w:numPr>
        <w:spacing w:before="60" w:after="60"/>
        <w:ind w:left="992" w:hanging="425"/>
        <w:jc w:val="both"/>
        <w:rPr>
          <w:rFonts w:ascii="Calibri" w:hAnsi="Calibri"/>
          <w:b w:val="0"/>
          <w:sz w:val="22"/>
        </w:rPr>
      </w:pPr>
      <w:r w:rsidRPr="00D33878">
        <w:rPr>
          <w:rFonts w:ascii="Calibri" w:hAnsi="Calibri"/>
          <w:b w:val="0"/>
          <w:sz w:val="22"/>
        </w:rPr>
        <w:t>jednorazowych wydarzeń kulturalnych i sportowych – do oficjalnej pomocy rozwojowej zaliczają się jedynie działania służące rozbudowie i wzmacnianiu zdolności kraju biorcy w danej dziedzinie. Przykładowo, remont biblioteki czy infrastruktury sportowej lub zakup wyposażenia szkół artystycznych byłyby kwalifikowane jako ODA, natomiast opłacenie jednorazowej wystawy malarstwa lub przyjazdu artystów – nie;</w:t>
      </w:r>
    </w:p>
    <w:p w14:paraId="5A4D53EF" w14:textId="74B2E523" w:rsidR="002854C9" w:rsidRDefault="002854C9" w:rsidP="00ED353A">
      <w:pPr>
        <w:pStyle w:val="Nagwek1"/>
        <w:numPr>
          <w:ilvl w:val="0"/>
          <w:numId w:val="24"/>
        </w:numPr>
        <w:spacing w:before="60" w:after="60"/>
        <w:ind w:left="992" w:hanging="425"/>
        <w:jc w:val="both"/>
        <w:rPr>
          <w:rFonts w:ascii="Calibri" w:hAnsi="Calibri"/>
          <w:b w:val="0"/>
          <w:sz w:val="22"/>
        </w:rPr>
      </w:pPr>
      <w:r w:rsidRPr="00D33878">
        <w:rPr>
          <w:rFonts w:ascii="Calibri" w:hAnsi="Calibri"/>
          <w:b w:val="0"/>
          <w:sz w:val="22"/>
        </w:rPr>
        <w:t xml:space="preserve">badań naukowych – za wyjątkiem badań bezpośrednio powiązanych z sytuacją i problemami państw rozwijających się (w tym również badania prowadzone na terenie państwa dawcy). Badania lub ekspertyzy mogą być jednym z działań projektowych mających doprowadzić do ulepszenia metody realizacji projektu. </w:t>
      </w:r>
    </w:p>
    <w:p w14:paraId="0E0D668E" w14:textId="77777777" w:rsidR="00DE716B" w:rsidRPr="00DE716B" w:rsidRDefault="00DE716B" w:rsidP="00ED353A"/>
    <w:p w14:paraId="33ED6BB1" w14:textId="77777777" w:rsidR="002854C9" w:rsidRPr="002854C9" w:rsidRDefault="002854C9" w:rsidP="00ED353A">
      <w:pPr>
        <w:pStyle w:val="Nagwek1"/>
        <w:numPr>
          <w:ilvl w:val="0"/>
          <w:numId w:val="2"/>
        </w:numPr>
        <w:spacing w:before="60" w:after="60"/>
        <w:rPr>
          <w:rFonts w:ascii="Calibri" w:hAnsi="Calibri"/>
          <w:sz w:val="22"/>
        </w:rPr>
      </w:pPr>
      <w:r w:rsidRPr="002854C9">
        <w:rPr>
          <w:rFonts w:ascii="Calibri" w:hAnsi="Calibri"/>
          <w:sz w:val="22"/>
        </w:rPr>
        <w:lastRenderedPageBreak/>
        <w:t xml:space="preserve">Partnerstwo </w:t>
      </w:r>
    </w:p>
    <w:p w14:paraId="36494715" w14:textId="60D7F99F" w:rsidR="002854C9" w:rsidRPr="004D7AA9" w:rsidRDefault="002854C9" w:rsidP="00ED353A">
      <w:pPr>
        <w:pStyle w:val="Nagwek1"/>
        <w:numPr>
          <w:ilvl w:val="1"/>
          <w:numId w:val="2"/>
        </w:numPr>
        <w:spacing w:before="60" w:after="60"/>
        <w:jc w:val="both"/>
        <w:rPr>
          <w:rFonts w:ascii="Calibri" w:hAnsi="Calibri"/>
          <w:b w:val="0"/>
          <w:sz w:val="22"/>
        </w:rPr>
      </w:pPr>
      <w:r w:rsidRPr="004D7AA9">
        <w:rPr>
          <w:rFonts w:ascii="Calibri" w:hAnsi="Calibri"/>
          <w:b w:val="0"/>
          <w:sz w:val="22"/>
        </w:rPr>
        <w:t>Współpraca z partnerem (zgodnie z pkt 6.2. Regulaminu konkursu) powinna uwzględniać następujące kwestie:</w:t>
      </w:r>
    </w:p>
    <w:p w14:paraId="3438CC0B" w14:textId="77777777" w:rsidR="002854C9" w:rsidRPr="002854C9" w:rsidRDefault="002854C9" w:rsidP="00ED353A">
      <w:pPr>
        <w:pStyle w:val="Nagwek3"/>
        <w:numPr>
          <w:ilvl w:val="2"/>
          <w:numId w:val="2"/>
        </w:numPr>
        <w:tabs>
          <w:tab w:val="clear" w:pos="879"/>
          <w:tab w:val="num" w:pos="426"/>
        </w:tabs>
        <w:ind w:left="992" w:hanging="425"/>
        <w:rPr>
          <w:rFonts w:ascii="Calibri" w:hAnsi="Calibri"/>
          <w:sz w:val="22"/>
        </w:rPr>
      </w:pPr>
      <w:r w:rsidRPr="002854C9">
        <w:rPr>
          <w:rFonts w:ascii="Calibri" w:hAnsi="Calibri"/>
          <w:sz w:val="22"/>
        </w:rPr>
        <w:t>oferent dołącza skan listu intencyjnego potwierdzającego gotowość partnera do nawiązania współpracy oraz wskazuje w ofercie zadania, które będzie realizował partner;</w:t>
      </w:r>
    </w:p>
    <w:p w14:paraId="01F88C8E" w14:textId="77777777" w:rsidR="002854C9" w:rsidRPr="002854C9" w:rsidRDefault="002854C9" w:rsidP="00ED353A">
      <w:pPr>
        <w:pStyle w:val="Akapitzlist"/>
        <w:numPr>
          <w:ilvl w:val="2"/>
          <w:numId w:val="2"/>
        </w:numPr>
        <w:tabs>
          <w:tab w:val="clear" w:pos="879"/>
          <w:tab w:val="num" w:pos="426"/>
        </w:tabs>
        <w:spacing w:before="60" w:after="60"/>
        <w:ind w:left="992" w:hanging="425"/>
        <w:jc w:val="both"/>
        <w:rPr>
          <w:sz w:val="22"/>
        </w:rPr>
      </w:pPr>
      <w:r w:rsidRPr="002854C9">
        <w:rPr>
          <w:sz w:val="22"/>
        </w:rPr>
        <w:t>o wyborze partnera powinny decydować przede wszystkim merytoryczne założenia projektu oraz doświadczenie i możliwości organizacyjne partnera, jego</w:t>
      </w:r>
      <w:r w:rsidRPr="002854C9">
        <w:rPr>
          <w:sz w:val="22"/>
          <w:szCs w:val="22"/>
        </w:rPr>
        <w:t xml:space="preserve"> zasoby kadrowe i finansowe;</w:t>
      </w:r>
    </w:p>
    <w:p w14:paraId="3734CCCC" w14:textId="77D20624" w:rsidR="002854C9" w:rsidRPr="002854C9" w:rsidRDefault="002854C9" w:rsidP="00ED353A">
      <w:pPr>
        <w:pStyle w:val="Nagwek3"/>
        <w:numPr>
          <w:ilvl w:val="2"/>
          <w:numId w:val="2"/>
        </w:numPr>
        <w:tabs>
          <w:tab w:val="clear" w:pos="879"/>
          <w:tab w:val="num" w:pos="426"/>
        </w:tabs>
        <w:ind w:left="992" w:hanging="425"/>
        <w:rPr>
          <w:rFonts w:ascii="Calibri" w:hAnsi="Calibri"/>
          <w:sz w:val="22"/>
        </w:rPr>
      </w:pPr>
      <w:r w:rsidRPr="002854C9">
        <w:rPr>
          <w:rFonts w:ascii="Calibri" w:hAnsi="Calibri"/>
          <w:sz w:val="22"/>
        </w:rPr>
        <w:t>za realizację projektu odpowiedzialny jest Zleceniobiorca, czyli oferent, który podpisał umowę dotacji z MSZ. Na Zleceniobiorcy spoczywają podstawowe obowiązki wobec MSZ, takie jak np. rozliczanie projektu i</w:t>
      </w:r>
      <w:r w:rsidR="00ED75E8">
        <w:rPr>
          <w:rFonts w:ascii="Calibri" w:hAnsi="Calibri"/>
          <w:sz w:val="22"/>
        </w:rPr>
        <w:t xml:space="preserve"> złożenie sprawozdania z wykonania projektu</w:t>
      </w:r>
      <w:r w:rsidRPr="002854C9">
        <w:rPr>
          <w:rFonts w:ascii="Calibri" w:hAnsi="Calibri"/>
          <w:sz w:val="22"/>
        </w:rPr>
        <w:t>;</w:t>
      </w:r>
    </w:p>
    <w:p w14:paraId="7FA18433" w14:textId="77777777" w:rsidR="002854C9" w:rsidRPr="002854C9" w:rsidRDefault="002854C9" w:rsidP="00ED353A">
      <w:pPr>
        <w:pStyle w:val="Nagwek3"/>
        <w:numPr>
          <w:ilvl w:val="2"/>
          <w:numId w:val="2"/>
        </w:numPr>
        <w:tabs>
          <w:tab w:val="clear" w:pos="879"/>
          <w:tab w:val="num" w:pos="426"/>
        </w:tabs>
        <w:ind w:left="992" w:hanging="425"/>
        <w:rPr>
          <w:rFonts w:ascii="Calibri" w:hAnsi="Calibri"/>
          <w:sz w:val="22"/>
        </w:rPr>
      </w:pPr>
      <w:r w:rsidRPr="002854C9">
        <w:rPr>
          <w:rFonts w:ascii="Calibri" w:hAnsi="Calibri"/>
          <w:sz w:val="22"/>
        </w:rPr>
        <w:t>za działania lub zaniechania partnera Zleceniobiorca odpowiada jak za działania własne;</w:t>
      </w:r>
    </w:p>
    <w:p w14:paraId="7259A46A" w14:textId="77777777" w:rsidR="002854C9" w:rsidRPr="002854C9" w:rsidRDefault="002854C9" w:rsidP="00ED353A">
      <w:pPr>
        <w:pStyle w:val="Nagwek3"/>
        <w:numPr>
          <w:ilvl w:val="2"/>
          <w:numId w:val="2"/>
        </w:numPr>
        <w:tabs>
          <w:tab w:val="clear" w:pos="879"/>
          <w:tab w:val="num" w:pos="426"/>
        </w:tabs>
        <w:ind w:left="992" w:hanging="425"/>
        <w:rPr>
          <w:rFonts w:ascii="Calibri" w:hAnsi="Calibri"/>
          <w:sz w:val="22"/>
        </w:rPr>
      </w:pPr>
      <w:r w:rsidRPr="002854C9">
        <w:rPr>
          <w:rFonts w:ascii="Calibri" w:hAnsi="Calibri"/>
          <w:sz w:val="22"/>
        </w:rPr>
        <w:t>nie ma ograniczeń co do liczby podmiotów, z którymi można współpracować przy realizacji danego projektu, o ile podmioty te zostały wskazane w ofercie;</w:t>
      </w:r>
    </w:p>
    <w:p w14:paraId="74057B81" w14:textId="77777777" w:rsidR="002854C9" w:rsidRPr="002854C9" w:rsidRDefault="002854C9" w:rsidP="00ED353A">
      <w:pPr>
        <w:pStyle w:val="Nagwek3"/>
        <w:numPr>
          <w:ilvl w:val="2"/>
          <w:numId w:val="2"/>
        </w:numPr>
        <w:tabs>
          <w:tab w:val="clear" w:pos="879"/>
          <w:tab w:val="num" w:pos="426"/>
        </w:tabs>
        <w:ind w:left="992" w:hanging="425"/>
        <w:rPr>
          <w:rFonts w:ascii="Calibri" w:hAnsi="Calibri"/>
          <w:sz w:val="22"/>
        </w:rPr>
      </w:pPr>
      <w:r w:rsidRPr="002854C9">
        <w:rPr>
          <w:rFonts w:ascii="Calibri" w:hAnsi="Calibri"/>
          <w:sz w:val="22"/>
        </w:rPr>
        <w:t xml:space="preserve">w przypadku przekazania partnerom środków materialnych zakupionych w projekcie (np. sprzętu, wyposażenia) Zleceniobiorca zobowiąże ich do korzystania z przekazanych rzeczy zgodnie z założeniami projektu przez okres co najmniej lat 3. </w:t>
      </w:r>
    </w:p>
    <w:p w14:paraId="115FED97" w14:textId="59E0648B" w:rsidR="002854C9" w:rsidRPr="002854C9" w:rsidRDefault="002854C9" w:rsidP="00ED353A">
      <w:pPr>
        <w:pStyle w:val="Nagwek1"/>
        <w:numPr>
          <w:ilvl w:val="1"/>
          <w:numId w:val="2"/>
        </w:numPr>
        <w:spacing w:before="60" w:after="60"/>
        <w:jc w:val="both"/>
        <w:rPr>
          <w:rFonts w:ascii="Calibri" w:hAnsi="Calibri"/>
          <w:b w:val="0"/>
          <w:sz w:val="22"/>
        </w:rPr>
      </w:pPr>
      <w:r w:rsidRPr="002854C9">
        <w:rPr>
          <w:rFonts w:ascii="Calibri" w:hAnsi="Calibri"/>
          <w:b w:val="0"/>
          <w:sz w:val="22"/>
        </w:rPr>
        <w:t>Zaleca się, aby zasady i warunki partnerstwa uregulowane były w umowie partnerskiej (porozumieniu) pomiędzy Zleceniobiorcą a partnerem.</w:t>
      </w:r>
      <w:r w:rsidR="00ED75E8">
        <w:rPr>
          <w:rFonts w:ascii="Calibri" w:hAnsi="Calibri"/>
          <w:b w:val="0"/>
          <w:sz w:val="22"/>
        </w:rPr>
        <w:t xml:space="preserve"> Z</w:t>
      </w:r>
      <w:r w:rsidR="00C53938">
        <w:rPr>
          <w:rFonts w:ascii="Calibri" w:hAnsi="Calibri"/>
          <w:b w:val="0"/>
          <w:sz w:val="22"/>
        </w:rPr>
        <w:t>a</w:t>
      </w:r>
      <w:r w:rsidR="00ED75E8">
        <w:rPr>
          <w:rFonts w:ascii="Calibri" w:hAnsi="Calibri"/>
          <w:b w:val="0"/>
          <w:sz w:val="22"/>
        </w:rPr>
        <w:t xml:space="preserve">leca się, aby przy wyborze partnera kierować się przede wszystkim </w:t>
      </w:r>
      <w:r w:rsidR="00ED75E8" w:rsidRPr="00ED75E8">
        <w:rPr>
          <w:rFonts w:ascii="Calibri" w:hAnsi="Calibri"/>
          <w:sz w:val="22"/>
        </w:rPr>
        <w:t>jego doświadczeniem i możliwościami organizacyjnymi, optymalnymi dla realizacji projektu składanego w konkursie</w:t>
      </w:r>
      <w:r w:rsidR="00ED75E8">
        <w:rPr>
          <w:rFonts w:ascii="Calibri" w:hAnsi="Calibri"/>
          <w:b w:val="0"/>
          <w:sz w:val="22"/>
        </w:rPr>
        <w:t xml:space="preserve">. </w:t>
      </w:r>
    </w:p>
    <w:p w14:paraId="282A78B9" w14:textId="77777777" w:rsidR="002854C9" w:rsidRPr="002854C9" w:rsidRDefault="002854C9" w:rsidP="00ED353A">
      <w:pPr>
        <w:pStyle w:val="Nagwek1"/>
        <w:numPr>
          <w:ilvl w:val="1"/>
          <w:numId w:val="2"/>
        </w:numPr>
        <w:spacing w:before="60" w:after="60"/>
        <w:jc w:val="both"/>
        <w:rPr>
          <w:rFonts w:ascii="Calibri" w:hAnsi="Calibri"/>
          <w:b w:val="0"/>
          <w:sz w:val="22"/>
        </w:rPr>
      </w:pPr>
      <w:r w:rsidRPr="002854C9">
        <w:rPr>
          <w:rFonts w:ascii="Calibri" w:hAnsi="Calibri"/>
          <w:b w:val="0"/>
          <w:sz w:val="22"/>
        </w:rPr>
        <w:t xml:space="preserve">Zawarcie umowy partnerskiej </w:t>
      </w:r>
      <w:r w:rsidRPr="002854C9">
        <w:rPr>
          <w:rFonts w:ascii="Calibri" w:hAnsi="Calibri"/>
          <w:sz w:val="22"/>
        </w:rPr>
        <w:t>jest niezbędne</w:t>
      </w:r>
      <w:r w:rsidRPr="002854C9">
        <w:rPr>
          <w:rFonts w:ascii="Calibri" w:hAnsi="Calibri"/>
          <w:b w:val="0"/>
          <w:sz w:val="22"/>
        </w:rPr>
        <w:t xml:space="preserve"> w przypadku przekazywania partnerowi środków finansowych przez Zleceniobiorcę na poszczególne działania projektowe. Nie ma obowiązku przedłożenia umowy partnerstwa na etapie składania oferty. </w:t>
      </w:r>
    </w:p>
    <w:p w14:paraId="006613E6" w14:textId="77777777" w:rsidR="002854C9" w:rsidRPr="002854C9" w:rsidRDefault="002854C9" w:rsidP="00ED353A">
      <w:pPr>
        <w:pStyle w:val="Nagwek1"/>
        <w:numPr>
          <w:ilvl w:val="1"/>
          <w:numId w:val="2"/>
        </w:numPr>
        <w:spacing w:before="60" w:after="60"/>
        <w:jc w:val="both"/>
        <w:rPr>
          <w:rFonts w:ascii="Calibri" w:hAnsi="Calibri"/>
          <w:b w:val="0"/>
          <w:sz w:val="22"/>
        </w:rPr>
      </w:pPr>
      <w:r w:rsidRPr="002854C9">
        <w:rPr>
          <w:rFonts w:ascii="Calibri" w:hAnsi="Calibri"/>
          <w:b w:val="0"/>
          <w:sz w:val="22"/>
        </w:rPr>
        <w:t>Umowa partnerska</w:t>
      </w:r>
      <w:r w:rsidRPr="002854C9">
        <w:rPr>
          <w:rFonts w:ascii="Calibri" w:hAnsi="Calibri"/>
          <w:sz w:val="22"/>
        </w:rPr>
        <w:t xml:space="preserve"> </w:t>
      </w:r>
      <w:r w:rsidRPr="002854C9">
        <w:rPr>
          <w:rFonts w:ascii="Calibri" w:hAnsi="Calibri"/>
          <w:b w:val="0"/>
          <w:sz w:val="22"/>
        </w:rPr>
        <w:t>powinna zawierać w szczególności:</w:t>
      </w:r>
    </w:p>
    <w:p w14:paraId="671604FE" w14:textId="77777777" w:rsidR="002854C9" w:rsidRPr="002854C9" w:rsidRDefault="002854C9" w:rsidP="00ED353A">
      <w:pPr>
        <w:pStyle w:val="Nagwek3"/>
        <w:numPr>
          <w:ilvl w:val="3"/>
          <w:numId w:val="2"/>
        </w:numPr>
        <w:tabs>
          <w:tab w:val="clear" w:pos="907"/>
          <w:tab w:val="num" w:pos="426"/>
        </w:tabs>
        <w:ind w:left="992" w:hanging="425"/>
        <w:rPr>
          <w:rFonts w:ascii="Calibri" w:hAnsi="Calibri"/>
          <w:sz w:val="22"/>
        </w:rPr>
      </w:pPr>
      <w:r w:rsidRPr="002854C9">
        <w:rPr>
          <w:rFonts w:ascii="Calibri" w:hAnsi="Calibri"/>
          <w:sz w:val="22"/>
        </w:rPr>
        <w:t>cel partnerstwa,</w:t>
      </w:r>
    </w:p>
    <w:p w14:paraId="52CA6515" w14:textId="53AEC8B8" w:rsidR="002854C9" w:rsidRPr="002854C9" w:rsidRDefault="002854C9" w:rsidP="00ED353A">
      <w:pPr>
        <w:pStyle w:val="Nagwek4"/>
        <w:numPr>
          <w:ilvl w:val="3"/>
          <w:numId w:val="2"/>
        </w:numPr>
        <w:tabs>
          <w:tab w:val="clear" w:pos="907"/>
          <w:tab w:val="num" w:pos="426"/>
        </w:tabs>
        <w:ind w:left="992" w:hanging="425"/>
        <w:rPr>
          <w:rFonts w:ascii="Calibri" w:hAnsi="Calibri"/>
          <w:sz w:val="22"/>
          <w:szCs w:val="22"/>
        </w:rPr>
      </w:pPr>
      <w:r w:rsidRPr="002854C9">
        <w:rPr>
          <w:rFonts w:ascii="Calibri" w:hAnsi="Calibri"/>
          <w:sz w:val="22"/>
          <w:szCs w:val="22"/>
        </w:rPr>
        <w:t xml:space="preserve">obowiązki </w:t>
      </w:r>
      <w:r w:rsidR="00ED75E8">
        <w:rPr>
          <w:rFonts w:ascii="Calibri" w:hAnsi="Calibri"/>
          <w:sz w:val="22"/>
          <w:szCs w:val="22"/>
        </w:rPr>
        <w:t>S</w:t>
      </w:r>
      <w:r w:rsidRPr="002854C9">
        <w:rPr>
          <w:rFonts w:ascii="Calibri" w:hAnsi="Calibri"/>
          <w:sz w:val="22"/>
          <w:szCs w:val="22"/>
        </w:rPr>
        <w:t>tron umowy w podziale na poszczególne zadania w projekcie (zgodnie z ofertą złożoną do MSZ w konkursie),</w:t>
      </w:r>
    </w:p>
    <w:p w14:paraId="3994B291" w14:textId="77777777" w:rsidR="002854C9" w:rsidRPr="002854C9" w:rsidRDefault="002854C9" w:rsidP="00ED353A">
      <w:pPr>
        <w:pStyle w:val="Nagwek4"/>
        <w:numPr>
          <w:ilvl w:val="3"/>
          <w:numId w:val="2"/>
        </w:numPr>
        <w:tabs>
          <w:tab w:val="clear" w:pos="907"/>
          <w:tab w:val="num" w:pos="426"/>
        </w:tabs>
        <w:ind w:left="992" w:hanging="425"/>
        <w:rPr>
          <w:rFonts w:ascii="Calibri" w:hAnsi="Calibri"/>
          <w:sz w:val="22"/>
          <w:szCs w:val="22"/>
        </w:rPr>
      </w:pPr>
      <w:r w:rsidRPr="002854C9">
        <w:rPr>
          <w:rFonts w:ascii="Calibri" w:hAnsi="Calibri"/>
          <w:sz w:val="22"/>
          <w:szCs w:val="22"/>
        </w:rPr>
        <w:t>plan finansowy w podziale na Strony umowy oraz zasady zarządzania finansowego,</w:t>
      </w:r>
    </w:p>
    <w:p w14:paraId="189339A6" w14:textId="77777777" w:rsidR="002854C9" w:rsidRPr="002854C9" w:rsidRDefault="002854C9" w:rsidP="00ED353A">
      <w:pPr>
        <w:pStyle w:val="Nagwek4"/>
        <w:numPr>
          <w:ilvl w:val="3"/>
          <w:numId w:val="2"/>
        </w:numPr>
        <w:tabs>
          <w:tab w:val="clear" w:pos="907"/>
          <w:tab w:val="num" w:pos="426"/>
        </w:tabs>
        <w:ind w:left="992" w:hanging="425"/>
        <w:rPr>
          <w:rFonts w:ascii="Calibri" w:hAnsi="Calibri"/>
          <w:sz w:val="22"/>
          <w:szCs w:val="22"/>
        </w:rPr>
      </w:pPr>
      <w:r w:rsidRPr="002854C9">
        <w:rPr>
          <w:rFonts w:ascii="Calibri" w:hAnsi="Calibri"/>
          <w:sz w:val="22"/>
          <w:szCs w:val="22"/>
        </w:rPr>
        <w:t>zasady komunikacji i przepływu informacji,</w:t>
      </w:r>
    </w:p>
    <w:p w14:paraId="63174808" w14:textId="77777777" w:rsidR="002854C9" w:rsidRPr="002854C9" w:rsidRDefault="002854C9" w:rsidP="00ED353A">
      <w:pPr>
        <w:pStyle w:val="Nagwek4"/>
        <w:numPr>
          <w:ilvl w:val="3"/>
          <w:numId w:val="2"/>
        </w:numPr>
        <w:tabs>
          <w:tab w:val="clear" w:pos="907"/>
          <w:tab w:val="num" w:pos="426"/>
        </w:tabs>
        <w:ind w:left="992" w:hanging="425"/>
        <w:rPr>
          <w:rFonts w:ascii="Calibri" w:hAnsi="Calibri"/>
          <w:sz w:val="22"/>
          <w:szCs w:val="22"/>
        </w:rPr>
      </w:pPr>
      <w:r w:rsidRPr="002854C9">
        <w:rPr>
          <w:rFonts w:ascii="Calibri" w:hAnsi="Calibri"/>
          <w:sz w:val="22"/>
          <w:szCs w:val="22"/>
        </w:rPr>
        <w:t>zasady podejmowania decyzji,</w:t>
      </w:r>
    </w:p>
    <w:p w14:paraId="0F3333A0" w14:textId="77777777" w:rsidR="002854C9" w:rsidRPr="002854C9" w:rsidRDefault="002854C9" w:rsidP="00ED353A">
      <w:pPr>
        <w:pStyle w:val="Nagwek4"/>
        <w:numPr>
          <w:ilvl w:val="3"/>
          <w:numId w:val="2"/>
        </w:numPr>
        <w:tabs>
          <w:tab w:val="clear" w:pos="907"/>
          <w:tab w:val="num" w:pos="426"/>
        </w:tabs>
        <w:ind w:left="992" w:hanging="425"/>
        <w:rPr>
          <w:rFonts w:ascii="Calibri" w:hAnsi="Calibri"/>
          <w:sz w:val="22"/>
          <w:szCs w:val="22"/>
        </w:rPr>
      </w:pPr>
      <w:r w:rsidRPr="002854C9">
        <w:rPr>
          <w:rFonts w:ascii="Calibri" w:hAnsi="Calibri"/>
          <w:sz w:val="22"/>
          <w:szCs w:val="22"/>
        </w:rPr>
        <w:t>odpowiedzialność partnera za nienależyte wykonanie umowy partnerskiej.</w:t>
      </w:r>
    </w:p>
    <w:p w14:paraId="7882478B" w14:textId="47F9E3DD" w:rsidR="00DE48B8" w:rsidRPr="00C23459" w:rsidRDefault="00DE48B8" w:rsidP="00ED353A">
      <w:pPr>
        <w:rPr>
          <w:highlight w:val="yellow"/>
        </w:rPr>
      </w:pPr>
    </w:p>
    <w:p w14:paraId="5ACE3260" w14:textId="77777777" w:rsidR="00B65EC0" w:rsidRPr="00DE716B" w:rsidRDefault="00B65EC0" w:rsidP="00ED353A">
      <w:pPr>
        <w:pStyle w:val="Nagwek1"/>
        <w:numPr>
          <w:ilvl w:val="0"/>
          <w:numId w:val="2"/>
        </w:numPr>
        <w:spacing w:before="60" w:after="60"/>
        <w:rPr>
          <w:rFonts w:ascii="Calibri" w:hAnsi="Calibri"/>
          <w:sz w:val="22"/>
        </w:rPr>
      </w:pPr>
      <w:bookmarkStart w:id="6" w:name="_Toc242527563"/>
      <w:bookmarkStart w:id="7" w:name="_Toc242527585"/>
      <w:bookmarkStart w:id="8" w:name="_Toc274305326"/>
      <w:bookmarkEnd w:id="6"/>
      <w:bookmarkEnd w:id="7"/>
      <w:r w:rsidRPr="00DE716B">
        <w:rPr>
          <w:rFonts w:ascii="Calibri" w:hAnsi="Calibri"/>
          <w:sz w:val="22"/>
        </w:rPr>
        <w:t xml:space="preserve">Warunki finansowe i zasady kwalifikowalności </w:t>
      </w:r>
      <w:bookmarkEnd w:id="8"/>
      <w:r w:rsidRPr="00DE716B">
        <w:rPr>
          <w:rFonts w:ascii="Calibri" w:hAnsi="Calibri"/>
          <w:sz w:val="22"/>
        </w:rPr>
        <w:t>kosztów</w:t>
      </w:r>
    </w:p>
    <w:p w14:paraId="336F660A" w14:textId="73085AD3" w:rsidR="00B65EC0" w:rsidRPr="00DE716B" w:rsidRDefault="003A3E5E" w:rsidP="00ED353A">
      <w:pPr>
        <w:pStyle w:val="Nagwek1"/>
        <w:numPr>
          <w:ilvl w:val="1"/>
          <w:numId w:val="2"/>
        </w:numPr>
        <w:spacing w:before="60" w:after="60"/>
        <w:jc w:val="both"/>
        <w:rPr>
          <w:rFonts w:ascii="Calibri" w:hAnsi="Calibri"/>
          <w:b w:val="0"/>
          <w:sz w:val="22"/>
        </w:rPr>
      </w:pPr>
      <w:r w:rsidRPr="00DE716B">
        <w:rPr>
          <w:rFonts w:ascii="Calibri" w:hAnsi="Calibri"/>
          <w:b w:val="0"/>
          <w:sz w:val="22"/>
        </w:rPr>
        <w:t xml:space="preserve">Wysokość wnioskowanej dotacji </w:t>
      </w:r>
      <w:r w:rsidR="00B65EC0" w:rsidRPr="00DE716B">
        <w:rPr>
          <w:rFonts w:ascii="Calibri" w:hAnsi="Calibri"/>
          <w:b w:val="0"/>
          <w:sz w:val="22"/>
        </w:rPr>
        <w:t>należy wyrazić w złotych.</w:t>
      </w:r>
    </w:p>
    <w:p w14:paraId="3B264F98" w14:textId="77777777" w:rsidR="00993AB6" w:rsidRPr="00957A19" w:rsidRDefault="00993AB6" w:rsidP="00993AB6">
      <w:pPr>
        <w:pStyle w:val="Nagwek1"/>
        <w:numPr>
          <w:ilvl w:val="1"/>
          <w:numId w:val="2"/>
        </w:numPr>
        <w:jc w:val="both"/>
        <w:rPr>
          <w:rFonts w:ascii="Calibri" w:hAnsi="Calibri"/>
          <w:b w:val="0"/>
          <w:sz w:val="22"/>
        </w:rPr>
      </w:pPr>
      <w:r w:rsidRPr="00957A19">
        <w:rPr>
          <w:rFonts w:ascii="Calibri" w:hAnsi="Calibri"/>
          <w:b w:val="0"/>
          <w:sz w:val="22"/>
        </w:rPr>
        <w:t>Środki finansowe na realizację projektów pochodzą z budżetu</w:t>
      </w:r>
      <w:r>
        <w:rPr>
          <w:rFonts w:ascii="Calibri" w:hAnsi="Calibri"/>
          <w:b w:val="0"/>
          <w:sz w:val="22"/>
        </w:rPr>
        <w:t xml:space="preserve"> MSZ</w:t>
      </w:r>
      <w:r w:rsidRPr="00957A19">
        <w:rPr>
          <w:rFonts w:ascii="Calibri" w:hAnsi="Calibri"/>
          <w:b w:val="0"/>
          <w:sz w:val="22"/>
        </w:rPr>
        <w:t xml:space="preserve"> i są to środki publiczne. Przystępując do konkursu, należy mieć na uwadze, że:</w:t>
      </w:r>
    </w:p>
    <w:p w14:paraId="47C85A34" w14:textId="76CB12C1" w:rsidR="00993AB6" w:rsidRPr="00957A19" w:rsidRDefault="00993AB6" w:rsidP="00993AB6">
      <w:pPr>
        <w:pStyle w:val="Nagwek3"/>
        <w:numPr>
          <w:ilvl w:val="3"/>
          <w:numId w:val="2"/>
        </w:numPr>
        <w:tabs>
          <w:tab w:val="clear" w:pos="907"/>
          <w:tab w:val="num" w:pos="993"/>
        </w:tabs>
        <w:ind w:left="993" w:hanging="426"/>
        <w:rPr>
          <w:rFonts w:ascii="Calibri" w:hAnsi="Calibri"/>
          <w:sz w:val="22"/>
        </w:rPr>
      </w:pPr>
      <w:r w:rsidRPr="00957A19">
        <w:rPr>
          <w:rFonts w:ascii="Calibri" w:hAnsi="Calibri"/>
          <w:sz w:val="22"/>
        </w:rPr>
        <w:t>procedury przyznawania i wydatkowania środkó</w:t>
      </w:r>
      <w:r>
        <w:rPr>
          <w:rFonts w:ascii="Calibri" w:hAnsi="Calibri"/>
          <w:sz w:val="22"/>
        </w:rPr>
        <w:t>w muszą być zgodne z przepisami</w:t>
      </w:r>
      <w:r w:rsidRPr="00957A19">
        <w:rPr>
          <w:rFonts w:ascii="Calibri" w:hAnsi="Calibri"/>
          <w:sz w:val="22"/>
        </w:rPr>
        <w:t xml:space="preserve"> ustawy o finansach publicznych, ustawy o rachunkowości, ustawy o działalności pożytku publicznego i o wolontariacie oraz – w odniesieniu do jednostek do tego zobowiązanych wg kryterium podmiotowego – zgodnie z przepisami ustawy Prawo  zamówień publicznych;</w:t>
      </w:r>
    </w:p>
    <w:p w14:paraId="6C3955FA" w14:textId="77777777" w:rsidR="00993AB6" w:rsidRPr="00957A19" w:rsidRDefault="00993AB6" w:rsidP="00993AB6">
      <w:pPr>
        <w:pStyle w:val="Nagwek3"/>
        <w:numPr>
          <w:ilvl w:val="2"/>
          <w:numId w:val="2"/>
        </w:numPr>
        <w:tabs>
          <w:tab w:val="clear" w:pos="879"/>
          <w:tab w:val="num" w:pos="993"/>
        </w:tabs>
        <w:ind w:left="993" w:hanging="426"/>
        <w:rPr>
          <w:rFonts w:ascii="Calibri" w:hAnsi="Calibri"/>
          <w:sz w:val="22"/>
        </w:rPr>
      </w:pPr>
      <w:r w:rsidRPr="00957A19">
        <w:rPr>
          <w:rFonts w:ascii="Calibri" w:hAnsi="Calibri"/>
          <w:sz w:val="22"/>
        </w:rPr>
        <w:t>cele, na jakie mogą być wydawane środki, są określone w budżecie państwa oraz w Regulaminie konkursu;</w:t>
      </w:r>
    </w:p>
    <w:p w14:paraId="6EA456E5" w14:textId="77777777" w:rsidR="00993AB6" w:rsidRPr="00957A19" w:rsidRDefault="00993AB6" w:rsidP="00993AB6">
      <w:pPr>
        <w:pStyle w:val="Nagwek3"/>
        <w:numPr>
          <w:ilvl w:val="2"/>
          <w:numId w:val="2"/>
        </w:numPr>
        <w:tabs>
          <w:tab w:val="clear" w:pos="879"/>
          <w:tab w:val="num" w:pos="1134"/>
        </w:tabs>
        <w:ind w:left="993" w:hanging="426"/>
        <w:rPr>
          <w:rFonts w:ascii="Calibri" w:hAnsi="Calibri"/>
          <w:sz w:val="22"/>
        </w:rPr>
      </w:pPr>
      <w:r w:rsidRPr="00957A19">
        <w:rPr>
          <w:rFonts w:ascii="Calibri" w:hAnsi="Calibri"/>
          <w:sz w:val="22"/>
        </w:rPr>
        <w:t>projekty podlegają kontroli MSZ oraz Najwyższej Izby Kontroli;</w:t>
      </w:r>
    </w:p>
    <w:p w14:paraId="31A691CB" w14:textId="77777777" w:rsidR="00993AB6" w:rsidRPr="00957A19" w:rsidRDefault="00993AB6" w:rsidP="00993AB6">
      <w:pPr>
        <w:pStyle w:val="Nagwek3"/>
        <w:numPr>
          <w:ilvl w:val="2"/>
          <w:numId w:val="2"/>
        </w:numPr>
        <w:tabs>
          <w:tab w:val="clear" w:pos="879"/>
        </w:tabs>
        <w:ind w:left="993" w:hanging="426"/>
        <w:rPr>
          <w:rFonts w:ascii="Calibri" w:hAnsi="Calibri"/>
          <w:sz w:val="22"/>
        </w:rPr>
      </w:pPr>
      <w:r w:rsidRPr="00957A19">
        <w:rPr>
          <w:rFonts w:ascii="Calibri" w:hAnsi="Calibri"/>
          <w:sz w:val="22"/>
        </w:rPr>
        <w:t xml:space="preserve">środki muszą być wydane w ramach danego roku budżetowego, a niewykorzystana część środków musi zostać zwrócona do budżetu państwa na zasadach określonych w umowie </w:t>
      </w:r>
      <w:r w:rsidRPr="00957A19">
        <w:rPr>
          <w:rFonts w:ascii="Calibri" w:hAnsi="Calibri"/>
          <w:sz w:val="22"/>
        </w:rPr>
        <w:lastRenderedPageBreak/>
        <w:t>dotacji;</w:t>
      </w:r>
    </w:p>
    <w:p w14:paraId="5E33E34C" w14:textId="77777777" w:rsidR="00993AB6" w:rsidRPr="00957A19" w:rsidRDefault="00993AB6" w:rsidP="00993AB6">
      <w:pPr>
        <w:pStyle w:val="Nagwek3"/>
        <w:numPr>
          <w:ilvl w:val="2"/>
          <w:numId w:val="2"/>
        </w:numPr>
        <w:tabs>
          <w:tab w:val="clear" w:pos="879"/>
        </w:tabs>
        <w:ind w:left="993" w:hanging="426"/>
        <w:rPr>
          <w:rFonts w:ascii="Calibri" w:hAnsi="Calibri"/>
          <w:sz w:val="22"/>
        </w:rPr>
      </w:pPr>
      <w:r w:rsidRPr="00957A19">
        <w:rPr>
          <w:rFonts w:ascii="Calibri" w:hAnsi="Calibri"/>
          <w:sz w:val="22"/>
        </w:rPr>
        <w:t>koszty muszą dotyczyć danego roku budżetowego i terminu realizacji zadania określonego w umowie oraz zostać poniesione w okresie wskazanym w umowie;</w:t>
      </w:r>
    </w:p>
    <w:p w14:paraId="07A3D08D" w14:textId="77777777" w:rsidR="00993AB6" w:rsidRPr="00957A19" w:rsidRDefault="00993AB6" w:rsidP="00993AB6">
      <w:pPr>
        <w:pStyle w:val="Nagwek3"/>
        <w:numPr>
          <w:ilvl w:val="2"/>
          <w:numId w:val="2"/>
        </w:numPr>
        <w:tabs>
          <w:tab w:val="clear" w:pos="879"/>
        </w:tabs>
        <w:ind w:left="993" w:hanging="426"/>
        <w:rPr>
          <w:rFonts w:ascii="Calibri" w:hAnsi="Calibri"/>
          <w:sz w:val="22"/>
        </w:rPr>
      </w:pPr>
      <w:r w:rsidRPr="00957A19">
        <w:rPr>
          <w:rFonts w:ascii="Calibri" w:hAnsi="Calibri"/>
          <w:sz w:val="22"/>
        </w:rPr>
        <w:t>w odniesieniu do podmiotów, które nie są zobowiązane do stosowania ustawy Prawo zamówień publicznych, zaleca się, aby zakupy dostaw, usług lub robót budowlanych finansowane z dotacji, były dokonywane w oparciu o wewnętrzne procedury, zasady lub wytyczne dot. wydatkowania środków przez dany podmiot, uwzględniające zasady równego traktowania, uczciwej konkurencji i przejrzystości.</w:t>
      </w:r>
    </w:p>
    <w:p w14:paraId="1286BE79" w14:textId="7D364299" w:rsidR="00B65EC0" w:rsidRPr="00DE716B" w:rsidRDefault="00DE716B" w:rsidP="00ED353A">
      <w:pPr>
        <w:pStyle w:val="Nagwek1"/>
        <w:numPr>
          <w:ilvl w:val="1"/>
          <w:numId w:val="2"/>
        </w:numPr>
        <w:spacing w:before="60" w:after="60"/>
        <w:jc w:val="both"/>
        <w:rPr>
          <w:rFonts w:ascii="Calibri" w:hAnsi="Calibri"/>
          <w:b w:val="0"/>
          <w:sz w:val="22"/>
        </w:rPr>
      </w:pPr>
      <w:r w:rsidRPr="00DE716B">
        <w:rPr>
          <w:rFonts w:ascii="Calibri" w:hAnsi="Calibri"/>
          <w:b w:val="0"/>
          <w:sz w:val="22"/>
        </w:rPr>
        <w:t xml:space="preserve">Elementem składowym oferty jest budżet projektu, obejmujący </w:t>
      </w:r>
      <w:r w:rsidRPr="00DE716B">
        <w:rPr>
          <w:rFonts w:ascii="Calibri" w:hAnsi="Calibri"/>
          <w:sz w:val="22"/>
        </w:rPr>
        <w:t>wyłącznie kalkulację kosztów finansowanych z dotacji</w:t>
      </w:r>
      <w:r w:rsidRPr="00DE716B">
        <w:rPr>
          <w:rFonts w:ascii="Calibri" w:hAnsi="Calibri"/>
          <w:b w:val="0"/>
          <w:sz w:val="22"/>
        </w:rPr>
        <w:t>.</w:t>
      </w:r>
    </w:p>
    <w:p w14:paraId="5645D2E4" w14:textId="62DD8628" w:rsidR="00B65EC0" w:rsidRPr="00DE716B" w:rsidRDefault="00B65EC0" w:rsidP="00ED353A">
      <w:pPr>
        <w:pStyle w:val="Nagwek1"/>
        <w:numPr>
          <w:ilvl w:val="1"/>
          <w:numId w:val="2"/>
        </w:numPr>
        <w:spacing w:before="60" w:after="60"/>
        <w:jc w:val="both"/>
        <w:rPr>
          <w:rFonts w:ascii="Calibri" w:hAnsi="Calibri"/>
          <w:b w:val="0"/>
          <w:sz w:val="22"/>
        </w:rPr>
      </w:pPr>
      <w:r w:rsidRPr="00DE716B">
        <w:rPr>
          <w:rFonts w:ascii="Calibri" w:hAnsi="Calibri"/>
          <w:b w:val="0"/>
          <w:sz w:val="22"/>
        </w:rPr>
        <w:t xml:space="preserve">Koszty </w:t>
      </w:r>
      <w:r w:rsidR="00F01D49" w:rsidRPr="00DE716B">
        <w:rPr>
          <w:rFonts w:ascii="Calibri" w:hAnsi="Calibri"/>
          <w:b w:val="0"/>
          <w:sz w:val="22"/>
        </w:rPr>
        <w:t>obejmują kategori</w:t>
      </w:r>
      <w:r w:rsidR="001354E9" w:rsidRPr="00DE716B">
        <w:rPr>
          <w:rFonts w:ascii="Calibri" w:hAnsi="Calibri"/>
          <w:b w:val="0"/>
          <w:sz w:val="22"/>
        </w:rPr>
        <w:t>ę</w:t>
      </w:r>
      <w:r w:rsidR="00F01D49" w:rsidRPr="00DE716B">
        <w:rPr>
          <w:rFonts w:ascii="Calibri" w:hAnsi="Calibri"/>
          <w:b w:val="0"/>
          <w:sz w:val="22"/>
        </w:rPr>
        <w:t xml:space="preserve"> kosztów administracyjnych</w:t>
      </w:r>
      <w:r w:rsidR="00340D02" w:rsidRPr="00DE716B">
        <w:rPr>
          <w:rFonts w:ascii="Calibri" w:hAnsi="Calibri"/>
          <w:b w:val="0"/>
          <w:sz w:val="22"/>
        </w:rPr>
        <w:t xml:space="preserve"> </w:t>
      </w:r>
      <w:r w:rsidRPr="00DE716B">
        <w:rPr>
          <w:rFonts w:ascii="Calibri" w:hAnsi="Calibri"/>
          <w:b w:val="0"/>
          <w:sz w:val="22"/>
        </w:rPr>
        <w:t xml:space="preserve">i </w:t>
      </w:r>
      <w:r w:rsidR="001354E9" w:rsidRPr="00DE716B">
        <w:rPr>
          <w:rFonts w:ascii="Calibri" w:hAnsi="Calibri"/>
          <w:b w:val="0"/>
          <w:sz w:val="22"/>
        </w:rPr>
        <w:t xml:space="preserve">kategorię kosztów </w:t>
      </w:r>
      <w:r w:rsidRPr="00DE716B">
        <w:rPr>
          <w:rFonts w:ascii="Calibri" w:hAnsi="Calibri"/>
          <w:b w:val="0"/>
          <w:sz w:val="22"/>
        </w:rPr>
        <w:t>programow</w:t>
      </w:r>
      <w:r w:rsidR="003471B7" w:rsidRPr="00DE716B">
        <w:rPr>
          <w:rFonts w:ascii="Calibri" w:hAnsi="Calibri"/>
          <w:b w:val="0"/>
          <w:sz w:val="22"/>
        </w:rPr>
        <w:t>ych</w:t>
      </w:r>
      <w:r w:rsidR="001354E9" w:rsidRPr="00DE716B">
        <w:rPr>
          <w:rFonts w:ascii="Calibri" w:hAnsi="Calibri"/>
          <w:b w:val="0"/>
          <w:sz w:val="22"/>
        </w:rPr>
        <w:t>:</w:t>
      </w:r>
    </w:p>
    <w:p w14:paraId="4FB851BD" w14:textId="77777777" w:rsidR="00B65EC0" w:rsidRPr="00DE716B" w:rsidRDefault="001354E9" w:rsidP="00ED353A">
      <w:pPr>
        <w:pStyle w:val="Nagwek3"/>
        <w:numPr>
          <w:ilvl w:val="2"/>
          <w:numId w:val="2"/>
        </w:numPr>
        <w:tabs>
          <w:tab w:val="clear" w:pos="879"/>
          <w:tab w:val="num" w:pos="567"/>
        </w:tabs>
        <w:ind w:left="992" w:hanging="425"/>
        <w:rPr>
          <w:rFonts w:ascii="Calibri" w:hAnsi="Calibri"/>
          <w:sz w:val="22"/>
        </w:rPr>
      </w:pPr>
      <w:r w:rsidRPr="00DE716B">
        <w:rPr>
          <w:rFonts w:ascii="Calibri" w:hAnsi="Calibri"/>
          <w:sz w:val="22"/>
        </w:rPr>
        <w:t>k</w:t>
      </w:r>
      <w:r w:rsidR="00B65EC0" w:rsidRPr="00DE716B">
        <w:rPr>
          <w:rFonts w:ascii="Calibri" w:hAnsi="Calibri"/>
          <w:sz w:val="22"/>
        </w:rPr>
        <w:t>oszty programowe muszą być podzielone na działania projektowe</w:t>
      </w:r>
      <w:r w:rsidRPr="00DE716B">
        <w:rPr>
          <w:rFonts w:ascii="Calibri" w:hAnsi="Calibri"/>
          <w:sz w:val="22"/>
        </w:rPr>
        <w:t>;</w:t>
      </w:r>
    </w:p>
    <w:p w14:paraId="6D24A27D" w14:textId="77777777" w:rsidR="00B65EC0" w:rsidRPr="00DE716B" w:rsidRDefault="001354E9" w:rsidP="00ED353A">
      <w:pPr>
        <w:pStyle w:val="Nagwek3"/>
        <w:numPr>
          <w:ilvl w:val="2"/>
          <w:numId w:val="2"/>
        </w:numPr>
        <w:tabs>
          <w:tab w:val="clear" w:pos="879"/>
          <w:tab w:val="num" w:pos="567"/>
        </w:tabs>
        <w:ind w:left="992" w:hanging="425"/>
        <w:rPr>
          <w:rFonts w:ascii="Calibri" w:hAnsi="Calibri"/>
          <w:sz w:val="22"/>
        </w:rPr>
      </w:pPr>
      <w:r w:rsidRPr="00DE716B">
        <w:rPr>
          <w:rFonts w:ascii="Calibri" w:hAnsi="Calibri"/>
          <w:sz w:val="22"/>
        </w:rPr>
        <w:t>w</w:t>
      </w:r>
      <w:r w:rsidR="00B65EC0" w:rsidRPr="00DE716B">
        <w:rPr>
          <w:rFonts w:ascii="Calibri" w:hAnsi="Calibri"/>
          <w:sz w:val="22"/>
        </w:rPr>
        <w:t xml:space="preserve"> ramach kosztów administracyjnych oraz poszczególnych działań projektowych należy wydzielić pozycje kosztów</w:t>
      </w:r>
      <w:r w:rsidRPr="00DE716B">
        <w:rPr>
          <w:rFonts w:ascii="Calibri" w:hAnsi="Calibri"/>
          <w:sz w:val="22"/>
        </w:rPr>
        <w:t xml:space="preserve"> z podaniem liczby jednostek, kosztu jednostkowego i rodzaju miary</w:t>
      </w:r>
      <w:r w:rsidR="00B65EC0" w:rsidRPr="00DE716B">
        <w:rPr>
          <w:rFonts w:ascii="Calibri" w:hAnsi="Calibri"/>
          <w:sz w:val="22"/>
        </w:rPr>
        <w:t xml:space="preserve">. </w:t>
      </w:r>
    </w:p>
    <w:p w14:paraId="317A85A7" w14:textId="77777777" w:rsidR="00B65EC0" w:rsidRPr="00E4679F" w:rsidRDefault="00B65EC0" w:rsidP="00ED353A">
      <w:pPr>
        <w:pStyle w:val="Nagwek1"/>
        <w:numPr>
          <w:ilvl w:val="1"/>
          <w:numId w:val="2"/>
        </w:numPr>
        <w:spacing w:before="60" w:after="60"/>
        <w:jc w:val="both"/>
        <w:rPr>
          <w:rFonts w:ascii="Calibri" w:hAnsi="Calibri"/>
          <w:b w:val="0"/>
          <w:sz w:val="22"/>
        </w:rPr>
      </w:pPr>
      <w:r w:rsidRPr="00E4679F">
        <w:rPr>
          <w:rFonts w:ascii="Calibri" w:hAnsi="Calibri"/>
          <w:b w:val="0"/>
          <w:sz w:val="22"/>
        </w:rPr>
        <w:t xml:space="preserve">Kalkulacja kosztów powinna m.in. obejmować: </w:t>
      </w:r>
    </w:p>
    <w:p w14:paraId="44663567" w14:textId="4B9CBDEA" w:rsidR="00B65EC0" w:rsidRPr="00E4679F" w:rsidRDefault="00B65EC0" w:rsidP="00ED353A">
      <w:pPr>
        <w:pStyle w:val="Nagwek3"/>
        <w:numPr>
          <w:ilvl w:val="3"/>
          <w:numId w:val="2"/>
        </w:numPr>
        <w:tabs>
          <w:tab w:val="clear" w:pos="907"/>
          <w:tab w:val="num" w:pos="567"/>
        </w:tabs>
        <w:ind w:left="567" w:hanging="567"/>
        <w:rPr>
          <w:rFonts w:ascii="Calibri" w:hAnsi="Calibri"/>
          <w:sz w:val="22"/>
        </w:rPr>
      </w:pPr>
      <w:r w:rsidRPr="00E4679F">
        <w:rPr>
          <w:rFonts w:ascii="Calibri" w:hAnsi="Calibri"/>
          <w:sz w:val="22"/>
        </w:rPr>
        <w:t>koszty osobowe, odpowiadające płacom lub stawkom wy</w:t>
      </w:r>
      <w:r w:rsidR="00D814F1" w:rsidRPr="00E4679F">
        <w:rPr>
          <w:rFonts w:ascii="Calibri" w:hAnsi="Calibri"/>
          <w:sz w:val="22"/>
        </w:rPr>
        <w:t>płacanym osobom zaangażowanym w </w:t>
      </w:r>
      <w:r w:rsidRPr="00E4679F">
        <w:rPr>
          <w:rFonts w:ascii="Calibri" w:hAnsi="Calibri"/>
          <w:sz w:val="22"/>
        </w:rPr>
        <w:t xml:space="preserve">realizację projektu, obejmujące składki na ubezpieczenie społeczne i inne koszty ustawowe wchodzące w skład wynagrodzeń,  </w:t>
      </w:r>
    </w:p>
    <w:p w14:paraId="201B932D" w14:textId="77777777" w:rsidR="00B65EC0" w:rsidRPr="00E4679F" w:rsidRDefault="00B65EC0" w:rsidP="00ED353A">
      <w:pPr>
        <w:pStyle w:val="Nagwek3"/>
        <w:numPr>
          <w:ilvl w:val="3"/>
          <w:numId w:val="2"/>
        </w:numPr>
        <w:tabs>
          <w:tab w:val="clear" w:pos="907"/>
          <w:tab w:val="num" w:pos="567"/>
        </w:tabs>
        <w:ind w:left="567" w:hanging="567"/>
        <w:rPr>
          <w:rFonts w:ascii="Calibri" w:hAnsi="Calibri"/>
          <w:sz w:val="22"/>
        </w:rPr>
      </w:pPr>
      <w:r w:rsidRPr="00E4679F">
        <w:rPr>
          <w:rFonts w:ascii="Calibri" w:hAnsi="Calibri"/>
          <w:sz w:val="22"/>
        </w:rPr>
        <w:t xml:space="preserve">koszty fachowej obsługi księgowej, która zapewni zgodne z przepisami o rachunkowości prowadzenie księgowości projektu (m.in. nadzorowanie wydatków i gromadzenie przejrzystej dokumentacji finansowo-księgowej), </w:t>
      </w:r>
    </w:p>
    <w:p w14:paraId="5CE9E842" w14:textId="77777777" w:rsidR="00B65EC0" w:rsidRPr="00E4679F" w:rsidRDefault="00B65EC0" w:rsidP="00ED353A">
      <w:pPr>
        <w:pStyle w:val="Nagwek3"/>
        <w:numPr>
          <w:ilvl w:val="3"/>
          <w:numId w:val="2"/>
        </w:numPr>
        <w:tabs>
          <w:tab w:val="clear" w:pos="907"/>
          <w:tab w:val="num" w:pos="567"/>
        </w:tabs>
        <w:ind w:left="567" w:hanging="567"/>
        <w:rPr>
          <w:rFonts w:ascii="Calibri" w:hAnsi="Calibri"/>
          <w:sz w:val="22"/>
        </w:rPr>
      </w:pPr>
      <w:r w:rsidRPr="00E4679F">
        <w:rPr>
          <w:rFonts w:ascii="Calibri" w:hAnsi="Calibri"/>
          <w:sz w:val="22"/>
        </w:rPr>
        <w:t>koszty podróży i delegacji osób bezpośrednio zaangażowanych w realizację projektu</w:t>
      </w:r>
      <w:r w:rsidR="001354E9" w:rsidRPr="00E4679F">
        <w:rPr>
          <w:rFonts w:ascii="Calibri" w:hAnsi="Calibri"/>
          <w:sz w:val="22"/>
        </w:rPr>
        <w:t>,</w:t>
      </w:r>
    </w:p>
    <w:p w14:paraId="14800DB0" w14:textId="77777777" w:rsidR="00B65EC0" w:rsidRPr="00E4679F" w:rsidRDefault="00B65EC0" w:rsidP="00ED353A">
      <w:pPr>
        <w:pStyle w:val="Nagwek3"/>
        <w:numPr>
          <w:ilvl w:val="3"/>
          <w:numId w:val="2"/>
        </w:numPr>
        <w:tabs>
          <w:tab w:val="clear" w:pos="907"/>
          <w:tab w:val="num" w:pos="567"/>
        </w:tabs>
        <w:ind w:left="567" w:hanging="567"/>
        <w:rPr>
          <w:rFonts w:ascii="Calibri" w:hAnsi="Calibri"/>
          <w:sz w:val="22"/>
        </w:rPr>
      </w:pPr>
      <w:r w:rsidRPr="00E4679F">
        <w:rPr>
          <w:rFonts w:ascii="Calibri" w:hAnsi="Calibri"/>
          <w:bCs/>
          <w:sz w:val="22"/>
        </w:rPr>
        <w:t>koszty podróży planowane według standardowych stawek i  możliwie z jak największym</w:t>
      </w:r>
      <w:r w:rsidRPr="00E4679F">
        <w:rPr>
          <w:rFonts w:ascii="Calibri" w:hAnsi="Calibri"/>
          <w:sz w:val="22"/>
        </w:rPr>
        <w:t xml:space="preserve"> wykorzystaniem taryf ekonomicznych i zniżkowych (np. grupowych),</w:t>
      </w:r>
    </w:p>
    <w:p w14:paraId="1974D97E" w14:textId="77777777" w:rsidR="00C13801" w:rsidRPr="00E4679F" w:rsidRDefault="00B65EC0" w:rsidP="00ED353A">
      <w:pPr>
        <w:pStyle w:val="Nagwek3"/>
        <w:numPr>
          <w:ilvl w:val="3"/>
          <w:numId w:val="2"/>
        </w:numPr>
        <w:tabs>
          <w:tab w:val="clear" w:pos="907"/>
          <w:tab w:val="num" w:pos="567"/>
        </w:tabs>
        <w:ind w:left="567" w:hanging="567"/>
        <w:rPr>
          <w:rFonts w:ascii="Calibri" w:hAnsi="Calibri"/>
          <w:sz w:val="22"/>
        </w:rPr>
      </w:pPr>
      <w:r w:rsidRPr="00E4679F">
        <w:rPr>
          <w:rFonts w:ascii="Calibri" w:hAnsi="Calibri"/>
          <w:sz w:val="22"/>
        </w:rPr>
        <w:t>wysokość diet wypłacanych osobom przyjeżdżającym do Polski (</w:t>
      </w:r>
      <w:r w:rsidR="00C67607" w:rsidRPr="00E4679F">
        <w:rPr>
          <w:rFonts w:ascii="Calibri" w:hAnsi="Calibri"/>
          <w:sz w:val="22"/>
        </w:rPr>
        <w:t xml:space="preserve">oferenci </w:t>
      </w:r>
      <w:r w:rsidRPr="00E4679F">
        <w:rPr>
          <w:rFonts w:ascii="Calibri" w:hAnsi="Calibri"/>
          <w:sz w:val="22"/>
        </w:rPr>
        <w:t xml:space="preserve">planujący wypłacenie takich diet np. uczestnikom wizyt studyjnych powinni upewnić się jeszcze przed złożeniem </w:t>
      </w:r>
      <w:r w:rsidR="00C67607" w:rsidRPr="00E4679F">
        <w:rPr>
          <w:rFonts w:ascii="Calibri" w:hAnsi="Calibri"/>
          <w:sz w:val="22"/>
        </w:rPr>
        <w:t>oferty</w:t>
      </w:r>
      <w:r w:rsidRPr="00E4679F">
        <w:rPr>
          <w:rFonts w:ascii="Calibri" w:hAnsi="Calibri"/>
          <w:sz w:val="22"/>
        </w:rPr>
        <w:t xml:space="preserve">, że takie rozwiązanie jest zgodne  z obowiązującymi u nich wewnętrznymi </w:t>
      </w:r>
      <w:r w:rsidR="001354E9" w:rsidRPr="00E4679F">
        <w:rPr>
          <w:rFonts w:ascii="Calibri" w:hAnsi="Calibri"/>
          <w:sz w:val="22"/>
        </w:rPr>
        <w:t>przepisam</w:t>
      </w:r>
      <w:r w:rsidRPr="00E4679F">
        <w:rPr>
          <w:rFonts w:ascii="Calibri" w:hAnsi="Calibri"/>
          <w:sz w:val="22"/>
        </w:rPr>
        <w:t>i)</w:t>
      </w:r>
      <w:r w:rsidR="00C13801" w:rsidRPr="00E4679F">
        <w:rPr>
          <w:rFonts w:ascii="Calibri" w:hAnsi="Calibri"/>
          <w:sz w:val="22"/>
        </w:rPr>
        <w:t>,</w:t>
      </w:r>
    </w:p>
    <w:p w14:paraId="32C885F9" w14:textId="273DF673" w:rsidR="00CE0D07" w:rsidRPr="00E4679F" w:rsidRDefault="004657D3" w:rsidP="00ED353A">
      <w:pPr>
        <w:pStyle w:val="Akapitzlist"/>
        <w:numPr>
          <w:ilvl w:val="3"/>
          <w:numId w:val="2"/>
        </w:numPr>
        <w:tabs>
          <w:tab w:val="clear" w:pos="907"/>
          <w:tab w:val="num" w:pos="567"/>
          <w:tab w:val="num" w:pos="5004"/>
        </w:tabs>
        <w:spacing w:before="60" w:after="60"/>
        <w:ind w:left="567" w:hanging="567"/>
        <w:jc w:val="both"/>
        <w:rPr>
          <w:sz w:val="22"/>
          <w:szCs w:val="22"/>
        </w:rPr>
      </w:pPr>
      <w:r w:rsidRPr="00E4679F">
        <w:rPr>
          <w:sz w:val="22"/>
          <w:szCs w:val="22"/>
        </w:rPr>
        <w:t>koszt</w:t>
      </w:r>
      <w:r w:rsidR="000E79F5">
        <w:rPr>
          <w:sz w:val="22"/>
          <w:szCs w:val="22"/>
        </w:rPr>
        <w:t>y</w:t>
      </w:r>
      <w:r w:rsidRPr="00E4679F">
        <w:rPr>
          <w:sz w:val="22"/>
          <w:szCs w:val="22"/>
        </w:rPr>
        <w:t xml:space="preserve"> ubezpieczenia </w:t>
      </w:r>
      <w:r w:rsidR="00B816E0" w:rsidRPr="00E4679F">
        <w:rPr>
          <w:sz w:val="22"/>
          <w:szCs w:val="22"/>
        </w:rPr>
        <w:t>osób zaangażowanych w realizację projektu</w:t>
      </w:r>
      <w:r w:rsidRPr="00E4679F">
        <w:rPr>
          <w:sz w:val="22"/>
          <w:szCs w:val="22"/>
        </w:rPr>
        <w:t xml:space="preserve"> </w:t>
      </w:r>
      <w:r w:rsidR="00B269B0" w:rsidRPr="00E4679F">
        <w:rPr>
          <w:sz w:val="22"/>
          <w:szCs w:val="22"/>
        </w:rPr>
        <w:t xml:space="preserve">po stronie oferenta </w:t>
      </w:r>
      <w:r w:rsidR="00D814F1" w:rsidRPr="00E4679F">
        <w:rPr>
          <w:sz w:val="22"/>
          <w:szCs w:val="22"/>
        </w:rPr>
        <w:t>w </w:t>
      </w:r>
      <w:r w:rsidRPr="00E4679F">
        <w:rPr>
          <w:sz w:val="22"/>
          <w:szCs w:val="22"/>
        </w:rPr>
        <w:t>okresie</w:t>
      </w:r>
      <w:r w:rsidR="00B816E0" w:rsidRPr="00E4679F">
        <w:rPr>
          <w:sz w:val="22"/>
          <w:szCs w:val="22"/>
        </w:rPr>
        <w:t xml:space="preserve"> ich</w:t>
      </w:r>
      <w:r w:rsidRPr="00E4679F">
        <w:rPr>
          <w:sz w:val="22"/>
          <w:szCs w:val="22"/>
        </w:rPr>
        <w:t xml:space="preserve"> pobytu za granicą</w:t>
      </w:r>
      <w:r w:rsidR="00CE0D07" w:rsidRPr="00E4679F">
        <w:rPr>
          <w:sz w:val="22"/>
          <w:szCs w:val="22"/>
        </w:rPr>
        <w:t xml:space="preserve"> z uwzględnieniem następstw nieszczęśliwych wypadków (NNW) za granicą oraz w uzasadnionych przypadkach </w:t>
      </w:r>
      <w:r w:rsidR="00B269B0" w:rsidRPr="00E4679F">
        <w:rPr>
          <w:sz w:val="22"/>
          <w:szCs w:val="22"/>
        </w:rPr>
        <w:t xml:space="preserve">ubezpieczenia </w:t>
      </w:r>
      <w:r w:rsidR="000E79F5">
        <w:rPr>
          <w:sz w:val="22"/>
          <w:szCs w:val="22"/>
        </w:rPr>
        <w:t xml:space="preserve">obejmującego </w:t>
      </w:r>
      <w:r w:rsidR="00CE0D07" w:rsidRPr="00E4679F">
        <w:rPr>
          <w:sz w:val="22"/>
          <w:szCs w:val="22"/>
        </w:rPr>
        <w:t>ryzyka wojny i stanu wyjątkowego oraz ryzyko następstw nieszczęśliwych wypadków i zdarzeń będących skutkiem wojny, rozruchów i zamieszek, działań terrorystycznych poza granicami Polski.</w:t>
      </w:r>
    </w:p>
    <w:p w14:paraId="231A1BFA" w14:textId="5C694E3B" w:rsidR="005F4272" w:rsidRPr="00E4679F" w:rsidRDefault="005F4272" w:rsidP="00ED353A">
      <w:pPr>
        <w:pStyle w:val="Nagwek1"/>
        <w:numPr>
          <w:ilvl w:val="1"/>
          <w:numId w:val="2"/>
        </w:numPr>
        <w:spacing w:before="60" w:after="60"/>
        <w:jc w:val="both"/>
        <w:rPr>
          <w:rFonts w:ascii="Calibri" w:hAnsi="Calibri"/>
          <w:b w:val="0"/>
          <w:sz w:val="22"/>
        </w:rPr>
      </w:pPr>
      <w:r w:rsidRPr="00E4679F">
        <w:rPr>
          <w:rFonts w:ascii="Calibri" w:hAnsi="Calibri"/>
          <w:b w:val="0"/>
          <w:bCs w:val="0"/>
          <w:sz w:val="22"/>
        </w:rPr>
        <w:t xml:space="preserve">Zaangażowane zasoby (rzeczowe i osobowe niefinansowane </w:t>
      </w:r>
      <w:r w:rsidR="0090003F">
        <w:rPr>
          <w:rFonts w:ascii="Calibri" w:hAnsi="Calibri"/>
          <w:b w:val="0"/>
          <w:bCs w:val="0"/>
          <w:sz w:val="22"/>
        </w:rPr>
        <w:t>z dotacji) na rzecz projektu po </w:t>
      </w:r>
      <w:r w:rsidRPr="00E4679F">
        <w:rPr>
          <w:rFonts w:ascii="Calibri" w:hAnsi="Calibri"/>
          <w:b w:val="0"/>
          <w:bCs w:val="0"/>
          <w:sz w:val="22"/>
        </w:rPr>
        <w:t>stronie oferenta i partnera/ów</w:t>
      </w:r>
      <w:r w:rsidRPr="00E4679F">
        <w:rPr>
          <w:rFonts w:ascii="Calibri" w:hAnsi="Calibri"/>
          <w:b w:val="0"/>
          <w:sz w:val="22"/>
        </w:rPr>
        <w:t xml:space="preserve">: </w:t>
      </w:r>
    </w:p>
    <w:p w14:paraId="3BB01B9D" w14:textId="7D5D686B" w:rsidR="005F4272" w:rsidRPr="00E4679F" w:rsidRDefault="005F4272" w:rsidP="00ED353A">
      <w:pPr>
        <w:pStyle w:val="Nagwek3"/>
        <w:numPr>
          <w:ilvl w:val="2"/>
          <w:numId w:val="2"/>
        </w:numPr>
        <w:tabs>
          <w:tab w:val="clear" w:pos="879"/>
          <w:tab w:val="num" w:pos="567"/>
        </w:tabs>
        <w:ind w:left="992" w:hanging="425"/>
        <w:rPr>
          <w:rFonts w:ascii="Calibri" w:hAnsi="Calibri"/>
          <w:sz w:val="22"/>
        </w:rPr>
      </w:pPr>
      <w:r w:rsidRPr="00E4679F">
        <w:rPr>
          <w:rFonts w:ascii="Calibri" w:hAnsi="Calibri"/>
          <w:sz w:val="22"/>
        </w:rPr>
        <w:t>mogą pochodzić w</w:t>
      </w:r>
      <w:r w:rsidR="00E4679F" w:rsidRPr="00E4679F">
        <w:rPr>
          <w:rFonts w:ascii="Calibri" w:hAnsi="Calibri"/>
          <w:sz w:val="22"/>
        </w:rPr>
        <w:t xml:space="preserve"> szczególności od oferenta lub partnera projektu;</w:t>
      </w:r>
    </w:p>
    <w:p w14:paraId="6E202F0C" w14:textId="69D701BE" w:rsidR="005F4272" w:rsidRPr="00E4679F" w:rsidRDefault="005F4272" w:rsidP="00ED353A">
      <w:pPr>
        <w:pStyle w:val="Akapitzlist"/>
        <w:numPr>
          <w:ilvl w:val="2"/>
          <w:numId w:val="2"/>
        </w:numPr>
        <w:tabs>
          <w:tab w:val="clear" w:pos="879"/>
          <w:tab w:val="num" w:pos="567"/>
        </w:tabs>
        <w:spacing w:before="60" w:after="60"/>
        <w:ind w:left="992" w:hanging="425"/>
        <w:jc w:val="both"/>
        <w:rPr>
          <w:sz w:val="22"/>
          <w:szCs w:val="22"/>
        </w:rPr>
      </w:pPr>
      <w:r w:rsidRPr="00E4679F">
        <w:rPr>
          <w:sz w:val="22"/>
        </w:rPr>
        <w:t>mogą być zasobami rzeczowymi, np. nieruchomości, środki transportu, maszyny urządzenia, nieodpłatne udostępnienie lokalu. Zasobem rzeczowym może być również zasób udostępniony, względnie usługa świadczona na rzecz oferenta przez inny podmiot nieodpłatnie (np. usługa transportowa, hotelowa, p</w:t>
      </w:r>
      <w:r w:rsidR="0090003F">
        <w:rPr>
          <w:sz w:val="22"/>
        </w:rPr>
        <w:t>oligraficzna itp.) planowana do </w:t>
      </w:r>
      <w:r w:rsidRPr="00E4679F">
        <w:rPr>
          <w:sz w:val="22"/>
        </w:rPr>
        <w:t xml:space="preserve">wykorzystania przy realizacji projektu. </w:t>
      </w:r>
      <w:r w:rsidRPr="00E4679F">
        <w:rPr>
          <w:sz w:val="22"/>
          <w:szCs w:val="22"/>
        </w:rPr>
        <w:t>Zasób rzeczowy stanowią również towary i usługi zakupione przez partnera lub odbiorców projektu  z ic</w:t>
      </w:r>
      <w:r w:rsidR="0090003F">
        <w:rPr>
          <w:sz w:val="22"/>
          <w:szCs w:val="22"/>
        </w:rPr>
        <w:t>h środków własnych planowane do </w:t>
      </w:r>
      <w:r w:rsidRPr="00E4679F">
        <w:rPr>
          <w:sz w:val="22"/>
          <w:szCs w:val="22"/>
        </w:rPr>
        <w:t>wykorzystania p</w:t>
      </w:r>
      <w:r w:rsidR="009C04F8">
        <w:rPr>
          <w:sz w:val="22"/>
          <w:szCs w:val="22"/>
        </w:rPr>
        <w:t xml:space="preserve">rzy </w:t>
      </w:r>
      <w:r w:rsidRPr="00E4679F">
        <w:rPr>
          <w:sz w:val="22"/>
          <w:szCs w:val="22"/>
        </w:rPr>
        <w:t>realizacji projektu;</w:t>
      </w:r>
    </w:p>
    <w:p w14:paraId="63B9D778" w14:textId="77777777" w:rsidR="005F4272" w:rsidRPr="00E4679F" w:rsidRDefault="005F4272" w:rsidP="00ED353A">
      <w:pPr>
        <w:pStyle w:val="Akapitzlist"/>
        <w:numPr>
          <w:ilvl w:val="2"/>
          <w:numId w:val="2"/>
        </w:numPr>
        <w:tabs>
          <w:tab w:val="clear" w:pos="879"/>
          <w:tab w:val="num" w:pos="567"/>
        </w:tabs>
        <w:spacing w:before="60" w:after="60"/>
        <w:ind w:left="992" w:hanging="425"/>
        <w:jc w:val="both"/>
        <w:rPr>
          <w:sz w:val="22"/>
          <w:szCs w:val="22"/>
        </w:rPr>
      </w:pPr>
      <w:r w:rsidRPr="00E4679F">
        <w:rPr>
          <w:sz w:val="22"/>
          <w:szCs w:val="22"/>
        </w:rPr>
        <w:t xml:space="preserve">mogą być zasobem </w:t>
      </w:r>
      <w:r w:rsidRPr="00E4679F">
        <w:rPr>
          <w:sz w:val="22"/>
        </w:rPr>
        <w:t>osobowym np.: praca społeczna członków i świadczenia wolontariuszy planowane w projekcie.</w:t>
      </w:r>
    </w:p>
    <w:p w14:paraId="2E8E45D7" w14:textId="02363490" w:rsidR="005F4272" w:rsidRPr="00531337" w:rsidRDefault="005F4272" w:rsidP="00ED353A">
      <w:pPr>
        <w:pStyle w:val="Nagwek1"/>
        <w:numPr>
          <w:ilvl w:val="1"/>
          <w:numId w:val="2"/>
        </w:numPr>
        <w:spacing w:before="60" w:after="60"/>
        <w:jc w:val="both"/>
        <w:rPr>
          <w:rFonts w:ascii="Calibri" w:hAnsi="Calibri"/>
          <w:b w:val="0"/>
          <w:sz w:val="22"/>
        </w:rPr>
      </w:pPr>
      <w:r w:rsidRPr="00531337">
        <w:rPr>
          <w:rFonts w:ascii="Calibri" w:hAnsi="Calibri"/>
          <w:b w:val="0"/>
          <w:sz w:val="22"/>
        </w:rPr>
        <w:t>W przypadku realizacji w tym samym okresie dwóch lub w</w:t>
      </w:r>
      <w:r w:rsidR="0090003F">
        <w:rPr>
          <w:rFonts w:ascii="Calibri" w:hAnsi="Calibri"/>
          <w:b w:val="0"/>
          <w:sz w:val="22"/>
        </w:rPr>
        <w:t>ięcej projektów finansowanych z </w:t>
      </w:r>
      <w:r w:rsidRPr="00531337">
        <w:rPr>
          <w:rFonts w:ascii="Calibri" w:hAnsi="Calibri"/>
          <w:b w:val="0"/>
          <w:sz w:val="22"/>
        </w:rPr>
        <w:t xml:space="preserve">dotacji MSZ i ponoszeniu wydatków z jednego tytułu w tych projektach (np. czynsz, wynajem </w:t>
      </w:r>
      <w:r w:rsidRPr="00531337">
        <w:rPr>
          <w:rFonts w:ascii="Calibri" w:hAnsi="Calibri"/>
          <w:b w:val="0"/>
          <w:sz w:val="22"/>
        </w:rPr>
        <w:lastRenderedPageBreak/>
        <w:t xml:space="preserve">samochodu, wynagrodzenie pracowników), </w:t>
      </w:r>
      <w:r w:rsidR="00E4679F" w:rsidRPr="00531337">
        <w:rPr>
          <w:rFonts w:ascii="Calibri" w:hAnsi="Calibri"/>
          <w:b w:val="0"/>
          <w:sz w:val="22"/>
        </w:rPr>
        <w:t xml:space="preserve">wspólne </w:t>
      </w:r>
      <w:r w:rsidRPr="00531337">
        <w:rPr>
          <w:rFonts w:ascii="Calibri" w:hAnsi="Calibri"/>
          <w:b w:val="0"/>
          <w:sz w:val="22"/>
        </w:rPr>
        <w:t xml:space="preserve">koszty powinny zostać rozliczone, zgodnie z faktycznym zaangażowaniem w każdym z projektów.  </w:t>
      </w:r>
    </w:p>
    <w:p w14:paraId="4FE13E57" w14:textId="3EF9B45F" w:rsidR="00C46904" w:rsidRPr="00531337" w:rsidRDefault="00B65EC0" w:rsidP="00ED353A">
      <w:pPr>
        <w:pStyle w:val="Nagwek1"/>
        <w:numPr>
          <w:ilvl w:val="1"/>
          <w:numId w:val="2"/>
        </w:numPr>
        <w:spacing w:before="60" w:after="60"/>
        <w:jc w:val="both"/>
        <w:rPr>
          <w:rFonts w:ascii="Calibri" w:hAnsi="Calibri"/>
          <w:b w:val="0"/>
          <w:sz w:val="22"/>
        </w:rPr>
      </w:pPr>
      <w:r w:rsidRPr="00531337">
        <w:rPr>
          <w:rFonts w:ascii="Calibri" w:hAnsi="Calibri"/>
          <w:b w:val="0"/>
          <w:sz w:val="22"/>
        </w:rPr>
        <w:t>Szczegółowe zasady kw</w:t>
      </w:r>
      <w:r w:rsidR="00E4679F" w:rsidRPr="00531337">
        <w:rPr>
          <w:rFonts w:ascii="Calibri" w:hAnsi="Calibri"/>
          <w:b w:val="0"/>
          <w:sz w:val="22"/>
        </w:rPr>
        <w:t>alifikowalności wydatków</w:t>
      </w:r>
      <w:r w:rsidRPr="00531337">
        <w:rPr>
          <w:rFonts w:ascii="Calibri" w:hAnsi="Calibri"/>
          <w:b w:val="0"/>
          <w:sz w:val="22"/>
        </w:rPr>
        <w:t xml:space="preserve"> są </w:t>
      </w:r>
      <w:r w:rsidRPr="00CA7997">
        <w:rPr>
          <w:rFonts w:ascii="Calibri" w:hAnsi="Calibri"/>
          <w:b w:val="0"/>
          <w:sz w:val="22"/>
        </w:rPr>
        <w:t xml:space="preserve">określone w § </w:t>
      </w:r>
      <w:r w:rsidR="00D47E7E" w:rsidRPr="00CA7997">
        <w:rPr>
          <w:rFonts w:ascii="Calibri" w:hAnsi="Calibri"/>
          <w:b w:val="0"/>
          <w:sz w:val="22"/>
        </w:rPr>
        <w:t xml:space="preserve">4 </w:t>
      </w:r>
      <w:r w:rsidR="00E4679F" w:rsidRPr="00CA7997">
        <w:rPr>
          <w:rFonts w:ascii="Calibri" w:hAnsi="Calibri"/>
          <w:b w:val="0"/>
          <w:sz w:val="22"/>
        </w:rPr>
        <w:t xml:space="preserve">i § 5 </w:t>
      </w:r>
      <w:r w:rsidR="00321A84" w:rsidRPr="00CA7997">
        <w:rPr>
          <w:rFonts w:ascii="Calibri" w:hAnsi="Calibri"/>
          <w:b w:val="0"/>
          <w:sz w:val="22"/>
        </w:rPr>
        <w:t>Wzoru umowy dotacji</w:t>
      </w:r>
      <w:r w:rsidRPr="00CA7997">
        <w:rPr>
          <w:rFonts w:ascii="Calibri" w:hAnsi="Calibri"/>
          <w:b w:val="0"/>
          <w:sz w:val="22"/>
        </w:rPr>
        <w:t>.</w:t>
      </w:r>
      <w:bookmarkStart w:id="9" w:name="_Toc219016185"/>
      <w:bookmarkStart w:id="10" w:name="_Toc162075955"/>
    </w:p>
    <w:p w14:paraId="27BB20CA" w14:textId="77777777" w:rsidR="00340D02" w:rsidRPr="00C23459" w:rsidRDefault="00340D02" w:rsidP="00ED353A">
      <w:pPr>
        <w:rPr>
          <w:highlight w:val="yellow"/>
        </w:rPr>
      </w:pPr>
    </w:p>
    <w:p w14:paraId="6D9A6F21" w14:textId="05B3E48F" w:rsidR="00B65EC0" w:rsidRPr="008E1929" w:rsidRDefault="00531337" w:rsidP="00ED353A">
      <w:pPr>
        <w:pStyle w:val="Nagwek1"/>
        <w:numPr>
          <w:ilvl w:val="0"/>
          <w:numId w:val="2"/>
        </w:numPr>
        <w:spacing w:before="60" w:after="60"/>
        <w:rPr>
          <w:rFonts w:ascii="Calibri" w:hAnsi="Calibri"/>
          <w:sz w:val="22"/>
        </w:rPr>
      </w:pPr>
      <w:bookmarkStart w:id="11" w:name="_Toc274305330"/>
      <w:r w:rsidRPr="008E1929">
        <w:rPr>
          <w:rFonts w:ascii="Calibri" w:hAnsi="Calibri"/>
          <w:sz w:val="22"/>
        </w:rPr>
        <w:t xml:space="preserve">Składanie </w:t>
      </w:r>
      <w:r w:rsidR="008E1929" w:rsidRPr="008E1929">
        <w:rPr>
          <w:rFonts w:ascii="Calibri" w:hAnsi="Calibri"/>
          <w:sz w:val="22"/>
        </w:rPr>
        <w:t xml:space="preserve">ofert w konkursie i wypełnianie wniosku oferty online </w:t>
      </w:r>
      <w:bookmarkEnd w:id="9"/>
      <w:bookmarkEnd w:id="11"/>
    </w:p>
    <w:bookmarkEnd w:id="2"/>
    <w:bookmarkEnd w:id="3"/>
    <w:bookmarkEnd w:id="4"/>
    <w:bookmarkEnd w:id="5"/>
    <w:bookmarkEnd w:id="10"/>
    <w:p w14:paraId="6CF00EC2" w14:textId="77777777" w:rsidR="0014490A" w:rsidRPr="00957A19" w:rsidRDefault="0014490A" w:rsidP="0014490A">
      <w:pPr>
        <w:pStyle w:val="Nagwek1"/>
        <w:numPr>
          <w:ilvl w:val="1"/>
          <w:numId w:val="2"/>
        </w:numPr>
        <w:jc w:val="both"/>
        <w:rPr>
          <w:rFonts w:ascii="Calibri" w:hAnsi="Calibri"/>
          <w:b w:val="0"/>
          <w:sz w:val="22"/>
        </w:rPr>
      </w:pPr>
      <w:r w:rsidRPr="00957A19">
        <w:rPr>
          <w:rFonts w:ascii="Calibri" w:hAnsi="Calibri"/>
          <w:b w:val="0"/>
          <w:sz w:val="22"/>
        </w:rPr>
        <w:t xml:space="preserve">Na etapie wypełniania oferty w formularzu aplikacji na stronie </w:t>
      </w:r>
      <w:hyperlink r:id="rId8" w:history="1">
        <w:r w:rsidRPr="00957A19">
          <w:rPr>
            <w:rFonts w:ascii="Calibri" w:hAnsi="Calibri"/>
            <w:b w:val="0"/>
          </w:rPr>
          <w:t>https://egranty.msz.gov.pl/</w:t>
        </w:r>
      </w:hyperlink>
      <w:r w:rsidRPr="00957A19">
        <w:rPr>
          <w:rFonts w:ascii="Calibri" w:hAnsi="Calibri"/>
          <w:b w:val="0"/>
        </w:rPr>
        <w:t xml:space="preserve"> (eGranty) </w:t>
      </w:r>
      <w:r w:rsidRPr="00957A19">
        <w:rPr>
          <w:rFonts w:ascii="Calibri" w:hAnsi="Calibri"/>
          <w:b w:val="0"/>
          <w:sz w:val="22"/>
        </w:rPr>
        <w:t>należy komputerowo wpisać imiona i nazwiska osób uprawnionych do reprezentowania oferenta. Dane osób reprezentujących oferenta muszą być zgodne z odpowiednim rejestrem lub upoważnieniami.</w:t>
      </w:r>
    </w:p>
    <w:p w14:paraId="50730B3B" w14:textId="77777777" w:rsidR="0014490A" w:rsidRPr="00957A19" w:rsidRDefault="0014490A" w:rsidP="0014490A">
      <w:pPr>
        <w:pStyle w:val="Nagwek3"/>
        <w:numPr>
          <w:ilvl w:val="1"/>
          <w:numId w:val="2"/>
        </w:numPr>
        <w:rPr>
          <w:rFonts w:ascii="Calibri" w:hAnsi="Calibri"/>
          <w:sz w:val="22"/>
        </w:rPr>
      </w:pPr>
      <w:r w:rsidRPr="00957A19">
        <w:rPr>
          <w:rFonts w:ascii="Calibri" w:hAnsi="Calibri"/>
          <w:sz w:val="22"/>
        </w:rPr>
        <w:t xml:space="preserve">Oferta złożona przez </w:t>
      </w:r>
      <w:proofErr w:type="spellStart"/>
      <w:r w:rsidRPr="00957A19">
        <w:rPr>
          <w:rFonts w:ascii="Calibri" w:hAnsi="Calibri"/>
          <w:sz w:val="22"/>
        </w:rPr>
        <w:t>ePUAP</w:t>
      </w:r>
      <w:proofErr w:type="spellEnd"/>
      <w:r w:rsidRPr="00957A19">
        <w:rPr>
          <w:rFonts w:ascii="Calibri" w:hAnsi="Calibri"/>
          <w:sz w:val="22"/>
        </w:rPr>
        <w:t xml:space="preserve"> musi być opatrzona prawidłowym podpisem elektronicznym przez osobę upoważnioną lub osoby upoważnione do składania w imieniu oferenta oświadczeń woli, zgodnie z zasadami reprezentacji, tj. podpisane przez osobę bądź osoby wskazane do reprezentacji w dokumencie rejestrowym lub przez upoważnionego pełnomocnika. Powyższe uprawnienie, w zależności od statusu prawnego oferenta, powinno wynikać np. z  dokumentów rejestrowych lub statutowych, albo z aktu powołania do pełnienia funkcji, bądź z udzielonego pełnomocnictwa przez osoby uprawnione do składania oświadczeń woli w imieniu oferenta/oferentów, co należy wskazać w ofercie. </w:t>
      </w:r>
    </w:p>
    <w:p w14:paraId="6882BFDB" w14:textId="77777777" w:rsidR="0014490A" w:rsidRPr="00957A19" w:rsidRDefault="0014490A" w:rsidP="0014490A">
      <w:pPr>
        <w:pStyle w:val="Nagwek1"/>
        <w:numPr>
          <w:ilvl w:val="1"/>
          <w:numId w:val="2"/>
        </w:numPr>
        <w:spacing w:before="240"/>
        <w:jc w:val="both"/>
        <w:rPr>
          <w:rFonts w:asciiTheme="minorHAnsi" w:eastAsiaTheme="minorHAnsi" w:hAnsiTheme="minorHAnsi" w:cstheme="minorHAnsi"/>
          <w:b w:val="0"/>
          <w:sz w:val="22"/>
        </w:rPr>
      </w:pPr>
      <w:r w:rsidRPr="00957A19">
        <w:rPr>
          <w:rFonts w:ascii="Calibri" w:hAnsi="Calibri"/>
          <w:b w:val="0"/>
          <w:bCs w:val="0"/>
          <w:sz w:val="22"/>
        </w:rPr>
        <w:t xml:space="preserve">W przypadku, gdy niezbędne jest opatrzenie dokumentu elektronicznego wieloma podpisami zaufanymi </w:t>
      </w:r>
      <w:r w:rsidRPr="00957A19">
        <w:rPr>
          <w:rFonts w:asciiTheme="minorHAnsi" w:hAnsiTheme="minorHAnsi" w:cstheme="minorHAnsi"/>
          <w:b w:val="0"/>
          <w:sz w:val="22"/>
        </w:rPr>
        <w:t xml:space="preserve">można skorzystać ze standardowego rozwiązania </w:t>
      </w:r>
      <w:proofErr w:type="spellStart"/>
      <w:r w:rsidRPr="00957A19">
        <w:rPr>
          <w:rFonts w:asciiTheme="minorHAnsi" w:hAnsiTheme="minorHAnsi" w:cstheme="minorHAnsi"/>
          <w:b w:val="0"/>
          <w:sz w:val="22"/>
        </w:rPr>
        <w:t>ePUAP</w:t>
      </w:r>
      <w:proofErr w:type="spellEnd"/>
      <w:r w:rsidRPr="00957A19">
        <w:rPr>
          <w:rStyle w:val="Odwoanieprzypisudolnego"/>
          <w:b w:val="0"/>
        </w:rPr>
        <w:footnoteReference w:id="3"/>
      </w:r>
      <w:r w:rsidRPr="00957A19">
        <w:rPr>
          <w:rFonts w:asciiTheme="minorHAnsi" w:hAnsiTheme="minorHAnsi" w:cstheme="minorHAnsi"/>
          <w:b w:val="0"/>
          <w:sz w:val="22"/>
        </w:rPr>
        <w:t>. Wymaga to:</w:t>
      </w:r>
    </w:p>
    <w:p w14:paraId="7B072433" w14:textId="77777777" w:rsidR="0014490A" w:rsidRPr="00957A19" w:rsidRDefault="0014490A" w:rsidP="0014490A">
      <w:pPr>
        <w:pStyle w:val="Akapitzlist"/>
        <w:widowControl w:val="0"/>
        <w:numPr>
          <w:ilvl w:val="2"/>
          <w:numId w:val="2"/>
        </w:numPr>
        <w:tabs>
          <w:tab w:val="clear" w:pos="879"/>
        </w:tabs>
        <w:autoSpaceDE w:val="0"/>
        <w:autoSpaceDN w:val="0"/>
        <w:adjustRightInd w:val="0"/>
        <w:ind w:left="993" w:hanging="426"/>
        <w:jc w:val="both"/>
        <w:rPr>
          <w:rFonts w:asciiTheme="minorHAnsi" w:eastAsiaTheme="minorEastAsia" w:hAnsiTheme="minorHAnsi" w:cstheme="minorHAnsi"/>
          <w:sz w:val="22"/>
          <w:szCs w:val="22"/>
        </w:rPr>
      </w:pPr>
      <w:r w:rsidRPr="00957A19">
        <w:rPr>
          <w:rFonts w:asciiTheme="minorHAnsi" w:hAnsiTheme="minorHAnsi" w:cstheme="minorHAnsi"/>
          <w:sz w:val="22"/>
          <w:szCs w:val="22"/>
        </w:rPr>
        <w:t xml:space="preserve">przygotowania na </w:t>
      </w:r>
      <w:proofErr w:type="spellStart"/>
      <w:r w:rsidRPr="00957A19">
        <w:rPr>
          <w:rFonts w:asciiTheme="minorHAnsi" w:hAnsiTheme="minorHAnsi" w:cstheme="minorHAnsi"/>
          <w:sz w:val="22"/>
          <w:szCs w:val="22"/>
        </w:rPr>
        <w:t>ePUAP</w:t>
      </w:r>
      <w:proofErr w:type="spellEnd"/>
      <w:r w:rsidRPr="00957A19">
        <w:rPr>
          <w:rFonts w:asciiTheme="minorHAnsi" w:hAnsiTheme="minorHAnsi" w:cstheme="minorHAnsi"/>
          <w:sz w:val="22"/>
          <w:szCs w:val="22"/>
        </w:rPr>
        <w:t xml:space="preserve"> profilu (konta) instytucji i zaproszenia do tego konta osób podpisujących,</w:t>
      </w:r>
    </w:p>
    <w:p w14:paraId="5C04AB17" w14:textId="77777777" w:rsidR="0014490A" w:rsidRPr="00957A19" w:rsidRDefault="0014490A" w:rsidP="0014490A">
      <w:pPr>
        <w:pStyle w:val="Akapitzlist"/>
        <w:widowControl w:val="0"/>
        <w:numPr>
          <w:ilvl w:val="2"/>
          <w:numId w:val="2"/>
        </w:numPr>
        <w:tabs>
          <w:tab w:val="clear" w:pos="879"/>
        </w:tabs>
        <w:autoSpaceDE w:val="0"/>
        <w:autoSpaceDN w:val="0"/>
        <w:adjustRightInd w:val="0"/>
        <w:ind w:left="993" w:hanging="426"/>
        <w:jc w:val="both"/>
        <w:rPr>
          <w:rFonts w:asciiTheme="minorHAnsi" w:eastAsiaTheme="minorEastAsia" w:hAnsiTheme="minorHAnsi" w:cstheme="minorHAnsi"/>
          <w:sz w:val="22"/>
          <w:szCs w:val="22"/>
        </w:rPr>
      </w:pPr>
      <w:r w:rsidRPr="00957A19">
        <w:rPr>
          <w:rFonts w:asciiTheme="minorHAnsi" w:hAnsiTheme="minorHAnsi" w:cstheme="minorHAnsi"/>
          <w:sz w:val="22"/>
          <w:szCs w:val="22"/>
        </w:rPr>
        <w:t>przygotowania w ramach utworzonego konta instytucji dokumentu elektronicznego do podpisania,</w:t>
      </w:r>
    </w:p>
    <w:p w14:paraId="3A248738" w14:textId="77777777" w:rsidR="0014490A" w:rsidRPr="00957A19" w:rsidRDefault="0014490A" w:rsidP="0014490A">
      <w:pPr>
        <w:pStyle w:val="Akapitzlist"/>
        <w:widowControl w:val="0"/>
        <w:numPr>
          <w:ilvl w:val="2"/>
          <w:numId w:val="2"/>
        </w:numPr>
        <w:tabs>
          <w:tab w:val="clear" w:pos="879"/>
        </w:tabs>
        <w:autoSpaceDE w:val="0"/>
        <w:autoSpaceDN w:val="0"/>
        <w:adjustRightInd w:val="0"/>
        <w:ind w:left="993" w:hanging="426"/>
        <w:jc w:val="both"/>
        <w:rPr>
          <w:rFonts w:asciiTheme="minorHAnsi" w:eastAsiaTheme="minorEastAsia" w:hAnsiTheme="minorHAnsi" w:cstheme="minorHAnsi"/>
          <w:sz w:val="22"/>
          <w:szCs w:val="22"/>
        </w:rPr>
      </w:pPr>
      <w:r w:rsidRPr="00957A19">
        <w:rPr>
          <w:rFonts w:asciiTheme="minorHAnsi" w:hAnsiTheme="minorHAnsi" w:cstheme="minorHAnsi"/>
          <w:sz w:val="22"/>
          <w:szCs w:val="22"/>
        </w:rPr>
        <w:t>podpisania dokumentu przez każda osobę po zalogowaniu się do konta instytucji (logowanie z wykorzystaniem posiadanego profilu zaufanego).</w:t>
      </w:r>
    </w:p>
    <w:p w14:paraId="26643E78" w14:textId="77777777" w:rsidR="0014490A" w:rsidRPr="00957A19" w:rsidRDefault="0014490A" w:rsidP="0014490A">
      <w:pPr>
        <w:pStyle w:val="Nagwek1"/>
        <w:numPr>
          <w:ilvl w:val="0"/>
          <w:numId w:val="0"/>
        </w:numPr>
        <w:spacing w:before="240"/>
        <w:ind w:left="576"/>
        <w:jc w:val="both"/>
        <w:rPr>
          <w:rFonts w:asciiTheme="minorHAnsi" w:eastAsiaTheme="minorHAnsi" w:hAnsiTheme="minorHAnsi" w:cstheme="minorHAnsi"/>
          <w:b w:val="0"/>
          <w:sz w:val="22"/>
        </w:rPr>
      </w:pPr>
      <w:r w:rsidRPr="00957A19">
        <w:rPr>
          <w:rFonts w:asciiTheme="minorHAnsi" w:hAnsiTheme="minorHAnsi" w:cstheme="minorHAnsi"/>
          <w:b w:val="0"/>
          <w:sz w:val="22"/>
        </w:rPr>
        <w:t xml:space="preserve">Następnie dokument może być – w zależności od potrzeb – wysłany przez </w:t>
      </w:r>
      <w:proofErr w:type="spellStart"/>
      <w:r w:rsidRPr="00957A19">
        <w:rPr>
          <w:rFonts w:asciiTheme="minorHAnsi" w:hAnsiTheme="minorHAnsi" w:cstheme="minorHAnsi"/>
          <w:b w:val="0"/>
          <w:sz w:val="22"/>
        </w:rPr>
        <w:t>ePUAP</w:t>
      </w:r>
      <w:proofErr w:type="spellEnd"/>
      <w:r w:rsidRPr="00957A19">
        <w:rPr>
          <w:rFonts w:asciiTheme="minorHAnsi" w:hAnsiTheme="minorHAnsi" w:cstheme="minorHAnsi"/>
          <w:b w:val="0"/>
          <w:sz w:val="22"/>
        </w:rPr>
        <w:t xml:space="preserve">, pobrany w celu wysłania inną drogą lub zachowany w dokumentacji. </w:t>
      </w:r>
    </w:p>
    <w:p w14:paraId="635D62D4" w14:textId="77777777" w:rsidR="00ED353A" w:rsidRPr="00ED353A" w:rsidRDefault="00ED353A" w:rsidP="00ED353A">
      <w:pPr>
        <w:pStyle w:val="Akapitzlist"/>
        <w:widowControl w:val="0"/>
        <w:autoSpaceDE w:val="0"/>
        <w:autoSpaceDN w:val="0"/>
        <w:adjustRightInd w:val="0"/>
        <w:spacing w:before="60" w:after="60"/>
        <w:ind w:left="1417"/>
        <w:jc w:val="both"/>
        <w:rPr>
          <w:rFonts w:asciiTheme="minorHAnsi" w:hAnsiTheme="minorHAnsi" w:cstheme="minorHAnsi"/>
          <w:sz w:val="22"/>
          <w:szCs w:val="22"/>
        </w:rPr>
      </w:pPr>
    </w:p>
    <w:p w14:paraId="294D8AB3" w14:textId="77777777" w:rsidR="008E1929" w:rsidRDefault="008E1929" w:rsidP="00ED353A">
      <w:pPr>
        <w:pStyle w:val="Nagwek1"/>
        <w:numPr>
          <w:ilvl w:val="0"/>
          <w:numId w:val="2"/>
        </w:numPr>
        <w:tabs>
          <w:tab w:val="clear" w:pos="397"/>
        </w:tabs>
        <w:spacing w:before="60" w:after="60"/>
        <w:ind w:left="567" w:hanging="567"/>
        <w:jc w:val="both"/>
        <w:rPr>
          <w:rFonts w:ascii="Calibri" w:hAnsi="Calibri"/>
          <w:sz w:val="22"/>
        </w:rPr>
      </w:pPr>
      <w:r>
        <w:rPr>
          <w:rFonts w:ascii="Calibri" w:hAnsi="Calibri"/>
          <w:sz w:val="22"/>
        </w:rPr>
        <w:t>Przetwarzanie danych osobowych</w:t>
      </w:r>
    </w:p>
    <w:p w14:paraId="1ECEC654" w14:textId="77777777" w:rsidR="008E1929" w:rsidRPr="00D16ABA" w:rsidRDefault="008E1929" w:rsidP="00ED353A">
      <w:pPr>
        <w:pStyle w:val="Akapitzlist"/>
        <w:numPr>
          <w:ilvl w:val="1"/>
          <w:numId w:val="2"/>
        </w:numPr>
        <w:spacing w:before="60" w:after="60"/>
        <w:jc w:val="both"/>
        <w:rPr>
          <w:bCs/>
          <w:sz w:val="22"/>
          <w:szCs w:val="22"/>
        </w:rPr>
      </w:pPr>
      <w:r w:rsidRPr="00D16ABA">
        <w:rPr>
          <w:bCs/>
          <w:sz w:val="22"/>
          <w:szCs w:val="22"/>
        </w:rPr>
        <w:t>Oferent, w związku z przetwarzaniem danych osobowych w ramach udziału w otwartym konkursie ofert na zadanie publiczne, zobowiązuje się do stosowania przepisów Rozporządzenia Parlamentu Europejskiego i Rady (UE) 2016/679 z dnia 27 kwietnia 2016 r. w</w:t>
      </w:r>
      <w:r>
        <w:rPr>
          <w:bCs/>
          <w:sz w:val="22"/>
          <w:szCs w:val="22"/>
        </w:rPr>
        <w:t> </w:t>
      </w:r>
      <w:r w:rsidRPr="00D16ABA">
        <w:rPr>
          <w:bCs/>
          <w:sz w:val="22"/>
          <w:szCs w:val="22"/>
        </w:rPr>
        <w:t>sprawie ochrony osób fizycznych w związku z przetwarzaniem danych osobowych i w sprawie swobodnego przepływu takich danych oraz uchylenia dyrektywy 95/46/WE (zwanym dalej: „</w:t>
      </w:r>
      <w:r w:rsidRPr="00D16ABA">
        <w:rPr>
          <w:b/>
          <w:bCs/>
          <w:sz w:val="22"/>
          <w:szCs w:val="22"/>
        </w:rPr>
        <w:t>RODO</w:t>
      </w:r>
      <w:r>
        <w:rPr>
          <w:bCs/>
          <w:sz w:val="22"/>
          <w:szCs w:val="22"/>
        </w:rPr>
        <w:t>”).</w:t>
      </w:r>
    </w:p>
    <w:p w14:paraId="7D9B3B0F" w14:textId="77777777" w:rsidR="008E1929" w:rsidRPr="009A55AB" w:rsidRDefault="008E1929" w:rsidP="00ED353A">
      <w:pPr>
        <w:pStyle w:val="Akapitzlist"/>
        <w:numPr>
          <w:ilvl w:val="1"/>
          <w:numId w:val="2"/>
        </w:numPr>
        <w:spacing w:before="60" w:after="60"/>
        <w:jc w:val="both"/>
        <w:rPr>
          <w:bCs/>
          <w:sz w:val="22"/>
          <w:szCs w:val="22"/>
        </w:rPr>
      </w:pPr>
      <w:r w:rsidRPr="009A55AB">
        <w:rPr>
          <w:bCs/>
          <w:sz w:val="22"/>
          <w:szCs w:val="22"/>
        </w:rPr>
        <w:t>Poniższa informacja stanowi wykonanie przez Ministerstwo Spraw Zagranicznych obowiązku określonego w art. 13 i art. 14 RODO:</w:t>
      </w:r>
    </w:p>
    <w:p w14:paraId="4735B7A5" w14:textId="77777777" w:rsidR="008E1929" w:rsidRPr="00A04F28" w:rsidRDefault="008E1929" w:rsidP="00ED353A">
      <w:pPr>
        <w:pStyle w:val="Akapitzlist"/>
        <w:numPr>
          <w:ilvl w:val="0"/>
          <w:numId w:val="27"/>
        </w:numPr>
        <w:spacing w:before="60" w:after="60"/>
        <w:ind w:left="993" w:hanging="426"/>
        <w:jc w:val="both"/>
        <w:rPr>
          <w:bCs/>
          <w:sz w:val="22"/>
          <w:szCs w:val="22"/>
        </w:rPr>
      </w:pPr>
      <w:r w:rsidRPr="00A04F28">
        <w:rPr>
          <w:bCs/>
          <w:sz w:val="22"/>
          <w:szCs w:val="22"/>
        </w:rPr>
        <w:t>Administratorem, w rozumieniu art. 4 pkt 7 RODO, danych osobowych jest Minister Spraw Zagranicznych</w:t>
      </w:r>
      <w:r>
        <w:rPr>
          <w:bCs/>
          <w:sz w:val="22"/>
          <w:szCs w:val="22"/>
        </w:rPr>
        <w:t xml:space="preserve">, </w:t>
      </w:r>
      <w:r w:rsidRPr="00F567DB">
        <w:rPr>
          <w:bCs/>
          <w:sz w:val="22"/>
          <w:szCs w:val="22"/>
        </w:rPr>
        <w:t>a wykonującym obowiązki administratora jest dyrektor Departamentu Współpracy Rozwojowej</w:t>
      </w:r>
      <w:r>
        <w:rPr>
          <w:bCs/>
          <w:sz w:val="22"/>
          <w:szCs w:val="22"/>
        </w:rPr>
        <w:t>,</w:t>
      </w:r>
      <w:r w:rsidRPr="00F567DB">
        <w:rPr>
          <w:bCs/>
          <w:sz w:val="22"/>
          <w:szCs w:val="22"/>
        </w:rPr>
        <w:t xml:space="preserve"> </w:t>
      </w:r>
      <w:r w:rsidRPr="00A04F28">
        <w:rPr>
          <w:bCs/>
          <w:sz w:val="22"/>
          <w:szCs w:val="22"/>
        </w:rPr>
        <w:t>z siedzibą w Polsce, w W</w:t>
      </w:r>
      <w:r>
        <w:rPr>
          <w:bCs/>
          <w:sz w:val="22"/>
          <w:szCs w:val="22"/>
        </w:rPr>
        <w:t>arszawie, Al. J. Ch. Szucha 23;</w:t>
      </w:r>
    </w:p>
    <w:p w14:paraId="72D2FEE5" w14:textId="77777777" w:rsidR="008E1929" w:rsidRPr="00374989" w:rsidRDefault="008E1929" w:rsidP="00ED353A">
      <w:pPr>
        <w:pStyle w:val="Akapitzlist"/>
        <w:numPr>
          <w:ilvl w:val="0"/>
          <w:numId w:val="27"/>
        </w:numPr>
        <w:spacing w:before="60" w:after="60"/>
        <w:ind w:left="993" w:hanging="426"/>
        <w:jc w:val="both"/>
        <w:rPr>
          <w:bCs/>
          <w:sz w:val="22"/>
          <w:szCs w:val="22"/>
        </w:rPr>
      </w:pPr>
      <w:r w:rsidRPr="00374989">
        <w:rPr>
          <w:bCs/>
          <w:sz w:val="22"/>
          <w:szCs w:val="22"/>
        </w:rPr>
        <w:lastRenderedPageBreak/>
        <w:t>Minister Spraw Zagranicznych powołał Inspektora Ochrony Danych (IOD), który realizuje swoje obowiązki w odniesieniu do danych przetwarzanych w Ministerstwie Spraw Zagranicznych i placówkach zagranicznych.  Dane kontaktowe IOD:</w:t>
      </w:r>
    </w:p>
    <w:p w14:paraId="23897BBF" w14:textId="1932BB5C" w:rsidR="008E1929" w:rsidRPr="00A04F28" w:rsidRDefault="008E1929" w:rsidP="00ED353A">
      <w:pPr>
        <w:pStyle w:val="Akapitzlist"/>
        <w:spacing w:before="60" w:after="60"/>
        <w:ind w:left="1422" w:hanging="11"/>
        <w:jc w:val="center"/>
        <w:rPr>
          <w:bCs/>
          <w:sz w:val="22"/>
          <w:szCs w:val="22"/>
        </w:rPr>
      </w:pPr>
      <w:r w:rsidRPr="00A04F28">
        <w:rPr>
          <w:bCs/>
          <w:sz w:val="22"/>
          <w:szCs w:val="22"/>
        </w:rPr>
        <w:t>adres siedziby: Al. J. Ch. Szucha 23, 00-580 Warszawa</w:t>
      </w:r>
    </w:p>
    <w:p w14:paraId="6C5D1F3B" w14:textId="77777777" w:rsidR="008E1929" w:rsidRPr="00787BF2" w:rsidRDefault="008E1929" w:rsidP="00ED353A">
      <w:pPr>
        <w:pStyle w:val="Akapitzlist"/>
        <w:spacing w:before="60" w:after="60"/>
        <w:ind w:left="1422" w:hanging="11"/>
        <w:jc w:val="center"/>
        <w:rPr>
          <w:bCs/>
          <w:sz w:val="22"/>
          <w:szCs w:val="22"/>
        </w:rPr>
      </w:pPr>
      <w:r w:rsidRPr="00787BF2">
        <w:rPr>
          <w:bCs/>
          <w:sz w:val="22"/>
          <w:szCs w:val="22"/>
        </w:rPr>
        <w:t xml:space="preserve">adres  e-mail: </w:t>
      </w:r>
      <w:hyperlink r:id="rId9" w:history="1">
        <w:r w:rsidRPr="00787BF2">
          <w:rPr>
            <w:rStyle w:val="Hipercze"/>
            <w:rFonts w:ascii="Calibri" w:hAnsi="Calibri"/>
            <w:bCs/>
            <w:szCs w:val="22"/>
          </w:rPr>
          <w:t>iod@msz.gov.pl</w:t>
        </w:r>
      </w:hyperlink>
    </w:p>
    <w:p w14:paraId="4B841A43" w14:textId="358E70DB" w:rsidR="008E1929" w:rsidRDefault="008E1929" w:rsidP="00ED353A">
      <w:pPr>
        <w:pStyle w:val="Akapitzlist"/>
        <w:numPr>
          <w:ilvl w:val="0"/>
          <w:numId w:val="27"/>
        </w:numPr>
        <w:spacing w:before="60" w:after="60"/>
        <w:ind w:left="992" w:hanging="425"/>
        <w:jc w:val="both"/>
        <w:rPr>
          <w:bCs/>
          <w:sz w:val="22"/>
          <w:szCs w:val="22"/>
        </w:rPr>
      </w:pPr>
      <w:r w:rsidRPr="00374989">
        <w:rPr>
          <w:bCs/>
          <w:sz w:val="22"/>
          <w:szCs w:val="22"/>
        </w:rPr>
        <w:t xml:space="preserve">Dane zostały przekazane do MSZ bezpośrednio lub przez </w:t>
      </w:r>
      <w:r>
        <w:rPr>
          <w:bCs/>
          <w:sz w:val="22"/>
          <w:szCs w:val="22"/>
        </w:rPr>
        <w:t>o</w:t>
      </w:r>
      <w:r w:rsidRPr="00374989">
        <w:rPr>
          <w:bCs/>
          <w:sz w:val="22"/>
          <w:szCs w:val="22"/>
        </w:rPr>
        <w:t>ferenta biorącego udział w</w:t>
      </w:r>
      <w:r>
        <w:rPr>
          <w:bCs/>
          <w:sz w:val="22"/>
          <w:szCs w:val="22"/>
        </w:rPr>
        <w:t> </w:t>
      </w:r>
      <w:r w:rsidRPr="00374989">
        <w:rPr>
          <w:bCs/>
          <w:sz w:val="22"/>
          <w:szCs w:val="22"/>
        </w:rPr>
        <w:t>otwartym konkursie ofert</w:t>
      </w:r>
      <w:r w:rsidR="000E79F5">
        <w:rPr>
          <w:bCs/>
          <w:sz w:val="22"/>
          <w:szCs w:val="22"/>
        </w:rPr>
        <w:t xml:space="preserve"> na zadanie publiczne: „P</w:t>
      </w:r>
      <w:r w:rsidRPr="00374989">
        <w:rPr>
          <w:bCs/>
          <w:sz w:val="22"/>
          <w:szCs w:val="22"/>
        </w:rPr>
        <w:t xml:space="preserve">omoc </w:t>
      </w:r>
      <w:r>
        <w:rPr>
          <w:bCs/>
          <w:sz w:val="22"/>
          <w:szCs w:val="22"/>
        </w:rPr>
        <w:t>humanitarna</w:t>
      </w:r>
      <w:r w:rsidRPr="00374989">
        <w:rPr>
          <w:bCs/>
          <w:sz w:val="22"/>
          <w:szCs w:val="22"/>
        </w:rPr>
        <w:t xml:space="preserve"> 202</w:t>
      </w:r>
      <w:r w:rsidR="0014490A">
        <w:rPr>
          <w:bCs/>
          <w:sz w:val="22"/>
          <w:szCs w:val="22"/>
        </w:rPr>
        <w:t>2</w:t>
      </w:r>
      <w:r w:rsidRPr="00374989">
        <w:rPr>
          <w:bCs/>
          <w:sz w:val="22"/>
          <w:szCs w:val="22"/>
        </w:rPr>
        <w:t>”.</w:t>
      </w:r>
    </w:p>
    <w:p w14:paraId="25F051AF" w14:textId="77777777" w:rsidR="008E1929" w:rsidRDefault="008E1929" w:rsidP="00ED353A">
      <w:pPr>
        <w:pStyle w:val="Akapitzlist"/>
        <w:numPr>
          <w:ilvl w:val="0"/>
          <w:numId w:val="27"/>
        </w:numPr>
        <w:spacing w:before="60" w:after="60"/>
        <w:ind w:left="992" w:hanging="425"/>
        <w:jc w:val="both"/>
        <w:rPr>
          <w:bCs/>
          <w:sz w:val="22"/>
          <w:szCs w:val="22"/>
        </w:rPr>
      </w:pPr>
      <w:r w:rsidRPr="00374989">
        <w:rPr>
          <w:bCs/>
          <w:sz w:val="22"/>
          <w:szCs w:val="22"/>
        </w:rPr>
        <w:t xml:space="preserve">Dane osobowe będą przetwarzane przez MSZ na podstawie art. 6 ust. 1 lit. e RODO w celu realizacji otwartego </w:t>
      </w:r>
      <w:r w:rsidRPr="00197D2D">
        <w:rPr>
          <w:bCs/>
          <w:sz w:val="22"/>
          <w:szCs w:val="22"/>
        </w:rPr>
        <w:t>konkursu ofert na zadania publiczne dot. współpracy rozwojowej (realizowane na podstawie ustawy z dn. 4.09.1997 r. o działach administracji rządowej), a w przypadku zawarcia umowy dotacji – na podstawie art. 6 ust. 1 lit. c i e RODO – w celu realizacji ww. zadań publicznych, w tym opracowywania materiałów informacyjnych, monitoringu, kontroli i ewaluacji tych zadań (na podstawie ustawy z dn. 4 września 1997 r. o działach administracji rządowej i w związku z obowiązkami określonymi w ustawie z dnia 27 sierpnia 2009 r. o finansach publicznych</w:t>
      </w:r>
      <w:r w:rsidRPr="00133D93">
        <w:rPr>
          <w:bCs/>
          <w:sz w:val="22"/>
          <w:szCs w:val="22"/>
        </w:rPr>
        <w:t>).</w:t>
      </w:r>
    </w:p>
    <w:p w14:paraId="0F7A7C25" w14:textId="77777777" w:rsidR="008E1929" w:rsidRDefault="008E1929" w:rsidP="00ED353A">
      <w:pPr>
        <w:pStyle w:val="Akapitzlist"/>
        <w:numPr>
          <w:ilvl w:val="0"/>
          <w:numId w:val="27"/>
        </w:numPr>
        <w:spacing w:before="60" w:after="60"/>
        <w:ind w:left="992" w:hanging="425"/>
        <w:jc w:val="both"/>
        <w:rPr>
          <w:bCs/>
          <w:sz w:val="22"/>
          <w:szCs w:val="22"/>
        </w:rPr>
      </w:pPr>
      <w:r w:rsidRPr="00FD4AA3">
        <w:rPr>
          <w:bCs/>
          <w:sz w:val="22"/>
          <w:szCs w:val="22"/>
        </w:rPr>
        <w:t>Dane osobowe będą przechowywane do czasu ogłoszenia wyników konkursu ofert lub w</w:t>
      </w:r>
      <w:r>
        <w:rPr>
          <w:bCs/>
          <w:sz w:val="22"/>
          <w:szCs w:val="22"/>
        </w:rPr>
        <w:t> </w:t>
      </w:r>
      <w:r w:rsidRPr="00FD4AA3">
        <w:rPr>
          <w:bCs/>
          <w:sz w:val="22"/>
          <w:szCs w:val="22"/>
        </w:rPr>
        <w:t xml:space="preserve">przypadku zawarcia umowy dotacji </w:t>
      </w:r>
      <w:r>
        <w:rPr>
          <w:bCs/>
          <w:sz w:val="22"/>
          <w:szCs w:val="22"/>
        </w:rPr>
        <w:t>–</w:t>
      </w:r>
      <w:r w:rsidRPr="00FD4AA3">
        <w:rPr>
          <w:bCs/>
          <w:sz w:val="22"/>
          <w:szCs w:val="22"/>
        </w:rPr>
        <w:t xml:space="preserve"> do czasu zakończenia realizacji projektu, a</w:t>
      </w:r>
      <w:r>
        <w:rPr>
          <w:bCs/>
          <w:sz w:val="22"/>
          <w:szCs w:val="22"/>
        </w:rPr>
        <w:t> </w:t>
      </w:r>
      <w:r w:rsidRPr="00FD4AA3">
        <w:rPr>
          <w:bCs/>
          <w:sz w:val="22"/>
          <w:szCs w:val="22"/>
        </w:rPr>
        <w:t>następnie w celach archiwalnych, zgodnie z przepisami ustawy z dnia 14 lipca 1983 r. o narodowym z</w:t>
      </w:r>
      <w:r>
        <w:rPr>
          <w:bCs/>
          <w:sz w:val="22"/>
          <w:szCs w:val="22"/>
        </w:rPr>
        <w:t>asobie archiwalnym i archiwach.</w:t>
      </w:r>
    </w:p>
    <w:p w14:paraId="68F95B8D" w14:textId="77777777" w:rsidR="008E1929" w:rsidRPr="00374989" w:rsidRDefault="008E1929" w:rsidP="00ED353A">
      <w:pPr>
        <w:pStyle w:val="Akapitzlist"/>
        <w:numPr>
          <w:ilvl w:val="0"/>
          <w:numId w:val="27"/>
        </w:numPr>
        <w:spacing w:before="60" w:after="60"/>
        <w:ind w:left="992" w:hanging="425"/>
        <w:rPr>
          <w:bCs/>
          <w:sz w:val="22"/>
          <w:szCs w:val="22"/>
        </w:rPr>
      </w:pPr>
      <w:r w:rsidRPr="00374989">
        <w:rPr>
          <w:bCs/>
          <w:sz w:val="22"/>
          <w:szCs w:val="22"/>
        </w:rPr>
        <w:t>Zakres przetwarzanych danych obejmuje:</w:t>
      </w:r>
    </w:p>
    <w:p w14:paraId="413A0E55" w14:textId="77777777" w:rsidR="008E1929" w:rsidRDefault="008E1929" w:rsidP="00ED353A">
      <w:pPr>
        <w:pStyle w:val="Akapitzlist"/>
        <w:numPr>
          <w:ilvl w:val="1"/>
          <w:numId w:val="29"/>
        </w:numPr>
        <w:spacing w:before="60" w:after="60"/>
        <w:ind w:left="1417" w:hanging="425"/>
        <w:jc w:val="both"/>
        <w:rPr>
          <w:bCs/>
          <w:sz w:val="22"/>
          <w:szCs w:val="22"/>
        </w:rPr>
      </w:pPr>
      <w:r>
        <w:rPr>
          <w:bCs/>
          <w:sz w:val="22"/>
          <w:szCs w:val="22"/>
        </w:rPr>
        <w:t>imię i nazwisko;</w:t>
      </w:r>
    </w:p>
    <w:p w14:paraId="6B44B21C" w14:textId="77777777" w:rsidR="008E1929" w:rsidRDefault="008E1929" w:rsidP="00ED353A">
      <w:pPr>
        <w:pStyle w:val="Akapitzlist"/>
        <w:numPr>
          <w:ilvl w:val="1"/>
          <w:numId w:val="29"/>
        </w:numPr>
        <w:spacing w:before="60" w:after="60"/>
        <w:ind w:left="1417" w:hanging="425"/>
        <w:jc w:val="both"/>
        <w:rPr>
          <w:bCs/>
          <w:sz w:val="22"/>
          <w:szCs w:val="22"/>
        </w:rPr>
      </w:pPr>
      <w:r w:rsidRPr="00FD4AA3">
        <w:rPr>
          <w:bCs/>
          <w:sz w:val="22"/>
          <w:szCs w:val="22"/>
        </w:rPr>
        <w:t xml:space="preserve">kontakt </w:t>
      </w:r>
      <w:r>
        <w:rPr>
          <w:bCs/>
          <w:sz w:val="22"/>
          <w:szCs w:val="22"/>
        </w:rPr>
        <w:t>(adres e-mail, telefon);</w:t>
      </w:r>
    </w:p>
    <w:p w14:paraId="4571D734" w14:textId="77777777" w:rsidR="008E1929" w:rsidRDefault="008E1929" w:rsidP="00ED353A">
      <w:pPr>
        <w:pStyle w:val="Akapitzlist"/>
        <w:numPr>
          <w:ilvl w:val="1"/>
          <w:numId w:val="29"/>
        </w:numPr>
        <w:spacing w:before="60" w:after="60"/>
        <w:ind w:left="1417" w:hanging="425"/>
        <w:jc w:val="both"/>
        <w:rPr>
          <w:bCs/>
          <w:sz w:val="22"/>
          <w:szCs w:val="22"/>
        </w:rPr>
      </w:pPr>
      <w:r>
        <w:rPr>
          <w:bCs/>
          <w:sz w:val="22"/>
          <w:szCs w:val="22"/>
        </w:rPr>
        <w:t>pełniona funkcja;</w:t>
      </w:r>
    </w:p>
    <w:p w14:paraId="3B59C99F" w14:textId="77777777" w:rsidR="008E1929" w:rsidRDefault="008E1929" w:rsidP="00ED353A">
      <w:pPr>
        <w:pStyle w:val="Akapitzlist"/>
        <w:numPr>
          <w:ilvl w:val="1"/>
          <w:numId w:val="29"/>
        </w:numPr>
        <w:spacing w:before="60" w:after="60"/>
        <w:ind w:left="1417" w:hanging="425"/>
        <w:jc w:val="both"/>
        <w:rPr>
          <w:bCs/>
          <w:sz w:val="22"/>
          <w:szCs w:val="22"/>
        </w:rPr>
      </w:pPr>
      <w:r>
        <w:rPr>
          <w:bCs/>
          <w:sz w:val="22"/>
          <w:szCs w:val="22"/>
        </w:rPr>
        <w:t>doświadczenie zawodowe;</w:t>
      </w:r>
    </w:p>
    <w:p w14:paraId="7E98A988" w14:textId="77777777" w:rsidR="008E1929" w:rsidRDefault="008E1929" w:rsidP="00ED353A">
      <w:pPr>
        <w:pStyle w:val="Akapitzlist"/>
        <w:numPr>
          <w:ilvl w:val="1"/>
          <w:numId w:val="29"/>
        </w:numPr>
        <w:spacing w:before="60" w:after="60"/>
        <w:ind w:left="1417" w:hanging="425"/>
        <w:jc w:val="both"/>
        <w:rPr>
          <w:bCs/>
          <w:sz w:val="22"/>
          <w:szCs w:val="22"/>
        </w:rPr>
      </w:pPr>
      <w:r>
        <w:rPr>
          <w:bCs/>
          <w:sz w:val="22"/>
          <w:szCs w:val="22"/>
        </w:rPr>
        <w:t>kwalifikacje;</w:t>
      </w:r>
    </w:p>
    <w:p w14:paraId="41ACBF44" w14:textId="77777777" w:rsidR="008E1929" w:rsidRDefault="008E1929" w:rsidP="00ED353A">
      <w:pPr>
        <w:pStyle w:val="Akapitzlist"/>
        <w:numPr>
          <w:ilvl w:val="1"/>
          <w:numId w:val="29"/>
        </w:numPr>
        <w:spacing w:before="60" w:after="60"/>
        <w:ind w:left="1417" w:hanging="425"/>
        <w:jc w:val="both"/>
        <w:rPr>
          <w:bCs/>
          <w:sz w:val="22"/>
          <w:szCs w:val="22"/>
        </w:rPr>
      </w:pPr>
      <w:r>
        <w:rPr>
          <w:bCs/>
          <w:sz w:val="22"/>
          <w:szCs w:val="22"/>
        </w:rPr>
        <w:t>wykształcenie;</w:t>
      </w:r>
    </w:p>
    <w:p w14:paraId="1B326D18" w14:textId="77777777" w:rsidR="008E1929" w:rsidRDefault="008E1929" w:rsidP="00ED353A">
      <w:pPr>
        <w:pStyle w:val="Akapitzlist"/>
        <w:numPr>
          <w:ilvl w:val="1"/>
          <w:numId w:val="29"/>
        </w:numPr>
        <w:spacing w:before="60" w:after="60"/>
        <w:ind w:left="1417" w:hanging="425"/>
        <w:jc w:val="both"/>
        <w:rPr>
          <w:bCs/>
          <w:sz w:val="22"/>
          <w:szCs w:val="22"/>
        </w:rPr>
      </w:pPr>
      <w:r>
        <w:rPr>
          <w:bCs/>
          <w:sz w:val="22"/>
          <w:szCs w:val="22"/>
        </w:rPr>
        <w:t>miejsce zatrudnienia;</w:t>
      </w:r>
    </w:p>
    <w:p w14:paraId="788FFFF1" w14:textId="77777777" w:rsidR="008E1929" w:rsidRPr="00FD4AA3" w:rsidRDefault="008E1929" w:rsidP="00ED353A">
      <w:pPr>
        <w:pStyle w:val="Akapitzlist"/>
        <w:numPr>
          <w:ilvl w:val="1"/>
          <w:numId w:val="29"/>
        </w:numPr>
        <w:spacing w:before="60" w:after="60"/>
        <w:ind w:left="1417" w:hanging="425"/>
        <w:jc w:val="both"/>
        <w:rPr>
          <w:bCs/>
          <w:sz w:val="22"/>
          <w:szCs w:val="22"/>
        </w:rPr>
      </w:pPr>
      <w:r w:rsidRPr="00FD4AA3">
        <w:rPr>
          <w:bCs/>
          <w:sz w:val="22"/>
          <w:szCs w:val="22"/>
        </w:rPr>
        <w:t>znajomość języków.</w:t>
      </w:r>
    </w:p>
    <w:p w14:paraId="475AB2AB" w14:textId="77777777" w:rsidR="008E1929" w:rsidRPr="00FD4AA3" w:rsidRDefault="008E1929" w:rsidP="00ED353A">
      <w:pPr>
        <w:pStyle w:val="Akapitzlist"/>
        <w:numPr>
          <w:ilvl w:val="0"/>
          <w:numId w:val="27"/>
        </w:numPr>
        <w:spacing w:before="60" w:after="60"/>
        <w:jc w:val="both"/>
        <w:rPr>
          <w:bCs/>
          <w:sz w:val="22"/>
          <w:szCs w:val="22"/>
        </w:rPr>
      </w:pPr>
      <w:r w:rsidRPr="00FD4AA3">
        <w:rPr>
          <w:bCs/>
          <w:sz w:val="22"/>
          <w:szCs w:val="22"/>
        </w:rPr>
        <w:t>Dane osobowe mogą być przekazane podmiotom trzecim, w szczególności:</w:t>
      </w:r>
    </w:p>
    <w:p w14:paraId="7D85162B" w14:textId="4ADF55C6" w:rsidR="008E1929" w:rsidRDefault="008E1929" w:rsidP="00ED353A">
      <w:pPr>
        <w:pStyle w:val="Akapitzlist"/>
        <w:numPr>
          <w:ilvl w:val="0"/>
          <w:numId w:val="28"/>
        </w:numPr>
        <w:spacing w:before="60" w:after="60"/>
        <w:ind w:left="1418" w:hanging="425"/>
        <w:jc w:val="both"/>
        <w:rPr>
          <w:bCs/>
          <w:sz w:val="22"/>
          <w:szCs w:val="22"/>
        </w:rPr>
      </w:pPr>
      <w:r w:rsidRPr="00AA4049">
        <w:rPr>
          <w:bCs/>
          <w:sz w:val="22"/>
          <w:szCs w:val="22"/>
        </w:rPr>
        <w:t>komisji konkursowej, opiniującej oferty</w:t>
      </w:r>
      <w:r w:rsidR="00CA7997">
        <w:rPr>
          <w:bCs/>
          <w:sz w:val="22"/>
          <w:szCs w:val="22"/>
        </w:rPr>
        <w:t>;</w:t>
      </w:r>
    </w:p>
    <w:p w14:paraId="75B07DD5" w14:textId="77777777" w:rsidR="008E1929" w:rsidRDefault="008E1929" w:rsidP="00ED353A">
      <w:pPr>
        <w:pStyle w:val="Akapitzlist"/>
        <w:numPr>
          <w:ilvl w:val="0"/>
          <w:numId w:val="28"/>
        </w:numPr>
        <w:spacing w:before="60" w:after="60"/>
        <w:ind w:left="1418" w:hanging="425"/>
        <w:jc w:val="both"/>
        <w:rPr>
          <w:bCs/>
          <w:sz w:val="22"/>
          <w:szCs w:val="22"/>
        </w:rPr>
      </w:pPr>
      <w:r>
        <w:rPr>
          <w:bCs/>
          <w:sz w:val="22"/>
          <w:szCs w:val="22"/>
        </w:rPr>
        <w:t>podmiotom</w:t>
      </w:r>
      <w:r w:rsidRPr="00FD4AA3">
        <w:rPr>
          <w:bCs/>
          <w:sz w:val="22"/>
          <w:szCs w:val="22"/>
        </w:rPr>
        <w:t xml:space="preserve"> upoważnionym na podstawie obowiązujących przepisów prawa, w tym sądom </w:t>
      </w:r>
      <w:r>
        <w:rPr>
          <w:bCs/>
          <w:sz w:val="22"/>
          <w:szCs w:val="22"/>
        </w:rPr>
        <w:t>i </w:t>
      </w:r>
      <w:r w:rsidRPr="00FD4AA3">
        <w:rPr>
          <w:bCs/>
          <w:sz w:val="22"/>
          <w:szCs w:val="22"/>
        </w:rPr>
        <w:t>innym organom państwow</w:t>
      </w:r>
      <w:r>
        <w:rPr>
          <w:bCs/>
          <w:sz w:val="22"/>
          <w:szCs w:val="22"/>
        </w:rPr>
        <w:t>ym;</w:t>
      </w:r>
    </w:p>
    <w:p w14:paraId="0ED84B4B" w14:textId="77777777" w:rsidR="008E1929" w:rsidRDefault="008E1929" w:rsidP="00ED353A">
      <w:pPr>
        <w:pStyle w:val="Akapitzlist"/>
        <w:numPr>
          <w:ilvl w:val="0"/>
          <w:numId w:val="28"/>
        </w:numPr>
        <w:spacing w:before="60" w:after="60"/>
        <w:ind w:left="1418" w:hanging="425"/>
        <w:jc w:val="both"/>
        <w:rPr>
          <w:bCs/>
          <w:sz w:val="22"/>
          <w:szCs w:val="22"/>
        </w:rPr>
      </w:pPr>
      <w:r>
        <w:rPr>
          <w:bCs/>
          <w:sz w:val="22"/>
          <w:szCs w:val="22"/>
        </w:rPr>
        <w:t xml:space="preserve">podmiotom </w:t>
      </w:r>
      <w:r w:rsidRPr="00AA4049">
        <w:rPr>
          <w:bCs/>
          <w:sz w:val="22"/>
          <w:szCs w:val="22"/>
        </w:rPr>
        <w:t>świadczącym, na podstawie zawartej z MSZ umowy, usługi opiniowania ofert, informatyczne, komunikacyjne, audytorskie, ewaluacyjne</w:t>
      </w:r>
      <w:r>
        <w:rPr>
          <w:bCs/>
          <w:sz w:val="22"/>
          <w:szCs w:val="22"/>
        </w:rPr>
        <w:t>.</w:t>
      </w:r>
    </w:p>
    <w:p w14:paraId="1ACD39EA" w14:textId="77777777" w:rsidR="008E1929" w:rsidRDefault="008E1929" w:rsidP="00ED353A">
      <w:pPr>
        <w:pStyle w:val="Akapitzlist"/>
        <w:numPr>
          <w:ilvl w:val="0"/>
          <w:numId w:val="27"/>
        </w:numPr>
        <w:spacing w:before="60" w:after="60"/>
        <w:jc w:val="both"/>
        <w:rPr>
          <w:bCs/>
          <w:sz w:val="22"/>
          <w:szCs w:val="22"/>
        </w:rPr>
      </w:pPr>
      <w:r w:rsidRPr="00FD4AA3">
        <w:rPr>
          <w:bCs/>
          <w:sz w:val="22"/>
          <w:szCs w:val="22"/>
        </w:rPr>
        <w:t xml:space="preserve">Dane osobowe nie będą przekazywane do państwa trzeciego, ani do organizacji międzynarodowej. </w:t>
      </w:r>
    </w:p>
    <w:p w14:paraId="4E338C4A" w14:textId="77777777" w:rsidR="008E1929" w:rsidRDefault="008E1929" w:rsidP="00ED353A">
      <w:pPr>
        <w:pStyle w:val="Akapitzlist"/>
        <w:numPr>
          <w:ilvl w:val="0"/>
          <w:numId w:val="27"/>
        </w:numPr>
        <w:spacing w:before="60" w:after="60"/>
        <w:jc w:val="both"/>
        <w:rPr>
          <w:bCs/>
          <w:sz w:val="22"/>
          <w:szCs w:val="22"/>
        </w:rPr>
      </w:pPr>
      <w:r w:rsidRPr="00FD4AA3">
        <w:rPr>
          <w:bCs/>
          <w:sz w:val="22"/>
          <w:szCs w:val="22"/>
        </w:rPr>
        <w:t>Osobie, której dane dotyczą, przysługuje prawo do kontroli przetwarzania danych, określone w art. 15</w:t>
      </w:r>
      <w:r>
        <w:rPr>
          <w:bCs/>
          <w:sz w:val="22"/>
          <w:szCs w:val="22"/>
        </w:rPr>
        <w:t>–</w:t>
      </w:r>
      <w:r w:rsidRPr="00FD4AA3">
        <w:rPr>
          <w:bCs/>
          <w:sz w:val="22"/>
          <w:szCs w:val="22"/>
        </w:rPr>
        <w:t>16 RODO, w szczególności prawo dostępu do treści swoich danych osobowych i ich sprostowania oraz art. 17</w:t>
      </w:r>
      <w:r>
        <w:rPr>
          <w:bCs/>
          <w:sz w:val="22"/>
          <w:szCs w:val="22"/>
        </w:rPr>
        <w:t>–</w:t>
      </w:r>
      <w:r w:rsidRPr="00FD4AA3">
        <w:rPr>
          <w:bCs/>
          <w:sz w:val="22"/>
          <w:szCs w:val="22"/>
        </w:rPr>
        <w:t>19 i 21 RODO, usunięcia lub ograniczenia przetwarzania oraz prawo wniesienia sprzeciwu, o ile będą miały zastosowanie.</w:t>
      </w:r>
    </w:p>
    <w:p w14:paraId="2A99DB42" w14:textId="77777777" w:rsidR="008E1929" w:rsidRDefault="008E1929" w:rsidP="00ED353A">
      <w:pPr>
        <w:pStyle w:val="Akapitzlist"/>
        <w:numPr>
          <w:ilvl w:val="0"/>
          <w:numId w:val="27"/>
        </w:numPr>
        <w:spacing w:before="60" w:after="60"/>
        <w:jc w:val="both"/>
        <w:rPr>
          <w:bCs/>
          <w:sz w:val="22"/>
          <w:szCs w:val="22"/>
        </w:rPr>
      </w:pPr>
      <w:r w:rsidRPr="00FD4AA3">
        <w:rPr>
          <w:bCs/>
          <w:sz w:val="22"/>
          <w:szCs w:val="22"/>
        </w:rPr>
        <w:t>Dane nie będą przetwarzane w sposób zautomatyzowany, który będzie miał wpływ na podejmowanie decyzji mogących wywołać skutki prawne lub w podobny sposób istotnie na nią wpłynąć. Dane nie będą poddawane profilowaniu.</w:t>
      </w:r>
    </w:p>
    <w:p w14:paraId="6B7D4DCA" w14:textId="77777777" w:rsidR="008E1929" w:rsidRPr="00FD4AA3" w:rsidRDefault="008E1929" w:rsidP="00ED353A">
      <w:pPr>
        <w:pStyle w:val="Akapitzlist"/>
        <w:numPr>
          <w:ilvl w:val="0"/>
          <w:numId w:val="27"/>
        </w:numPr>
        <w:spacing w:before="60" w:after="60"/>
        <w:jc w:val="both"/>
        <w:rPr>
          <w:bCs/>
          <w:sz w:val="22"/>
          <w:szCs w:val="22"/>
        </w:rPr>
      </w:pPr>
      <w:r w:rsidRPr="00FD4AA3">
        <w:rPr>
          <w:bCs/>
          <w:sz w:val="22"/>
          <w:szCs w:val="22"/>
        </w:rPr>
        <w:t xml:space="preserve">Osobie, której dane dotyczą przysługuje prawo wniesienia skargi </w:t>
      </w:r>
      <w:r>
        <w:rPr>
          <w:bCs/>
          <w:sz w:val="22"/>
          <w:szCs w:val="22"/>
        </w:rPr>
        <w:t>do organu nadzorczego na adres:</w:t>
      </w:r>
    </w:p>
    <w:p w14:paraId="411E1DEB" w14:textId="77777777" w:rsidR="008E1929" w:rsidRPr="00A04F28" w:rsidRDefault="008E1929" w:rsidP="00ED353A">
      <w:pPr>
        <w:pStyle w:val="Akapitzlist"/>
        <w:spacing w:before="60" w:after="60"/>
        <w:ind w:left="992"/>
        <w:jc w:val="center"/>
        <w:rPr>
          <w:bCs/>
          <w:sz w:val="22"/>
          <w:szCs w:val="22"/>
        </w:rPr>
      </w:pPr>
      <w:r w:rsidRPr="00A04F28">
        <w:rPr>
          <w:bCs/>
          <w:sz w:val="22"/>
          <w:szCs w:val="22"/>
        </w:rPr>
        <w:t xml:space="preserve">Prezes </w:t>
      </w:r>
      <w:r>
        <w:rPr>
          <w:bCs/>
          <w:sz w:val="22"/>
          <w:szCs w:val="22"/>
        </w:rPr>
        <w:t>Urzędu Ochrony Danych Osobowych</w:t>
      </w:r>
    </w:p>
    <w:p w14:paraId="3B6E8AA0" w14:textId="77777777" w:rsidR="008E1929" w:rsidRPr="00A04F28" w:rsidRDefault="008E1929" w:rsidP="00ED353A">
      <w:pPr>
        <w:pStyle w:val="Akapitzlist"/>
        <w:spacing w:before="60" w:after="60"/>
        <w:ind w:left="992"/>
        <w:jc w:val="center"/>
        <w:rPr>
          <w:bCs/>
          <w:sz w:val="22"/>
          <w:szCs w:val="22"/>
        </w:rPr>
      </w:pPr>
      <w:r>
        <w:rPr>
          <w:bCs/>
          <w:sz w:val="22"/>
          <w:szCs w:val="22"/>
        </w:rPr>
        <w:lastRenderedPageBreak/>
        <w:t xml:space="preserve">ul. Stawki 2, </w:t>
      </w:r>
      <w:r w:rsidRPr="00A04F28">
        <w:rPr>
          <w:bCs/>
          <w:sz w:val="22"/>
          <w:szCs w:val="22"/>
        </w:rPr>
        <w:t>00-193 Warszawa</w:t>
      </w:r>
    </w:p>
    <w:p w14:paraId="77EF3236" w14:textId="325CE7A4" w:rsidR="008E1929" w:rsidRPr="003F40CA" w:rsidRDefault="008E1929" w:rsidP="00ED353A">
      <w:pPr>
        <w:pStyle w:val="Akapitzlist"/>
        <w:numPr>
          <w:ilvl w:val="1"/>
          <w:numId w:val="2"/>
        </w:numPr>
        <w:spacing w:before="60" w:after="60"/>
        <w:jc w:val="both"/>
        <w:rPr>
          <w:bCs/>
          <w:sz w:val="22"/>
          <w:szCs w:val="22"/>
        </w:rPr>
      </w:pPr>
      <w:r w:rsidRPr="009928F2">
        <w:rPr>
          <w:b/>
          <w:bCs/>
          <w:sz w:val="22"/>
          <w:szCs w:val="22"/>
        </w:rPr>
        <w:t>Oferent zobowiązany jest do przekazania</w:t>
      </w:r>
      <w:r w:rsidRPr="007E268A">
        <w:rPr>
          <w:bCs/>
          <w:sz w:val="22"/>
          <w:szCs w:val="22"/>
        </w:rPr>
        <w:t xml:space="preserve"> osobom wskazanym w ofercie złożonej w konkurs</w:t>
      </w:r>
      <w:r>
        <w:rPr>
          <w:bCs/>
          <w:sz w:val="22"/>
          <w:szCs w:val="22"/>
        </w:rPr>
        <w:t>ie</w:t>
      </w:r>
      <w:r w:rsidRPr="007E268A">
        <w:rPr>
          <w:bCs/>
          <w:sz w:val="22"/>
          <w:szCs w:val="22"/>
        </w:rPr>
        <w:t xml:space="preserve"> „</w:t>
      </w:r>
      <w:r w:rsidR="000E79F5">
        <w:rPr>
          <w:bCs/>
          <w:sz w:val="22"/>
          <w:szCs w:val="22"/>
        </w:rPr>
        <w:t>Pomoc humanitarna</w:t>
      </w:r>
      <w:r w:rsidRPr="007E268A">
        <w:rPr>
          <w:bCs/>
          <w:sz w:val="22"/>
          <w:szCs w:val="22"/>
        </w:rPr>
        <w:t xml:space="preserve"> 20</w:t>
      </w:r>
      <w:r w:rsidR="00F047B6">
        <w:rPr>
          <w:bCs/>
          <w:sz w:val="22"/>
          <w:szCs w:val="22"/>
        </w:rPr>
        <w:t>22</w:t>
      </w:r>
      <w:r w:rsidRPr="007E268A">
        <w:rPr>
          <w:bCs/>
          <w:sz w:val="22"/>
          <w:szCs w:val="22"/>
        </w:rPr>
        <w:t xml:space="preserve">” informacji dotyczącej przetwarzania ich danych osobowych przez Ministerstwo Spraw Zagranicznych zawartej w pkt </w:t>
      </w:r>
      <w:r w:rsidR="00993AB6">
        <w:rPr>
          <w:bCs/>
          <w:sz w:val="22"/>
          <w:szCs w:val="22"/>
        </w:rPr>
        <w:t>7</w:t>
      </w:r>
      <w:r w:rsidRPr="008F5495">
        <w:rPr>
          <w:bCs/>
          <w:sz w:val="22"/>
          <w:szCs w:val="22"/>
        </w:rPr>
        <w:t>.2</w:t>
      </w:r>
      <w:r>
        <w:rPr>
          <w:bCs/>
          <w:sz w:val="22"/>
          <w:szCs w:val="22"/>
        </w:rPr>
        <w:t>.</w:t>
      </w:r>
      <w:r w:rsidRPr="008F5495">
        <w:rPr>
          <w:bCs/>
          <w:sz w:val="22"/>
          <w:szCs w:val="22"/>
        </w:rPr>
        <w:t xml:space="preserve"> Wytycznych</w:t>
      </w:r>
      <w:r w:rsidRPr="00B1191C">
        <w:rPr>
          <w:rFonts w:asciiTheme="minorHAnsi" w:eastAsiaTheme="minorHAnsi" w:hAnsiTheme="minorHAnsi" w:cstheme="minorBidi"/>
          <w:sz w:val="22"/>
          <w:szCs w:val="22"/>
          <w:lang w:eastAsia="en-US"/>
        </w:rPr>
        <w:t xml:space="preserve"> </w:t>
      </w:r>
      <w:r w:rsidRPr="00B1191C">
        <w:rPr>
          <w:bCs/>
          <w:sz w:val="22"/>
          <w:szCs w:val="22"/>
        </w:rPr>
        <w:t xml:space="preserve">i przekazania </w:t>
      </w:r>
      <w:r>
        <w:rPr>
          <w:bCs/>
          <w:sz w:val="22"/>
          <w:szCs w:val="22"/>
        </w:rPr>
        <w:t xml:space="preserve">w ofercie składanej w konkursie </w:t>
      </w:r>
      <w:r w:rsidRPr="002E3E2F">
        <w:rPr>
          <w:b/>
          <w:bCs/>
          <w:sz w:val="22"/>
          <w:szCs w:val="22"/>
        </w:rPr>
        <w:t>oświadczenia</w:t>
      </w:r>
      <w:r w:rsidRPr="00B1191C">
        <w:rPr>
          <w:bCs/>
          <w:sz w:val="22"/>
          <w:szCs w:val="22"/>
        </w:rPr>
        <w:t xml:space="preserve"> o wypełnieniu</w:t>
      </w:r>
      <w:r>
        <w:rPr>
          <w:bCs/>
          <w:sz w:val="22"/>
          <w:szCs w:val="22"/>
        </w:rPr>
        <w:t xml:space="preserve"> tego</w:t>
      </w:r>
      <w:r w:rsidRPr="00B1191C">
        <w:rPr>
          <w:bCs/>
          <w:sz w:val="22"/>
          <w:szCs w:val="22"/>
        </w:rPr>
        <w:t xml:space="preserve"> obowiązku</w:t>
      </w:r>
      <w:r w:rsidRPr="007E268A">
        <w:rPr>
          <w:bCs/>
          <w:sz w:val="22"/>
          <w:szCs w:val="22"/>
        </w:rPr>
        <w:t>.</w:t>
      </w:r>
    </w:p>
    <w:p w14:paraId="69CF55F2" w14:textId="14E57F37" w:rsidR="003F40CA" w:rsidRDefault="003F40CA" w:rsidP="003F40CA">
      <w:pPr>
        <w:rPr>
          <w:highlight w:val="green"/>
        </w:rPr>
      </w:pPr>
    </w:p>
    <w:p w14:paraId="70DA04C3" w14:textId="77777777" w:rsidR="003F40CA" w:rsidRPr="00FD4167" w:rsidRDefault="003F40CA" w:rsidP="003F40CA">
      <w:pPr>
        <w:pStyle w:val="Nagwek1"/>
        <w:numPr>
          <w:ilvl w:val="0"/>
          <w:numId w:val="2"/>
        </w:numPr>
        <w:tabs>
          <w:tab w:val="clear" w:pos="397"/>
          <w:tab w:val="num" w:pos="709"/>
        </w:tabs>
        <w:spacing w:before="60" w:after="60"/>
        <w:ind w:left="567" w:hanging="567"/>
        <w:rPr>
          <w:rFonts w:ascii="Calibri" w:hAnsi="Calibri"/>
          <w:sz w:val="22"/>
        </w:rPr>
      </w:pPr>
      <w:r w:rsidRPr="00FD4167">
        <w:rPr>
          <w:rFonts w:ascii="Calibri" w:hAnsi="Calibri"/>
          <w:sz w:val="22"/>
        </w:rPr>
        <w:t>Informacja</w:t>
      </w:r>
    </w:p>
    <w:p w14:paraId="76F5AF23" w14:textId="2256BD20" w:rsidR="003F40CA" w:rsidRDefault="003F40CA" w:rsidP="003F40CA">
      <w:pPr>
        <w:ind w:left="567"/>
        <w:rPr>
          <w:rFonts w:ascii="Calibri" w:hAnsi="Calibri"/>
          <w:sz w:val="22"/>
          <w:szCs w:val="22"/>
        </w:rPr>
      </w:pPr>
      <w:r w:rsidRPr="00FD4167">
        <w:rPr>
          <w:rFonts w:ascii="Calibri" w:hAnsi="Calibri"/>
          <w:sz w:val="22"/>
          <w:szCs w:val="22"/>
        </w:rPr>
        <w:t xml:space="preserve">Pytania należy </w:t>
      </w:r>
      <w:r w:rsidRPr="001C26DE">
        <w:rPr>
          <w:rFonts w:ascii="Calibri" w:hAnsi="Calibri"/>
          <w:sz w:val="22"/>
          <w:szCs w:val="22"/>
        </w:rPr>
        <w:t xml:space="preserve">kierować na adres: </w:t>
      </w:r>
      <w:hyperlink r:id="rId10" w:history="1">
        <w:r w:rsidRPr="001C26DE">
          <w:rPr>
            <w:rStyle w:val="Hipercze"/>
            <w:rFonts w:ascii="Calibri" w:hAnsi="Calibri"/>
            <w:szCs w:val="22"/>
          </w:rPr>
          <w:t>konkursy.polskapomoc@msz.gov.pl</w:t>
        </w:r>
      </w:hyperlink>
      <w:r w:rsidRPr="001C26DE">
        <w:rPr>
          <w:rFonts w:ascii="Calibri" w:hAnsi="Calibri"/>
          <w:sz w:val="22"/>
          <w:szCs w:val="22"/>
        </w:rPr>
        <w:t xml:space="preserve">, wpisując w temacie </w:t>
      </w:r>
      <w:r w:rsidRPr="001C26DE">
        <w:rPr>
          <w:rFonts w:ascii="Calibri" w:hAnsi="Calibri"/>
          <w:sz w:val="22"/>
          <w:szCs w:val="22"/>
        </w:rPr>
        <w:br/>
        <w:t xml:space="preserve">e-maila: „Konkurs </w:t>
      </w:r>
      <w:r>
        <w:rPr>
          <w:rFonts w:ascii="Calibri" w:hAnsi="Calibri"/>
          <w:sz w:val="22"/>
          <w:szCs w:val="22"/>
        </w:rPr>
        <w:t>P</w:t>
      </w:r>
      <w:r w:rsidRPr="001C26DE">
        <w:rPr>
          <w:rFonts w:ascii="Calibri" w:hAnsi="Calibri"/>
          <w:sz w:val="22"/>
          <w:szCs w:val="22"/>
        </w:rPr>
        <w:t xml:space="preserve">omoc </w:t>
      </w:r>
      <w:r>
        <w:rPr>
          <w:rFonts w:ascii="Calibri" w:hAnsi="Calibri"/>
          <w:sz w:val="22"/>
          <w:szCs w:val="22"/>
        </w:rPr>
        <w:t>humanitarna</w:t>
      </w:r>
      <w:r w:rsidR="00F047B6">
        <w:rPr>
          <w:rFonts w:ascii="Calibri" w:hAnsi="Calibri"/>
          <w:sz w:val="22"/>
          <w:szCs w:val="22"/>
        </w:rPr>
        <w:t xml:space="preserve"> 2022</w:t>
      </w:r>
      <w:r>
        <w:rPr>
          <w:rFonts w:ascii="Calibri" w:hAnsi="Calibri"/>
          <w:sz w:val="22"/>
          <w:szCs w:val="22"/>
        </w:rPr>
        <w:t>”.</w:t>
      </w:r>
    </w:p>
    <w:p w14:paraId="1C45A29C" w14:textId="77777777" w:rsidR="003F40CA" w:rsidRPr="003F40CA" w:rsidRDefault="003F40CA" w:rsidP="003F40CA">
      <w:pPr>
        <w:rPr>
          <w:highlight w:val="green"/>
        </w:rPr>
      </w:pPr>
    </w:p>
    <w:p w14:paraId="1C5C46C9" w14:textId="77777777" w:rsidR="00ED75E8" w:rsidRPr="00FD4167" w:rsidRDefault="00ED75E8" w:rsidP="00ED353A">
      <w:pPr>
        <w:rPr>
          <w:rFonts w:ascii="Calibri" w:hAnsi="Calibri"/>
          <w:sz w:val="22"/>
          <w:szCs w:val="22"/>
        </w:rPr>
      </w:pPr>
    </w:p>
    <w:sectPr w:rsidR="00ED75E8" w:rsidRPr="00FD4167" w:rsidSect="000121F5">
      <w:headerReference w:type="default" r:id="rId11"/>
      <w:footerReference w:type="even"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03BB8" w14:textId="77777777" w:rsidR="00621441" w:rsidRDefault="00621441" w:rsidP="00B65EC0">
      <w:pPr>
        <w:spacing w:before="0" w:after="0"/>
      </w:pPr>
      <w:r>
        <w:separator/>
      </w:r>
    </w:p>
  </w:endnote>
  <w:endnote w:type="continuationSeparator" w:id="0">
    <w:p w14:paraId="3423DE96" w14:textId="77777777" w:rsidR="00621441" w:rsidRDefault="00621441" w:rsidP="00B65E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FAFD2" w14:textId="77777777" w:rsidR="00690E0B" w:rsidRDefault="00B65EC0" w:rsidP="00690E0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DB8D073" w14:textId="77777777" w:rsidR="00690E0B" w:rsidRDefault="00690E0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EA6F7" w14:textId="7B58C6C1" w:rsidR="00690E0B" w:rsidRPr="00A946CA" w:rsidRDefault="00B65EC0" w:rsidP="00690E0B">
    <w:pPr>
      <w:pStyle w:val="Stopka"/>
      <w:framePr w:wrap="around" w:vAnchor="text" w:hAnchor="margin" w:xAlign="center" w:y="1"/>
      <w:rPr>
        <w:rStyle w:val="Numerstrony"/>
        <w:rFonts w:asciiTheme="minorHAnsi" w:hAnsiTheme="minorHAnsi"/>
        <w:sz w:val="22"/>
        <w:szCs w:val="22"/>
      </w:rPr>
    </w:pPr>
    <w:r w:rsidRPr="00A946CA">
      <w:rPr>
        <w:rStyle w:val="Numerstrony"/>
        <w:rFonts w:asciiTheme="minorHAnsi" w:hAnsiTheme="minorHAnsi"/>
        <w:sz w:val="22"/>
        <w:szCs w:val="22"/>
      </w:rPr>
      <w:fldChar w:fldCharType="begin"/>
    </w:r>
    <w:r w:rsidRPr="00A946CA">
      <w:rPr>
        <w:rStyle w:val="Numerstrony"/>
        <w:rFonts w:asciiTheme="minorHAnsi" w:hAnsiTheme="minorHAnsi"/>
        <w:sz w:val="22"/>
        <w:szCs w:val="22"/>
      </w:rPr>
      <w:instrText xml:space="preserve">PAGE  </w:instrText>
    </w:r>
    <w:r w:rsidRPr="00A946CA">
      <w:rPr>
        <w:rStyle w:val="Numerstrony"/>
        <w:rFonts w:asciiTheme="minorHAnsi" w:hAnsiTheme="minorHAnsi"/>
        <w:sz w:val="22"/>
        <w:szCs w:val="22"/>
      </w:rPr>
      <w:fldChar w:fldCharType="separate"/>
    </w:r>
    <w:r w:rsidR="00BF7A8D">
      <w:rPr>
        <w:rStyle w:val="Numerstrony"/>
        <w:rFonts w:asciiTheme="minorHAnsi" w:hAnsiTheme="minorHAnsi"/>
        <w:noProof/>
        <w:sz w:val="22"/>
        <w:szCs w:val="22"/>
      </w:rPr>
      <w:t>7</w:t>
    </w:r>
    <w:r w:rsidRPr="00A946CA">
      <w:rPr>
        <w:rStyle w:val="Numerstrony"/>
        <w:rFonts w:asciiTheme="minorHAnsi" w:hAnsiTheme="minorHAnsi"/>
        <w:sz w:val="22"/>
        <w:szCs w:val="22"/>
      </w:rPr>
      <w:fldChar w:fldCharType="end"/>
    </w:r>
  </w:p>
  <w:p w14:paraId="55B8055B" w14:textId="77777777" w:rsidR="00690E0B" w:rsidRDefault="00690E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553BC" w14:textId="77777777" w:rsidR="00621441" w:rsidRDefault="00621441" w:rsidP="00B65EC0">
      <w:pPr>
        <w:spacing w:before="0" w:after="0"/>
      </w:pPr>
      <w:r>
        <w:separator/>
      </w:r>
    </w:p>
  </w:footnote>
  <w:footnote w:type="continuationSeparator" w:id="0">
    <w:p w14:paraId="2B7523E6" w14:textId="77777777" w:rsidR="00621441" w:rsidRDefault="00621441" w:rsidP="00B65EC0">
      <w:pPr>
        <w:spacing w:before="0" w:after="0"/>
      </w:pPr>
      <w:r>
        <w:continuationSeparator/>
      </w:r>
    </w:p>
  </w:footnote>
  <w:footnote w:id="1">
    <w:p w14:paraId="212DB065" w14:textId="77777777" w:rsidR="0014490A" w:rsidRPr="00481E96" w:rsidRDefault="0014490A" w:rsidP="0014490A">
      <w:pPr>
        <w:pStyle w:val="Tekstprzypisudolnego"/>
        <w:spacing w:before="0" w:after="0"/>
        <w:jc w:val="left"/>
        <w:rPr>
          <w:rFonts w:asciiTheme="minorHAnsi" w:hAnsiTheme="minorHAnsi" w:cstheme="minorHAnsi"/>
          <w:sz w:val="20"/>
        </w:rPr>
      </w:pPr>
      <w:r w:rsidRPr="00481E96">
        <w:rPr>
          <w:rStyle w:val="Odwoanieprzypisudolnego"/>
          <w:rFonts w:asciiTheme="minorHAnsi" w:hAnsiTheme="minorHAnsi" w:cstheme="minorHAnsi"/>
          <w:sz w:val="20"/>
        </w:rPr>
        <w:footnoteRef/>
      </w:r>
      <w:r w:rsidRPr="00481E96">
        <w:rPr>
          <w:rFonts w:asciiTheme="minorHAnsi" w:hAnsiTheme="minorHAnsi" w:cstheme="minorHAnsi"/>
          <w:sz w:val="20"/>
          <w:lang w:val="en-US"/>
        </w:rPr>
        <w:t xml:space="preserve"> </w:t>
      </w:r>
      <w:proofErr w:type="spellStart"/>
      <w:r w:rsidRPr="00481E96">
        <w:rPr>
          <w:rFonts w:asciiTheme="minorHAnsi" w:hAnsiTheme="minorHAnsi" w:cstheme="minorHAnsi"/>
          <w:sz w:val="20"/>
          <w:lang w:val="en-US"/>
        </w:rPr>
        <w:t>Dokument</w:t>
      </w:r>
      <w:proofErr w:type="spellEnd"/>
      <w:r w:rsidRPr="00481E96">
        <w:rPr>
          <w:rFonts w:asciiTheme="minorHAnsi" w:hAnsiTheme="minorHAnsi" w:cstheme="minorHAnsi"/>
          <w:sz w:val="20"/>
          <w:lang w:val="en-US"/>
        </w:rPr>
        <w:t xml:space="preserve"> </w:t>
      </w:r>
      <w:r w:rsidRPr="00481E96">
        <w:rPr>
          <w:rFonts w:asciiTheme="minorHAnsi" w:hAnsiTheme="minorHAnsi" w:cstheme="minorHAnsi"/>
          <w:i/>
          <w:sz w:val="20"/>
          <w:lang w:val="en-US"/>
        </w:rPr>
        <w:t>DAC</w:t>
      </w:r>
      <w:r w:rsidRPr="00481E96">
        <w:rPr>
          <w:rFonts w:asciiTheme="minorHAnsi" w:hAnsiTheme="minorHAnsi" w:cstheme="minorHAnsi"/>
          <w:sz w:val="20"/>
          <w:lang w:val="en-US"/>
        </w:rPr>
        <w:t xml:space="preserve"> </w:t>
      </w:r>
      <w:r w:rsidRPr="00481E96">
        <w:rPr>
          <w:rFonts w:asciiTheme="minorHAnsi" w:hAnsiTheme="minorHAnsi" w:cstheme="minorHAnsi"/>
          <w:i/>
          <w:iCs/>
          <w:sz w:val="20"/>
          <w:lang w:val="en-US"/>
        </w:rPr>
        <w:t>Recommendation on Enabling Civil Society in Development Co-operation and Humanitarian Assistance</w:t>
      </w:r>
      <w:r w:rsidRPr="00481E96">
        <w:rPr>
          <w:rFonts w:asciiTheme="minorHAnsi" w:hAnsiTheme="minorHAnsi" w:cstheme="minorHAnsi"/>
          <w:iCs/>
          <w:sz w:val="20"/>
          <w:lang w:val="en-US"/>
        </w:rPr>
        <w:t xml:space="preserve"> </w:t>
      </w:r>
      <w:r>
        <w:rPr>
          <w:rFonts w:asciiTheme="minorHAnsi" w:hAnsiTheme="minorHAnsi" w:cstheme="minorHAnsi"/>
          <w:iCs/>
          <w:sz w:val="20"/>
          <w:lang w:val="en-US"/>
        </w:rPr>
        <w:t>(</w:t>
      </w:r>
      <w:proofErr w:type="spellStart"/>
      <w:r>
        <w:rPr>
          <w:rFonts w:asciiTheme="minorHAnsi" w:hAnsiTheme="minorHAnsi" w:cstheme="minorHAnsi"/>
          <w:iCs/>
          <w:sz w:val="20"/>
          <w:lang w:val="en-US"/>
        </w:rPr>
        <w:t>przyjęty</w:t>
      </w:r>
      <w:proofErr w:type="spellEnd"/>
      <w:r>
        <w:rPr>
          <w:rFonts w:asciiTheme="minorHAnsi" w:hAnsiTheme="minorHAnsi" w:cstheme="minorHAnsi"/>
          <w:iCs/>
          <w:sz w:val="20"/>
          <w:lang w:val="en-US"/>
        </w:rPr>
        <w:t xml:space="preserve"> 6 </w:t>
      </w:r>
      <w:proofErr w:type="spellStart"/>
      <w:r>
        <w:rPr>
          <w:rFonts w:asciiTheme="minorHAnsi" w:hAnsiTheme="minorHAnsi" w:cstheme="minorHAnsi"/>
          <w:iCs/>
          <w:sz w:val="20"/>
          <w:lang w:val="en-US"/>
        </w:rPr>
        <w:t>lipca</w:t>
      </w:r>
      <w:proofErr w:type="spellEnd"/>
      <w:r>
        <w:rPr>
          <w:rFonts w:asciiTheme="minorHAnsi" w:hAnsiTheme="minorHAnsi" w:cstheme="minorHAnsi"/>
          <w:iCs/>
          <w:sz w:val="20"/>
          <w:lang w:val="en-US"/>
        </w:rPr>
        <w:t xml:space="preserve"> 2021 r.) </w:t>
      </w:r>
      <w:proofErr w:type="spellStart"/>
      <w:r w:rsidRPr="00481E96">
        <w:rPr>
          <w:rFonts w:asciiTheme="minorHAnsi" w:hAnsiTheme="minorHAnsi" w:cstheme="minorHAnsi"/>
          <w:iCs/>
          <w:sz w:val="20"/>
          <w:lang w:val="en-US"/>
        </w:rPr>
        <w:t>można</w:t>
      </w:r>
      <w:proofErr w:type="spellEnd"/>
      <w:r w:rsidRPr="00481E96">
        <w:rPr>
          <w:rFonts w:asciiTheme="minorHAnsi" w:hAnsiTheme="minorHAnsi" w:cstheme="minorHAnsi"/>
          <w:iCs/>
          <w:sz w:val="20"/>
          <w:lang w:val="en-US"/>
        </w:rPr>
        <w:t xml:space="preserve"> </w:t>
      </w:r>
      <w:proofErr w:type="spellStart"/>
      <w:r w:rsidRPr="00481E96">
        <w:rPr>
          <w:rFonts w:asciiTheme="minorHAnsi" w:hAnsiTheme="minorHAnsi" w:cstheme="minorHAnsi"/>
          <w:iCs/>
          <w:sz w:val="20"/>
          <w:lang w:val="en-US"/>
        </w:rPr>
        <w:t>pobrać</w:t>
      </w:r>
      <w:proofErr w:type="spellEnd"/>
      <w:r w:rsidRPr="00481E96">
        <w:rPr>
          <w:rFonts w:asciiTheme="minorHAnsi" w:hAnsiTheme="minorHAnsi" w:cstheme="minorHAnsi"/>
          <w:iCs/>
          <w:sz w:val="20"/>
          <w:lang w:val="en-US"/>
        </w:rPr>
        <w:t xml:space="preserve"> </w:t>
      </w:r>
      <w:proofErr w:type="spellStart"/>
      <w:r w:rsidRPr="00481E96">
        <w:rPr>
          <w:rFonts w:asciiTheme="minorHAnsi" w:hAnsiTheme="minorHAnsi" w:cstheme="minorHAnsi"/>
          <w:iCs/>
          <w:sz w:val="20"/>
          <w:lang w:val="en-US"/>
        </w:rPr>
        <w:t>ze</w:t>
      </w:r>
      <w:proofErr w:type="spellEnd"/>
      <w:r w:rsidRPr="00481E96">
        <w:rPr>
          <w:rFonts w:asciiTheme="minorHAnsi" w:hAnsiTheme="minorHAnsi" w:cstheme="minorHAnsi"/>
          <w:iCs/>
          <w:sz w:val="20"/>
          <w:lang w:val="en-US"/>
        </w:rPr>
        <w:t xml:space="preserve"> </w:t>
      </w:r>
      <w:proofErr w:type="spellStart"/>
      <w:r w:rsidRPr="00481E96">
        <w:rPr>
          <w:rFonts w:asciiTheme="minorHAnsi" w:hAnsiTheme="minorHAnsi" w:cstheme="minorHAnsi"/>
          <w:iCs/>
          <w:sz w:val="20"/>
          <w:lang w:val="en-US"/>
        </w:rPr>
        <w:t>strony</w:t>
      </w:r>
      <w:proofErr w:type="spellEnd"/>
      <w:r>
        <w:rPr>
          <w:rFonts w:asciiTheme="minorHAnsi" w:hAnsiTheme="minorHAnsi" w:cstheme="minorHAnsi"/>
          <w:iCs/>
          <w:sz w:val="20"/>
          <w:lang w:val="en-US"/>
        </w:rPr>
        <w:t xml:space="preserve"> </w:t>
      </w:r>
      <w:hyperlink r:id="rId1" w:history="1">
        <w:r w:rsidRPr="00744664">
          <w:rPr>
            <w:rStyle w:val="Hipercze"/>
            <w:rFonts w:asciiTheme="minorHAnsi" w:hAnsiTheme="minorHAnsi" w:cstheme="minorHAnsi"/>
            <w:sz w:val="20"/>
            <w:lang w:val="en-US"/>
          </w:rPr>
          <w:t>https://legalinstruments.oecd.org/en/instruments/OECD-LEGAL-5021</w:t>
        </w:r>
      </w:hyperlink>
      <w:r w:rsidRPr="00481E96">
        <w:rPr>
          <w:rFonts w:asciiTheme="minorHAnsi" w:hAnsiTheme="minorHAnsi" w:cstheme="minorHAnsi"/>
          <w:sz w:val="20"/>
          <w:lang w:val="en-US"/>
        </w:rPr>
        <w:t xml:space="preserve"> [</w:t>
      </w:r>
      <w:proofErr w:type="spellStart"/>
      <w:r w:rsidRPr="00481E96">
        <w:rPr>
          <w:rFonts w:asciiTheme="minorHAnsi" w:hAnsiTheme="minorHAnsi" w:cstheme="minorHAnsi"/>
          <w:sz w:val="20"/>
          <w:lang w:val="en-US"/>
        </w:rPr>
        <w:t>dostęp</w:t>
      </w:r>
      <w:proofErr w:type="spellEnd"/>
      <w:r w:rsidRPr="00481E96">
        <w:rPr>
          <w:rFonts w:asciiTheme="minorHAnsi" w:hAnsiTheme="minorHAnsi" w:cstheme="minorHAnsi"/>
          <w:sz w:val="20"/>
          <w:lang w:val="en-US"/>
        </w:rPr>
        <w:t xml:space="preserve"> 1</w:t>
      </w:r>
      <w:r>
        <w:rPr>
          <w:rFonts w:asciiTheme="minorHAnsi" w:hAnsiTheme="minorHAnsi" w:cstheme="minorHAnsi"/>
          <w:sz w:val="20"/>
          <w:lang w:val="en-US"/>
        </w:rPr>
        <w:t>7</w:t>
      </w:r>
      <w:r w:rsidRPr="00481E96">
        <w:rPr>
          <w:rFonts w:asciiTheme="minorHAnsi" w:hAnsiTheme="minorHAnsi" w:cstheme="minorHAnsi"/>
          <w:sz w:val="20"/>
          <w:lang w:val="en-US"/>
        </w:rPr>
        <w:t xml:space="preserve">.12. </w:t>
      </w:r>
      <w:r w:rsidRPr="00481E96">
        <w:rPr>
          <w:rFonts w:asciiTheme="minorHAnsi" w:hAnsiTheme="minorHAnsi" w:cstheme="minorHAnsi"/>
          <w:sz w:val="20"/>
        </w:rPr>
        <w:t>2021]</w:t>
      </w:r>
    </w:p>
  </w:footnote>
  <w:footnote w:id="2">
    <w:p w14:paraId="6399F028" w14:textId="77777777" w:rsidR="002854C9" w:rsidRDefault="002854C9" w:rsidP="002854C9">
      <w:pPr>
        <w:pStyle w:val="Tekstprzypisudolnego"/>
        <w:spacing w:before="0" w:after="0"/>
        <w:jc w:val="left"/>
      </w:pPr>
      <w:r>
        <w:rPr>
          <w:rStyle w:val="Odwoanieprzypisudolnego"/>
        </w:rPr>
        <w:footnoteRef/>
      </w:r>
      <w:r>
        <w:t xml:space="preserve"> </w:t>
      </w:r>
      <w:r w:rsidRPr="002854C9">
        <w:rPr>
          <w:rFonts w:asciiTheme="minorHAnsi" w:hAnsiTheme="minorHAnsi"/>
          <w:sz w:val="16"/>
          <w:szCs w:val="16"/>
        </w:rPr>
        <w:t xml:space="preserve">Wytyczne DAC: </w:t>
      </w:r>
      <w:hyperlink r:id="rId2" w:history="1">
        <w:r w:rsidRPr="002854C9">
          <w:rPr>
            <w:rStyle w:val="Hipercze"/>
            <w:rFonts w:asciiTheme="minorHAnsi" w:hAnsiTheme="minorHAnsi"/>
            <w:sz w:val="16"/>
            <w:szCs w:val="16"/>
          </w:rPr>
          <w:t>https://www.oecd.org/dac/stats/What-is-ODA.pdf</w:t>
        </w:r>
      </w:hyperlink>
      <w:r>
        <w:t xml:space="preserve"> </w:t>
      </w:r>
    </w:p>
  </w:footnote>
  <w:footnote w:id="3">
    <w:p w14:paraId="6EBD543D" w14:textId="77777777" w:rsidR="0014490A" w:rsidRDefault="0014490A" w:rsidP="0014490A">
      <w:pPr>
        <w:pStyle w:val="Tekstprzypisudolnego"/>
        <w:jc w:val="left"/>
        <w:rPr>
          <w:rFonts w:asciiTheme="minorHAnsi" w:hAnsiTheme="minorHAnsi" w:cstheme="minorHAnsi"/>
          <w:color w:val="000000"/>
          <w:sz w:val="20"/>
        </w:rPr>
      </w:pPr>
      <w:r w:rsidRPr="00481E96">
        <w:rPr>
          <w:rStyle w:val="Odwoanieprzypisudolnego"/>
          <w:rFonts w:asciiTheme="minorHAnsi" w:hAnsiTheme="minorHAnsi" w:cstheme="minorHAnsi"/>
          <w:sz w:val="20"/>
        </w:rPr>
        <w:footnoteRef/>
      </w:r>
      <w:r w:rsidRPr="00481E96">
        <w:rPr>
          <w:rFonts w:asciiTheme="minorHAnsi" w:hAnsiTheme="minorHAnsi" w:cstheme="minorHAnsi"/>
          <w:sz w:val="20"/>
        </w:rPr>
        <w:t xml:space="preserve"> </w:t>
      </w:r>
      <w:r>
        <w:rPr>
          <w:rFonts w:asciiTheme="minorHAnsi" w:hAnsiTheme="minorHAnsi" w:cstheme="minorHAnsi"/>
          <w:color w:val="000000"/>
          <w:sz w:val="20"/>
        </w:rPr>
        <w:t xml:space="preserve">Pod podanym linkiem znajduje się </w:t>
      </w:r>
      <w:r w:rsidRPr="00481E96">
        <w:rPr>
          <w:rFonts w:asciiTheme="minorHAnsi" w:hAnsiTheme="minorHAnsi" w:cstheme="minorHAnsi"/>
          <w:color w:val="000000"/>
          <w:sz w:val="20"/>
        </w:rPr>
        <w:t xml:space="preserve">instrukcja </w:t>
      </w:r>
      <w:r>
        <w:rPr>
          <w:rFonts w:asciiTheme="minorHAnsi" w:hAnsiTheme="minorHAnsi" w:cstheme="minorHAnsi"/>
          <w:color w:val="000000"/>
          <w:sz w:val="20"/>
        </w:rPr>
        <w:t>podwójnego podpisywania w formacie *.pdf, do pobrania</w:t>
      </w:r>
      <w:r w:rsidRPr="00481E96">
        <w:rPr>
          <w:rFonts w:asciiTheme="minorHAnsi" w:hAnsiTheme="minorHAnsi" w:cstheme="minorHAnsi"/>
          <w:color w:val="000000"/>
          <w:sz w:val="20"/>
        </w:rPr>
        <w:t xml:space="preserve">: </w:t>
      </w:r>
      <w:r w:rsidRPr="009E4259">
        <w:rPr>
          <w:rStyle w:val="Hipercze"/>
          <w:rFonts w:asciiTheme="minorHAnsi" w:hAnsiTheme="minorHAnsi" w:cstheme="minorHAnsi"/>
          <w:sz w:val="20"/>
        </w:rPr>
        <w:t>https://epuap.gov.pl/wps/wcm/connect/ff7a17ff-157a-4502-869e-167799d5936d/instrukcja%2520podwojnego%2520podpisywania.pdf?MOD=AJPERES</w:t>
      </w:r>
      <w:r>
        <w:rPr>
          <w:rFonts w:asciiTheme="minorHAnsi" w:hAnsiTheme="minorHAnsi" w:cstheme="minorHAnsi"/>
          <w:color w:val="000000"/>
          <w:sz w:val="20"/>
        </w:rPr>
        <w:t xml:space="preserve">. </w:t>
      </w:r>
    </w:p>
    <w:p w14:paraId="70558F69" w14:textId="77777777" w:rsidR="0014490A" w:rsidRPr="00481E96" w:rsidRDefault="0014490A" w:rsidP="0014490A">
      <w:pPr>
        <w:pStyle w:val="Tekstprzypisudolnego"/>
        <w:jc w:val="left"/>
        <w:rPr>
          <w:rFonts w:asciiTheme="minorHAnsi" w:hAnsiTheme="minorHAnsi" w:cstheme="minorHAnsi"/>
          <w:sz w:val="20"/>
        </w:rPr>
      </w:pPr>
      <w:r>
        <w:rPr>
          <w:rFonts w:asciiTheme="minorHAnsi" w:hAnsiTheme="minorHAnsi" w:cstheme="minorHAnsi"/>
          <w:sz w:val="20"/>
        </w:rPr>
        <w:t>Istnieje także możliwość</w:t>
      </w:r>
      <w:r w:rsidRPr="00481E96">
        <w:rPr>
          <w:rFonts w:asciiTheme="minorHAnsi" w:hAnsiTheme="minorHAnsi" w:cstheme="minorHAnsi"/>
          <w:bCs/>
          <w:sz w:val="20"/>
        </w:rPr>
        <w:t xml:space="preserve"> skorzysta</w:t>
      </w:r>
      <w:r>
        <w:rPr>
          <w:rFonts w:asciiTheme="minorHAnsi" w:hAnsiTheme="minorHAnsi" w:cstheme="minorHAnsi"/>
          <w:bCs/>
          <w:sz w:val="20"/>
        </w:rPr>
        <w:t>nia</w:t>
      </w:r>
      <w:r w:rsidRPr="00481E96">
        <w:rPr>
          <w:rFonts w:asciiTheme="minorHAnsi" w:hAnsiTheme="minorHAnsi" w:cstheme="minorHAnsi"/>
          <w:bCs/>
          <w:sz w:val="20"/>
        </w:rPr>
        <w:t xml:space="preserve"> z usługi umożliwiającej podpisanie dokumentu elektronicznego bez </w:t>
      </w:r>
      <w:r>
        <w:rPr>
          <w:rFonts w:asciiTheme="minorHAnsi" w:hAnsiTheme="minorHAnsi" w:cstheme="minorHAnsi"/>
          <w:bCs/>
          <w:sz w:val="20"/>
        </w:rPr>
        <w:t xml:space="preserve">potrzeby logowania się do </w:t>
      </w:r>
      <w:proofErr w:type="spellStart"/>
      <w:r>
        <w:rPr>
          <w:rFonts w:asciiTheme="minorHAnsi" w:hAnsiTheme="minorHAnsi" w:cstheme="minorHAnsi"/>
          <w:bCs/>
          <w:sz w:val="20"/>
        </w:rPr>
        <w:t>ePUAP</w:t>
      </w:r>
      <w:proofErr w:type="spellEnd"/>
      <w:r>
        <w:rPr>
          <w:rFonts w:asciiTheme="minorHAnsi" w:hAnsiTheme="minorHAnsi" w:cstheme="minorHAnsi"/>
          <w:bCs/>
          <w:sz w:val="20"/>
        </w:rPr>
        <w:t xml:space="preserve"> – w</w:t>
      </w:r>
      <w:r w:rsidRPr="00481E96">
        <w:rPr>
          <w:rFonts w:asciiTheme="minorHAnsi" w:hAnsiTheme="minorHAnsi" w:cstheme="minorHAnsi"/>
          <w:bCs/>
          <w:sz w:val="20"/>
        </w:rPr>
        <w:t>ięcej informacji o tej usłudze pod adresem</w:t>
      </w:r>
      <w:r>
        <w:rPr>
          <w:rStyle w:val="Hipercze"/>
          <w:rFonts w:asciiTheme="minorHAnsi" w:hAnsiTheme="minorHAnsi" w:cstheme="minorHAnsi"/>
          <w:sz w:val="20"/>
        </w:rPr>
        <w:t xml:space="preserve"> </w:t>
      </w:r>
      <w:hyperlink r:id="rId3" w:history="1">
        <w:r w:rsidRPr="00DA49F2">
          <w:rPr>
            <w:rStyle w:val="Hipercze"/>
            <w:rFonts w:asciiTheme="minorHAnsi" w:hAnsiTheme="minorHAnsi" w:cstheme="minorHAnsi"/>
            <w:sz w:val="20"/>
          </w:rPr>
          <w:t>https://www.gov.pl/web/gov/podpisz-dokument-elektronicznie-wykorzystaj-podpis-zaufany</w:t>
        </w:r>
      </w:hyperlink>
      <w:r w:rsidRPr="00481E96">
        <w:rPr>
          <w:rFonts w:asciiTheme="minorHAnsi" w:hAnsiTheme="minorHAnsi" w:cstheme="minorHAnsi"/>
          <w:color w:val="000000"/>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0F5F" w14:textId="49C431D9" w:rsidR="00ED353A" w:rsidRPr="00ED353A" w:rsidRDefault="00ED353A" w:rsidP="00ED353A">
    <w:pPr>
      <w:pStyle w:val="StylNumerowanie"/>
      <w:numPr>
        <w:ilvl w:val="0"/>
        <w:numId w:val="0"/>
      </w:numPr>
      <w:ind w:left="340"/>
      <w:rPr>
        <w:rFonts w:ascii="Calibri" w:hAnsi="Calibri"/>
        <w:sz w:val="22"/>
        <w:szCs w:val="22"/>
      </w:rPr>
    </w:pPr>
    <w:r w:rsidRPr="00ED353A">
      <w:rPr>
        <w:rFonts w:ascii="Calibri" w:hAnsi="Calibri"/>
        <w:sz w:val="22"/>
        <w:szCs w:val="22"/>
      </w:rPr>
      <w:t>Załącznik 1 do Regulaminu „</w:t>
    </w:r>
    <w:r w:rsidR="002F47AC">
      <w:rPr>
        <w:rFonts w:ascii="Calibri" w:hAnsi="Calibri"/>
        <w:sz w:val="22"/>
        <w:szCs w:val="22"/>
      </w:rPr>
      <w:t>Po</w:t>
    </w:r>
    <w:r w:rsidR="00DB202F">
      <w:rPr>
        <w:rFonts w:ascii="Calibri" w:hAnsi="Calibri"/>
        <w:sz w:val="22"/>
        <w:szCs w:val="22"/>
      </w:rPr>
      <w:t>moc humanitarna 2022</w:t>
    </w:r>
    <w:r w:rsidRPr="00ED353A">
      <w:rPr>
        <w:rFonts w:ascii="Calibri" w:hAnsi="Calibri"/>
        <w:sz w:val="22"/>
        <w:szCs w:val="22"/>
      </w:rPr>
      <w:t>”</w:t>
    </w:r>
  </w:p>
  <w:p w14:paraId="74D6662A" w14:textId="74996831" w:rsidR="00C23459" w:rsidRPr="00ED353A" w:rsidRDefault="00C23459" w:rsidP="00ED353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5B5BE" w14:textId="77777777" w:rsidR="000121F5" w:rsidRPr="00FD4167" w:rsidRDefault="000121F5" w:rsidP="000121F5">
    <w:pPr>
      <w:jc w:val="center"/>
      <w:rPr>
        <w:rFonts w:ascii="Calibri" w:hAnsi="Calibri"/>
        <w:sz w:val="22"/>
        <w:szCs w:val="22"/>
      </w:rPr>
    </w:pPr>
    <w:r w:rsidRPr="00FD4167">
      <w:rPr>
        <w:rFonts w:ascii="Calibri" w:hAnsi="Calibri"/>
        <w:sz w:val="22"/>
        <w:szCs w:val="22"/>
      </w:rPr>
      <w:t>Ministerstwo Spraw Zagranicznych</w:t>
    </w:r>
  </w:p>
  <w:p w14:paraId="660A1B21" w14:textId="77777777" w:rsidR="000121F5" w:rsidRPr="008B3484" w:rsidRDefault="000121F5" w:rsidP="000121F5">
    <w:pPr>
      <w:jc w:val="center"/>
      <w:rPr>
        <w:rFonts w:ascii="Calibri" w:hAnsi="Calibri"/>
        <w:sz w:val="22"/>
        <w:szCs w:val="22"/>
      </w:rPr>
    </w:pPr>
    <w:r w:rsidRPr="00FD4167">
      <w:rPr>
        <w:rFonts w:ascii="Calibri" w:hAnsi="Calibri"/>
        <w:sz w:val="22"/>
        <w:szCs w:val="22"/>
      </w:rPr>
      <w:t>Departament Współpracy Rozwojowej</w:t>
    </w:r>
  </w:p>
  <w:p w14:paraId="61819CC4" w14:textId="77777777" w:rsidR="007F0321" w:rsidRPr="000121F5" w:rsidRDefault="007F0321" w:rsidP="000121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09A"/>
    <w:multiLevelType w:val="hybridMultilevel"/>
    <w:tmpl w:val="7D9E8A2C"/>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0A73182B"/>
    <w:multiLevelType w:val="hybridMultilevel"/>
    <w:tmpl w:val="C3E8154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CBF34A3"/>
    <w:multiLevelType w:val="multilevel"/>
    <w:tmpl w:val="005C1EB0"/>
    <w:lvl w:ilvl="0">
      <w:start w:val="1"/>
      <w:numFmt w:val="decimal"/>
      <w:pStyle w:val="Nagwek1"/>
      <w:lvlText w:val="§ %1."/>
      <w:lvlJc w:val="left"/>
      <w:pPr>
        <w:tabs>
          <w:tab w:val="num" w:pos="432"/>
        </w:tabs>
        <w:ind w:left="432" w:hanging="432"/>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pStyle w:val="Nagwek2"/>
      <w:lvlText w:val="%2."/>
      <w:lvlJc w:val="left"/>
      <w:pPr>
        <w:tabs>
          <w:tab w:val="num" w:pos="397"/>
        </w:tabs>
        <w:ind w:left="397" w:hanging="397"/>
      </w:pPr>
      <w:rPr>
        <w:rFonts w:cs="Times New Roman"/>
        <w:b/>
        <w:i w:val="0"/>
        <w:caps/>
        <w:smallCaps w:val="0"/>
        <w:strike w:val="0"/>
        <w:color w:val="auto"/>
      </w:rPr>
    </w:lvl>
    <w:lvl w:ilvl="2">
      <w:start w:val="1"/>
      <w:numFmt w:val="decimal"/>
      <w:pStyle w:val="Nagwek3"/>
      <w:lvlText w:val="%2.%3."/>
      <w:lvlJc w:val="left"/>
      <w:pPr>
        <w:tabs>
          <w:tab w:val="num" w:pos="2252"/>
        </w:tabs>
        <w:ind w:left="2252" w:hanging="550"/>
      </w:pPr>
      <w:rPr>
        <w:rFonts w:cs="Times New Roman" w:hint="default"/>
        <w:b w:val="0"/>
        <w:bCs w:val="0"/>
        <w:i w:val="0"/>
        <w:iCs w:val="0"/>
        <w:caps w:val="0"/>
        <w:smallCaps w:val="0"/>
        <w:strike w:val="0"/>
        <w:dstrike w:val="0"/>
        <w:vanish w:val="0"/>
        <w:color w:val="auto"/>
        <w:spacing w:val="0"/>
        <w:kern w:val="0"/>
        <w:position w:val="0"/>
        <w:u w:val="none"/>
        <w:vertAlign w:val="baseline"/>
      </w:rPr>
    </w:lvl>
    <w:lvl w:ilvl="3">
      <w:start w:val="1"/>
      <w:numFmt w:val="decimal"/>
      <w:pStyle w:val="Nagwek4"/>
      <w:lvlText w:val="%2.%3.%4."/>
      <w:lvlJc w:val="left"/>
      <w:pPr>
        <w:tabs>
          <w:tab w:val="num" w:pos="2354"/>
        </w:tabs>
        <w:ind w:left="2354" w:hanging="79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3" w15:restartNumberingAfterBreak="0">
    <w:nsid w:val="104F55F3"/>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A8D53B2"/>
    <w:multiLevelType w:val="multilevel"/>
    <w:tmpl w:val="F80206C4"/>
    <w:lvl w:ilvl="0">
      <w:start w:val="1"/>
      <w:numFmt w:val="decimal"/>
      <w:lvlText w:val="%1."/>
      <w:lvlJc w:val="left"/>
      <w:pPr>
        <w:tabs>
          <w:tab w:val="num" w:pos="397"/>
        </w:tabs>
        <w:ind w:left="397" w:hanging="397"/>
      </w:pPr>
      <w:rPr>
        <w:rFonts w:cs="Times New Roman" w:hint="default"/>
        <w:b/>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asciiTheme="minorHAnsi" w:hAnsiTheme="minorHAnsi" w:cs="Times New Roman" w:hint="default"/>
        <w:b w:val="0"/>
        <w:sz w:val="22"/>
        <w:szCs w:val="22"/>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5" w15:restartNumberingAfterBreak="0">
    <w:nsid w:val="29E207D5"/>
    <w:multiLevelType w:val="multilevel"/>
    <w:tmpl w:val="711EE7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2E0039"/>
    <w:multiLevelType w:val="multilevel"/>
    <w:tmpl w:val="927057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5D4157"/>
    <w:multiLevelType w:val="hybridMultilevel"/>
    <w:tmpl w:val="A6EC3C06"/>
    <w:lvl w:ilvl="0" w:tplc="9CF04FA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40437E7D"/>
    <w:multiLevelType w:val="hybridMultilevel"/>
    <w:tmpl w:val="EF22B400"/>
    <w:lvl w:ilvl="0" w:tplc="F496D870">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2F45B0"/>
    <w:multiLevelType w:val="hybridMultilevel"/>
    <w:tmpl w:val="EA4C1464"/>
    <w:lvl w:ilvl="0" w:tplc="04150011">
      <w:start w:val="1"/>
      <w:numFmt w:val="decimal"/>
      <w:lvlText w:val="%1)"/>
      <w:lvlJc w:val="left"/>
      <w:pPr>
        <w:ind w:left="720" w:hanging="360"/>
      </w:pPr>
    </w:lvl>
    <w:lvl w:ilvl="1" w:tplc="AB8E03BA">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D722A38"/>
    <w:multiLevelType w:val="hybridMultilevel"/>
    <w:tmpl w:val="E3A6167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5E151272"/>
    <w:multiLevelType w:val="multilevel"/>
    <w:tmpl w:val="25C449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39B7E69"/>
    <w:multiLevelType w:val="multilevel"/>
    <w:tmpl w:val="991A060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3"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66EB158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71A519ED"/>
    <w:multiLevelType w:val="hybridMultilevel"/>
    <w:tmpl w:val="3EC800F2"/>
    <w:lvl w:ilvl="0" w:tplc="AF889C2E">
      <w:start w:val="1"/>
      <w:numFmt w:val="decimal"/>
      <w:pStyle w:val="StylNumerowanie"/>
      <w:lvlText w:val="%1."/>
      <w:lvlJc w:val="left"/>
      <w:pPr>
        <w:tabs>
          <w:tab w:val="num" w:pos="340"/>
        </w:tabs>
        <w:ind w:left="34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3537CE8"/>
    <w:multiLevelType w:val="multilevel"/>
    <w:tmpl w:val="25C449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3BA7099"/>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8" w15:restartNumberingAfterBreak="0">
    <w:nsid w:val="79DF2F7B"/>
    <w:multiLevelType w:val="hybridMultilevel"/>
    <w:tmpl w:val="CDC23F88"/>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7D630867"/>
    <w:multiLevelType w:val="multilevel"/>
    <w:tmpl w:val="07EEB8C0"/>
    <w:lvl w:ilvl="0">
      <w:start w:val="5"/>
      <w:numFmt w:val="decimal"/>
      <w:lvlText w:val="%1"/>
      <w:lvlJc w:val="left"/>
      <w:pPr>
        <w:ind w:left="360" w:hanging="360"/>
      </w:pPr>
      <w:rPr>
        <w:rFonts w:hint="default"/>
      </w:rPr>
    </w:lvl>
    <w:lvl w:ilvl="1">
      <w:start w:val="4"/>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num w:numId="1">
    <w:abstractNumId w:val="12"/>
  </w:num>
  <w:num w:numId="2">
    <w:abstractNumId w:val="4"/>
  </w:num>
  <w:num w:numId="3">
    <w:abstractNumId w:val="8"/>
  </w:num>
  <w:num w:numId="4">
    <w:abstractNumId w:val="2"/>
  </w:num>
  <w:num w:numId="5">
    <w:abstractNumId w:val="13"/>
  </w:num>
  <w:num w:numId="6">
    <w:abstractNumId w:val="15"/>
  </w:num>
  <w:num w:numId="7">
    <w:abstractNumId w:val="3"/>
  </w:num>
  <w:num w:numId="8">
    <w:abstractNumId w:val="14"/>
  </w:num>
  <w:num w:numId="9">
    <w:abstractNumId w:val="2"/>
  </w:num>
  <w:num w:numId="10">
    <w:abstractNumId w:val="2"/>
  </w:num>
  <w:num w:numId="11">
    <w:abstractNumId w:val="2"/>
  </w:num>
  <w:num w:numId="12">
    <w:abstractNumId w:val="2"/>
  </w:num>
  <w:num w:numId="13">
    <w:abstractNumId w:val="19"/>
  </w:num>
  <w:num w:numId="14">
    <w:abstractNumId w:val="2"/>
  </w:num>
  <w:num w:numId="15">
    <w:abstractNumId w:val="2"/>
  </w:num>
  <w:num w:numId="16">
    <w:abstractNumId w:val="2"/>
  </w:num>
  <w:num w:numId="17">
    <w:abstractNumId w:val="2"/>
  </w:num>
  <w:num w:numId="18">
    <w:abstractNumId w:val="2"/>
  </w:num>
  <w:num w:numId="19">
    <w:abstractNumId w:val="6"/>
  </w:num>
  <w:num w:numId="20">
    <w:abstractNumId w:val="16"/>
  </w:num>
  <w:num w:numId="21">
    <w:abstractNumId w:val="11"/>
  </w:num>
  <w:num w:numId="22">
    <w:abstractNumId w:val="7"/>
  </w:num>
  <w:num w:numId="23">
    <w:abstractNumId w:val="17"/>
  </w:num>
  <w:num w:numId="24">
    <w:abstractNumId w:val="1"/>
  </w:num>
  <w:num w:numId="25">
    <w:abstractNumId w:val="2"/>
  </w:num>
  <w:num w:numId="26">
    <w:abstractNumId w:val="5"/>
  </w:num>
  <w:num w:numId="27">
    <w:abstractNumId w:val="9"/>
  </w:num>
  <w:num w:numId="28">
    <w:abstractNumId w:val="10"/>
  </w:num>
  <w:num w:numId="29">
    <w:abstractNumId w:val="18"/>
  </w:num>
  <w:num w:numId="30">
    <w:abstractNumId w:val="2"/>
  </w:num>
  <w:num w:numId="31">
    <w:abstractNumId w:val="2"/>
  </w:num>
  <w:num w:numId="32">
    <w:abstractNumId w:val="2"/>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EC0"/>
    <w:rsid w:val="000121F5"/>
    <w:rsid w:val="0003063E"/>
    <w:rsid w:val="00035760"/>
    <w:rsid w:val="00036D10"/>
    <w:rsid w:val="000508A3"/>
    <w:rsid w:val="00056F18"/>
    <w:rsid w:val="00060FAF"/>
    <w:rsid w:val="00067C2F"/>
    <w:rsid w:val="00086444"/>
    <w:rsid w:val="00096FF0"/>
    <w:rsid w:val="00097D27"/>
    <w:rsid w:val="000B5851"/>
    <w:rsid w:val="000D7AFC"/>
    <w:rsid w:val="000E23D8"/>
    <w:rsid w:val="000E2D71"/>
    <w:rsid w:val="000E79F5"/>
    <w:rsid w:val="0011098F"/>
    <w:rsid w:val="0012751B"/>
    <w:rsid w:val="00133B59"/>
    <w:rsid w:val="001354E9"/>
    <w:rsid w:val="00137695"/>
    <w:rsid w:val="0014490A"/>
    <w:rsid w:val="0014545E"/>
    <w:rsid w:val="00163988"/>
    <w:rsid w:val="00183F74"/>
    <w:rsid w:val="001958B3"/>
    <w:rsid w:val="00196E2E"/>
    <w:rsid w:val="001A198E"/>
    <w:rsid w:val="001E4201"/>
    <w:rsid w:val="00207C8D"/>
    <w:rsid w:val="00217A1D"/>
    <w:rsid w:val="00224B10"/>
    <w:rsid w:val="00240C79"/>
    <w:rsid w:val="002551C7"/>
    <w:rsid w:val="002572C1"/>
    <w:rsid w:val="002804A9"/>
    <w:rsid w:val="00281DDF"/>
    <w:rsid w:val="002854C9"/>
    <w:rsid w:val="00296B32"/>
    <w:rsid w:val="00297C96"/>
    <w:rsid w:val="002A0882"/>
    <w:rsid w:val="002C3250"/>
    <w:rsid w:val="002C6148"/>
    <w:rsid w:val="002F47AC"/>
    <w:rsid w:val="003032D7"/>
    <w:rsid w:val="00321A84"/>
    <w:rsid w:val="00321BA8"/>
    <w:rsid w:val="00323BAE"/>
    <w:rsid w:val="003278D1"/>
    <w:rsid w:val="00333F4C"/>
    <w:rsid w:val="003405D4"/>
    <w:rsid w:val="00340D02"/>
    <w:rsid w:val="003471B7"/>
    <w:rsid w:val="00357F74"/>
    <w:rsid w:val="0038182F"/>
    <w:rsid w:val="003A3E5E"/>
    <w:rsid w:val="003B5FAC"/>
    <w:rsid w:val="003E0432"/>
    <w:rsid w:val="003E10B8"/>
    <w:rsid w:val="003E4077"/>
    <w:rsid w:val="003F067D"/>
    <w:rsid w:val="003F40CA"/>
    <w:rsid w:val="00427270"/>
    <w:rsid w:val="004657D3"/>
    <w:rsid w:val="00467966"/>
    <w:rsid w:val="004705E9"/>
    <w:rsid w:val="00472528"/>
    <w:rsid w:val="004777A9"/>
    <w:rsid w:val="00490F15"/>
    <w:rsid w:val="00496600"/>
    <w:rsid w:val="004A2114"/>
    <w:rsid w:val="004A43F3"/>
    <w:rsid w:val="004B3576"/>
    <w:rsid w:val="004B7DAE"/>
    <w:rsid w:val="004C5E8C"/>
    <w:rsid w:val="004D21D9"/>
    <w:rsid w:val="004D7AA9"/>
    <w:rsid w:val="004E4D52"/>
    <w:rsid w:val="004F104F"/>
    <w:rsid w:val="00504FF7"/>
    <w:rsid w:val="00507B39"/>
    <w:rsid w:val="00515C3D"/>
    <w:rsid w:val="00524A30"/>
    <w:rsid w:val="00531337"/>
    <w:rsid w:val="00547CD0"/>
    <w:rsid w:val="005513AB"/>
    <w:rsid w:val="0055246C"/>
    <w:rsid w:val="00560854"/>
    <w:rsid w:val="005632D1"/>
    <w:rsid w:val="005664D8"/>
    <w:rsid w:val="00587625"/>
    <w:rsid w:val="0059374F"/>
    <w:rsid w:val="005A1855"/>
    <w:rsid w:val="005C0545"/>
    <w:rsid w:val="005C62AB"/>
    <w:rsid w:val="005C7407"/>
    <w:rsid w:val="005D713D"/>
    <w:rsid w:val="005E1DDE"/>
    <w:rsid w:val="005E3FDB"/>
    <w:rsid w:val="005E5357"/>
    <w:rsid w:val="005F4272"/>
    <w:rsid w:val="005F5984"/>
    <w:rsid w:val="005F7E43"/>
    <w:rsid w:val="0060639C"/>
    <w:rsid w:val="00621441"/>
    <w:rsid w:val="0062157F"/>
    <w:rsid w:val="00634A02"/>
    <w:rsid w:val="00641943"/>
    <w:rsid w:val="00655D60"/>
    <w:rsid w:val="00660BD6"/>
    <w:rsid w:val="00664937"/>
    <w:rsid w:val="00666829"/>
    <w:rsid w:val="0068503E"/>
    <w:rsid w:val="00690E0B"/>
    <w:rsid w:val="0069126C"/>
    <w:rsid w:val="0069408D"/>
    <w:rsid w:val="006A2279"/>
    <w:rsid w:val="006A28A3"/>
    <w:rsid w:val="006A49BE"/>
    <w:rsid w:val="006B7F18"/>
    <w:rsid w:val="006C432A"/>
    <w:rsid w:val="006C4CC5"/>
    <w:rsid w:val="006D0A71"/>
    <w:rsid w:val="006D0E87"/>
    <w:rsid w:val="006D659F"/>
    <w:rsid w:val="00717AAC"/>
    <w:rsid w:val="00722D1C"/>
    <w:rsid w:val="0072561D"/>
    <w:rsid w:val="00733AFB"/>
    <w:rsid w:val="0074190C"/>
    <w:rsid w:val="0074232E"/>
    <w:rsid w:val="00743CB1"/>
    <w:rsid w:val="00750528"/>
    <w:rsid w:val="0076688B"/>
    <w:rsid w:val="0077428F"/>
    <w:rsid w:val="00777708"/>
    <w:rsid w:val="007B0660"/>
    <w:rsid w:val="007D4EAF"/>
    <w:rsid w:val="007F0321"/>
    <w:rsid w:val="00817E0C"/>
    <w:rsid w:val="00826FDC"/>
    <w:rsid w:val="00830A15"/>
    <w:rsid w:val="00845E29"/>
    <w:rsid w:val="0086405D"/>
    <w:rsid w:val="008739A3"/>
    <w:rsid w:val="00875EB6"/>
    <w:rsid w:val="00894E44"/>
    <w:rsid w:val="008A6E10"/>
    <w:rsid w:val="008A7A27"/>
    <w:rsid w:val="008B5F84"/>
    <w:rsid w:val="008B7178"/>
    <w:rsid w:val="008E1929"/>
    <w:rsid w:val="008E7E6B"/>
    <w:rsid w:val="0090003F"/>
    <w:rsid w:val="00906F12"/>
    <w:rsid w:val="00910F9F"/>
    <w:rsid w:val="00915C8A"/>
    <w:rsid w:val="00916AD8"/>
    <w:rsid w:val="00972F5C"/>
    <w:rsid w:val="00986421"/>
    <w:rsid w:val="00990519"/>
    <w:rsid w:val="009938B0"/>
    <w:rsid w:val="00993AB6"/>
    <w:rsid w:val="009A2A38"/>
    <w:rsid w:val="009C04F8"/>
    <w:rsid w:val="009C6299"/>
    <w:rsid w:val="009F1D9A"/>
    <w:rsid w:val="00A0581B"/>
    <w:rsid w:val="00A0600F"/>
    <w:rsid w:val="00A225DB"/>
    <w:rsid w:val="00A54C58"/>
    <w:rsid w:val="00A776FC"/>
    <w:rsid w:val="00AA0150"/>
    <w:rsid w:val="00AA299E"/>
    <w:rsid w:val="00AB1695"/>
    <w:rsid w:val="00AB2F60"/>
    <w:rsid w:val="00AC21A1"/>
    <w:rsid w:val="00AF1057"/>
    <w:rsid w:val="00B048B2"/>
    <w:rsid w:val="00B061BA"/>
    <w:rsid w:val="00B100C7"/>
    <w:rsid w:val="00B25868"/>
    <w:rsid w:val="00B269B0"/>
    <w:rsid w:val="00B655FB"/>
    <w:rsid w:val="00B65EC0"/>
    <w:rsid w:val="00B6775C"/>
    <w:rsid w:val="00B75893"/>
    <w:rsid w:val="00B816E0"/>
    <w:rsid w:val="00B935B9"/>
    <w:rsid w:val="00BA3CA0"/>
    <w:rsid w:val="00BB3D52"/>
    <w:rsid w:val="00BB522C"/>
    <w:rsid w:val="00BB7ED3"/>
    <w:rsid w:val="00BC2838"/>
    <w:rsid w:val="00BC7B47"/>
    <w:rsid w:val="00BD0C22"/>
    <w:rsid w:val="00BD7499"/>
    <w:rsid w:val="00BE53DF"/>
    <w:rsid w:val="00BF7A8D"/>
    <w:rsid w:val="00C13801"/>
    <w:rsid w:val="00C23459"/>
    <w:rsid w:val="00C26FD7"/>
    <w:rsid w:val="00C378CF"/>
    <w:rsid w:val="00C42CD3"/>
    <w:rsid w:val="00C46904"/>
    <w:rsid w:val="00C53938"/>
    <w:rsid w:val="00C67607"/>
    <w:rsid w:val="00C8544E"/>
    <w:rsid w:val="00CA7997"/>
    <w:rsid w:val="00CB09EA"/>
    <w:rsid w:val="00CE0D07"/>
    <w:rsid w:val="00CF0535"/>
    <w:rsid w:val="00CF266A"/>
    <w:rsid w:val="00D076D6"/>
    <w:rsid w:val="00D11FD1"/>
    <w:rsid w:val="00D16BAE"/>
    <w:rsid w:val="00D33878"/>
    <w:rsid w:val="00D45170"/>
    <w:rsid w:val="00D47E7E"/>
    <w:rsid w:val="00D5190F"/>
    <w:rsid w:val="00D541A7"/>
    <w:rsid w:val="00D56A6B"/>
    <w:rsid w:val="00D814F1"/>
    <w:rsid w:val="00DB202F"/>
    <w:rsid w:val="00DB6498"/>
    <w:rsid w:val="00DE48B8"/>
    <w:rsid w:val="00DE716B"/>
    <w:rsid w:val="00DF20C0"/>
    <w:rsid w:val="00DF443F"/>
    <w:rsid w:val="00DF70B6"/>
    <w:rsid w:val="00E00627"/>
    <w:rsid w:val="00E00DB3"/>
    <w:rsid w:val="00E03D68"/>
    <w:rsid w:val="00E05505"/>
    <w:rsid w:val="00E17714"/>
    <w:rsid w:val="00E35C0B"/>
    <w:rsid w:val="00E4454A"/>
    <w:rsid w:val="00E44BCD"/>
    <w:rsid w:val="00E4679F"/>
    <w:rsid w:val="00E7318E"/>
    <w:rsid w:val="00E86959"/>
    <w:rsid w:val="00E91102"/>
    <w:rsid w:val="00E94193"/>
    <w:rsid w:val="00EC1EEA"/>
    <w:rsid w:val="00ED0E4D"/>
    <w:rsid w:val="00ED353A"/>
    <w:rsid w:val="00ED75E8"/>
    <w:rsid w:val="00F01D49"/>
    <w:rsid w:val="00F047B6"/>
    <w:rsid w:val="00F05FD1"/>
    <w:rsid w:val="00F129CE"/>
    <w:rsid w:val="00F65E7D"/>
    <w:rsid w:val="00F82ED4"/>
    <w:rsid w:val="00F910CA"/>
    <w:rsid w:val="00FD216B"/>
    <w:rsid w:val="00FD24F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9B6103"/>
  <w15:docId w15:val="{61C01415-CB4C-485D-A070-F79C4652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5EC0"/>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9"/>
    <w:qFormat/>
    <w:rsid w:val="00B65EC0"/>
    <w:pPr>
      <w:numPr>
        <w:numId w:val="4"/>
      </w:numPr>
      <w:spacing w:before="120" w:after="120"/>
      <w:jc w:val="left"/>
      <w:outlineLvl w:val="0"/>
    </w:pPr>
    <w:rPr>
      <w:b/>
      <w:bCs/>
      <w:szCs w:val="22"/>
    </w:rPr>
  </w:style>
  <w:style w:type="paragraph" w:styleId="Nagwek2">
    <w:name w:val="heading 2"/>
    <w:basedOn w:val="Normalny"/>
    <w:link w:val="Nagwek2Znak"/>
    <w:autoRedefine/>
    <w:uiPriority w:val="9"/>
    <w:qFormat/>
    <w:rsid w:val="00B65EC0"/>
    <w:pPr>
      <w:numPr>
        <w:ilvl w:val="1"/>
        <w:numId w:val="4"/>
      </w:numPr>
      <w:outlineLvl w:val="1"/>
    </w:pPr>
    <w:rPr>
      <w:szCs w:val="22"/>
    </w:rPr>
  </w:style>
  <w:style w:type="paragraph" w:styleId="Nagwek3">
    <w:name w:val="heading 3"/>
    <w:aliases w:val="Heading 3 Char"/>
    <w:basedOn w:val="Normalny"/>
    <w:next w:val="Normalny"/>
    <w:link w:val="Nagwek3Znak"/>
    <w:uiPriority w:val="99"/>
    <w:qFormat/>
    <w:rsid w:val="00B65EC0"/>
    <w:pPr>
      <w:widowControl w:val="0"/>
      <w:numPr>
        <w:ilvl w:val="2"/>
        <w:numId w:val="4"/>
      </w:numPr>
      <w:outlineLvl w:val="2"/>
    </w:pPr>
    <w:rPr>
      <w:szCs w:val="22"/>
    </w:rPr>
  </w:style>
  <w:style w:type="paragraph" w:styleId="Nagwek4">
    <w:name w:val="heading 4"/>
    <w:basedOn w:val="Normalny"/>
    <w:next w:val="Normalny"/>
    <w:link w:val="Nagwek4Znak"/>
    <w:uiPriority w:val="99"/>
    <w:qFormat/>
    <w:rsid w:val="00B65EC0"/>
    <w:pPr>
      <w:widowControl w:val="0"/>
      <w:numPr>
        <w:ilvl w:val="3"/>
        <w:numId w:val="4"/>
      </w:numPr>
      <w:outlineLvl w:val="3"/>
    </w:pPr>
    <w:rPr>
      <w:bCs/>
      <w:szCs w:val="28"/>
    </w:rPr>
  </w:style>
  <w:style w:type="paragraph" w:styleId="Nagwek5">
    <w:name w:val="heading 5"/>
    <w:basedOn w:val="Normalny"/>
    <w:next w:val="Normalny"/>
    <w:link w:val="Nagwek5Znak"/>
    <w:uiPriority w:val="99"/>
    <w:qFormat/>
    <w:rsid w:val="00B65EC0"/>
    <w:pPr>
      <w:numPr>
        <w:ilvl w:val="4"/>
        <w:numId w:val="4"/>
      </w:numPr>
      <w:outlineLvl w:val="4"/>
    </w:pPr>
    <w:rPr>
      <w:bCs/>
      <w:iCs/>
      <w:szCs w:val="26"/>
    </w:rPr>
  </w:style>
  <w:style w:type="paragraph" w:styleId="Nagwek6">
    <w:name w:val="heading 6"/>
    <w:basedOn w:val="Normalny"/>
    <w:next w:val="Normalny"/>
    <w:link w:val="Nagwek6Znak"/>
    <w:uiPriority w:val="99"/>
    <w:qFormat/>
    <w:rsid w:val="00B65EC0"/>
    <w:pPr>
      <w:numPr>
        <w:ilvl w:val="5"/>
        <w:numId w:val="4"/>
      </w:numPr>
      <w:spacing w:before="240"/>
      <w:outlineLvl w:val="5"/>
    </w:pPr>
    <w:rPr>
      <w:b/>
      <w:bCs/>
      <w:sz w:val="22"/>
      <w:szCs w:val="22"/>
    </w:rPr>
  </w:style>
  <w:style w:type="paragraph" w:styleId="Nagwek7">
    <w:name w:val="heading 7"/>
    <w:basedOn w:val="Normalny"/>
    <w:next w:val="Normalny"/>
    <w:link w:val="Nagwek7Znak"/>
    <w:uiPriority w:val="99"/>
    <w:qFormat/>
    <w:rsid w:val="00B65EC0"/>
    <w:pPr>
      <w:numPr>
        <w:ilvl w:val="6"/>
        <w:numId w:val="4"/>
      </w:numPr>
      <w:spacing w:before="240"/>
      <w:outlineLvl w:val="6"/>
    </w:pPr>
  </w:style>
  <w:style w:type="paragraph" w:styleId="Nagwek8">
    <w:name w:val="heading 8"/>
    <w:basedOn w:val="Normalny"/>
    <w:next w:val="Normalny"/>
    <w:link w:val="Nagwek8Znak"/>
    <w:uiPriority w:val="99"/>
    <w:qFormat/>
    <w:rsid w:val="00B65EC0"/>
    <w:pPr>
      <w:keepNext/>
      <w:numPr>
        <w:ilvl w:val="7"/>
        <w:numId w:val="4"/>
      </w:numPr>
      <w:outlineLvl w:val="7"/>
    </w:pPr>
    <w:rPr>
      <w:b/>
      <w:bCs/>
      <w:sz w:val="22"/>
      <w:szCs w:val="22"/>
    </w:rPr>
  </w:style>
  <w:style w:type="paragraph" w:styleId="Nagwek9">
    <w:name w:val="heading 9"/>
    <w:basedOn w:val="Normalny"/>
    <w:next w:val="Normalny"/>
    <w:link w:val="Nagwek9Znak"/>
    <w:uiPriority w:val="99"/>
    <w:qFormat/>
    <w:rsid w:val="00B65EC0"/>
    <w:pPr>
      <w:keepNext/>
      <w:numPr>
        <w:ilvl w:val="8"/>
        <w:numId w:val="4"/>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65EC0"/>
    <w:rPr>
      <w:rFonts w:ascii="Arial" w:eastAsia="Times New Roman" w:hAnsi="Arial" w:cs="Times New Roman"/>
      <w:b/>
      <w:bCs/>
      <w:sz w:val="21"/>
      <w:lang w:eastAsia="pl-PL"/>
    </w:rPr>
  </w:style>
  <w:style w:type="character" w:customStyle="1" w:styleId="Nagwek2Znak">
    <w:name w:val="Nagłówek 2 Znak"/>
    <w:basedOn w:val="Domylnaczcionkaakapitu"/>
    <w:link w:val="Nagwek2"/>
    <w:uiPriority w:val="99"/>
    <w:rsid w:val="00B65EC0"/>
    <w:rPr>
      <w:rFonts w:ascii="Arial" w:eastAsia="Times New Roman" w:hAnsi="Arial" w:cs="Times New Roman"/>
      <w:sz w:val="21"/>
      <w:lang w:eastAsia="pl-PL"/>
    </w:rPr>
  </w:style>
  <w:style w:type="character" w:customStyle="1" w:styleId="Nagwek3Znak">
    <w:name w:val="Nagłówek 3 Znak"/>
    <w:aliases w:val="Heading 3 Char Znak"/>
    <w:basedOn w:val="Domylnaczcionkaakapitu"/>
    <w:link w:val="Nagwek3"/>
    <w:uiPriority w:val="99"/>
    <w:rsid w:val="00B65EC0"/>
    <w:rPr>
      <w:rFonts w:ascii="Arial" w:eastAsia="Times New Roman" w:hAnsi="Arial" w:cs="Times New Roman"/>
      <w:sz w:val="21"/>
      <w:lang w:eastAsia="pl-PL"/>
    </w:rPr>
  </w:style>
  <w:style w:type="character" w:customStyle="1" w:styleId="Nagwek4Znak">
    <w:name w:val="Nagłówek 4 Znak"/>
    <w:basedOn w:val="Domylnaczcionkaakapitu"/>
    <w:link w:val="Nagwek4"/>
    <w:uiPriority w:val="99"/>
    <w:rsid w:val="00B65EC0"/>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uiPriority w:val="99"/>
    <w:rsid w:val="00B65EC0"/>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uiPriority w:val="99"/>
    <w:rsid w:val="00B65EC0"/>
    <w:rPr>
      <w:rFonts w:ascii="Arial" w:eastAsia="Times New Roman" w:hAnsi="Arial" w:cs="Times New Roman"/>
      <w:b/>
      <w:bCs/>
      <w:lang w:eastAsia="pl-PL"/>
    </w:rPr>
  </w:style>
  <w:style w:type="character" w:customStyle="1" w:styleId="Nagwek7Znak">
    <w:name w:val="Nagłówek 7 Znak"/>
    <w:basedOn w:val="Domylnaczcionkaakapitu"/>
    <w:link w:val="Nagwek7"/>
    <w:uiPriority w:val="99"/>
    <w:rsid w:val="00B65EC0"/>
    <w:rPr>
      <w:rFonts w:ascii="Arial" w:eastAsia="Times New Roman" w:hAnsi="Arial" w:cs="Times New Roman"/>
      <w:sz w:val="21"/>
      <w:szCs w:val="24"/>
      <w:lang w:eastAsia="pl-PL"/>
    </w:rPr>
  </w:style>
  <w:style w:type="character" w:customStyle="1" w:styleId="Nagwek8Znak">
    <w:name w:val="Nagłówek 8 Znak"/>
    <w:basedOn w:val="Domylnaczcionkaakapitu"/>
    <w:link w:val="Nagwek8"/>
    <w:uiPriority w:val="99"/>
    <w:rsid w:val="00B65EC0"/>
    <w:rPr>
      <w:rFonts w:ascii="Arial" w:eastAsia="Times New Roman" w:hAnsi="Arial" w:cs="Times New Roman"/>
      <w:b/>
      <w:bCs/>
      <w:lang w:eastAsia="pl-PL"/>
    </w:rPr>
  </w:style>
  <w:style w:type="character" w:customStyle="1" w:styleId="Nagwek9Znak">
    <w:name w:val="Nagłówek 9 Znak"/>
    <w:basedOn w:val="Domylnaczcionkaakapitu"/>
    <w:link w:val="Nagwek9"/>
    <w:uiPriority w:val="99"/>
    <w:rsid w:val="00B65EC0"/>
    <w:rPr>
      <w:rFonts w:ascii="Arial" w:eastAsia="Times New Roman" w:hAnsi="Arial" w:cs="Times New Roman"/>
      <w:sz w:val="21"/>
      <w:szCs w:val="24"/>
      <w:lang w:eastAsia="pl-PL"/>
    </w:rPr>
  </w:style>
  <w:style w:type="character" w:styleId="Hipercze">
    <w:name w:val="Hyperlink"/>
    <w:basedOn w:val="Domylnaczcionkaakapitu"/>
    <w:uiPriority w:val="99"/>
    <w:rsid w:val="00B65EC0"/>
    <w:rPr>
      <w:rFonts w:ascii="Arial" w:hAnsi="Arial" w:cs="Times New Roman"/>
      <w:color w:val="0000FF"/>
      <w:sz w:val="22"/>
      <w:u w:val="single"/>
    </w:rPr>
  </w:style>
  <w:style w:type="paragraph" w:styleId="Tekstprzypisudolnego">
    <w:name w:val="footnote text"/>
    <w:basedOn w:val="Normalny"/>
    <w:link w:val="TekstprzypisudolnegoZnak1"/>
    <w:rsid w:val="00B65EC0"/>
    <w:rPr>
      <w:sz w:val="18"/>
      <w:szCs w:val="20"/>
    </w:rPr>
  </w:style>
  <w:style w:type="character" w:customStyle="1" w:styleId="TekstprzypisudolnegoZnak">
    <w:name w:val="Tekst przypisu dolnego Znak"/>
    <w:basedOn w:val="Domylnaczcionkaakapitu"/>
    <w:uiPriority w:val="99"/>
    <w:semiHidden/>
    <w:rsid w:val="00B65EC0"/>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locked/>
    <w:rsid w:val="00B65EC0"/>
    <w:rPr>
      <w:rFonts w:ascii="Arial" w:eastAsia="Times New Roman" w:hAnsi="Arial" w:cs="Times New Roman"/>
      <w:sz w:val="18"/>
      <w:szCs w:val="20"/>
      <w:lang w:eastAsia="pl-PL"/>
    </w:rPr>
  </w:style>
  <w:style w:type="character" w:styleId="Odwoanieprzypisudolnego">
    <w:name w:val="footnote reference"/>
    <w:basedOn w:val="Domylnaczcionkaakapitu"/>
    <w:uiPriority w:val="99"/>
    <w:rsid w:val="00B65EC0"/>
    <w:rPr>
      <w:rFonts w:ascii="Arial" w:hAnsi="Arial" w:cs="Times New Roman"/>
      <w:position w:val="6"/>
      <w:sz w:val="16"/>
      <w:vertAlign w:val="superscript"/>
    </w:rPr>
  </w:style>
  <w:style w:type="paragraph" w:customStyle="1" w:styleId="StylNumerowanie">
    <w:name w:val="Styl Numerowanie"/>
    <w:basedOn w:val="Normalny"/>
    <w:uiPriority w:val="99"/>
    <w:rsid w:val="00B65EC0"/>
    <w:pPr>
      <w:numPr>
        <w:numId w:val="6"/>
      </w:numPr>
    </w:pPr>
  </w:style>
  <w:style w:type="paragraph" w:customStyle="1" w:styleId="tekstprzypisudolnego0">
    <w:name w:val="tekst przypisu dolnego"/>
    <w:basedOn w:val="Normalny"/>
    <w:uiPriority w:val="99"/>
    <w:rsid w:val="00B65EC0"/>
    <w:pPr>
      <w:spacing w:before="0" w:after="0"/>
    </w:pPr>
    <w:rPr>
      <w:sz w:val="16"/>
    </w:rPr>
  </w:style>
  <w:style w:type="paragraph" w:styleId="Stopka">
    <w:name w:val="footer"/>
    <w:basedOn w:val="Normalny"/>
    <w:link w:val="StopkaZnak"/>
    <w:uiPriority w:val="99"/>
    <w:rsid w:val="00B65EC0"/>
    <w:pPr>
      <w:tabs>
        <w:tab w:val="center" w:pos="4536"/>
        <w:tab w:val="right" w:pos="9072"/>
      </w:tabs>
    </w:pPr>
  </w:style>
  <w:style w:type="character" w:customStyle="1" w:styleId="StopkaZnak">
    <w:name w:val="Stopka Znak"/>
    <w:basedOn w:val="Domylnaczcionkaakapitu"/>
    <w:link w:val="Stopka"/>
    <w:uiPriority w:val="99"/>
    <w:rsid w:val="00B65EC0"/>
    <w:rPr>
      <w:rFonts w:ascii="Arial" w:eastAsia="Times New Roman" w:hAnsi="Arial" w:cs="Times New Roman"/>
      <w:sz w:val="21"/>
      <w:szCs w:val="24"/>
      <w:lang w:eastAsia="pl-PL"/>
    </w:rPr>
  </w:style>
  <w:style w:type="character" w:styleId="Numerstrony">
    <w:name w:val="page number"/>
    <w:basedOn w:val="Domylnaczcionkaakapitu"/>
    <w:uiPriority w:val="99"/>
    <w:rsid w:val="00B65EC0"/>
    <w:rPr>
      <w:rFonts w:cs="Times New Roman"/>
    </w:rPr>
  </w:style>
  <w:style w:type="paragraph" w:customStyle="1" w:styleId="umowa-poziom1">
    <w:name w:val="umowa - poziom 1"/>
    <w:basedOn w:val="Normalny"/>
    <w:uiPriority w:val="99"/>
    <w:rsid w:val="00B65EC0"/>
    <w:pPr>
      <w:numPr>
        <w:numId w:val="1"/>
      </w:numPr>
      <w:spacing w:before="240" w:after="240"/>
      <w:jc w:val="left"/>
    </w:pPr>
    <w:rPr>
      <w:b/>
    </w:rPr>
  </w:style>
  <w:style w:type="paragraph" w:customStyle="1" w:styleId="umowa-poziom2">
    <w:name w:val="umowa - poziom 2"/>
    <w:basedOn w:val="umowa-poziom1"/>
    <w:autoRedefine/>
    <w:uiPriority w:val="99"/>
    <w:rsid w:val="00B65EC0"/>
    <w:pPr>
      <w:numPr>
        <w:ilvl w:val="1"/>
      </w:numPr>
      <w:spacing w:before="120" w:after="120"/>
      <w:jc w:val="both"/>
    </w:pPr>
    <w:rPr>
      <w:b w:val="0"/>
    </w:rPr>
  </w:style>
  <w:style w:type="paragraph" w:customStyle="1" w:styleId="umowa-poziom3">
    <w:name w:val="umowa - poziom 3"/>
    <w:basedOn w:val="umowa-poziom2"/>
    <w:uiPriority w:val="99"/>
    <w:rsid w:val="00B65EC0"/>
    <w:pPr>
      <w:numPr>
        <w:ilvl w:val="2"/>
      </w:numPr>
    </w:pPr>
  </w:style>
  <w:style w:type="paragraph" w:customStyle="1" w:styleId="tytuzacznika">
    <w:name w:val="tytuł załącznika"/>
    <w:basedOn w:val="Normalny"/>
    <w:uiPriority w:val="99"/>
    <w:rsid w:val="00B65EC0"/>
    <w:pPr>
      <w:pageBreakBefore/>
      <w:jc w:val="left"/>
    </w:pPr>
    <w:rPr>
      <w:b/>
    </w:rPr>
  </w:style>
  <w:style w:type="paragraph" w:styleId="Nagwek">
    <w:name w:val="header"/>
    <w:basedOn w:val="Normalny"/>
    <w:link w:val="NagwekZnak"/>
    <w:uiPriority w:val="99"/>
    <w:rsid w:val="00B65EC0"/>
    <w:pPr>
      <w:tabs>
        <w:tab w:val="center" w:pos="4536"/>
        <w:tab w:val="right" w:pos="9072"/>
      </w:tabs>
    </w:pPr>
  </w:style>
  <w:style w:type="character" w:customStyle="1" w:styleId="NagwekZnak">
    <w:name w:val="Nagłówek Znak"/>
    <w:basedOn w:val="Domylnaczcionkaakapitu"/>
    <w:link w:val="Nagwek"/>
    <w:uiPriority w:val="99"/>
    <w:rsid w:val="00B65EC0"/>
    <w:rPr>
      <w:rFonts w:ascii="Arial" w:eastAsia="Times New Roman" w:hAnsi="Arial" w:cs="Times New Roman"/>
      <w:sz w:val="21"/>
      <w:szCs w:val="24"/>
      <w:lang w:eastAsia="pl-PL"/>
    </w:rPr>
  </w:style>
  <w:style w:type="paragraph" w:styleId="Akapitzlist">
    <w:name w:val="List Paragraph"/>
    <w:aliases w:val="Dot pt,F5 List Paragraph,List Paragraph1,Recommendation,List Paragraph11,List Paragraph,Kolorowa lista — akcent 11,Numerowanie,Akapit z listą11,Numbered Para 1,No Spacing1,List Paragraph Char Char Char,Indicator Text,2,Body text,Bullet 1"/>
    <w:basedOn w:val="Normalny"/>
    <w:link w:val="AkapitzlistZnak"/>
    <w:uiPriority w:val="34"/>
    <w:qFormat/>
    <w:rsid w:val="00B65EC0"/>
    <w:pPr>
      <w:spacing w:before="0" w:after="0"/>
      <w:ind w:left="720"/>
      <w:jc w:val="left"/>
    </w:pPr>
    <w:rPr>
      <w:rFonts w:ascii="Calibri" w:hAnsi="Calibri"/>
      <w:sz w:val="24"/>
    </w:rPr>
  </w:style>
  <w:style w:type="character" w:customStyle="1" w:styleId="AkapitzlistZnak">
    <w:name w:val="Akapit z listą Znak"/>
    <w:aliases w:val="Dot pt Znak,F5 List Paragraph Znak,List Paragraph1 Znak,Recommendation Znak,List Paragraph11 Znak,List Paragraph Znak,Kolorowa lista — akcent 11 Znak,Numerowanie Znak,Akapit z listą11 Znak,Numbered Para 1 Znak,No Spacing1 Znak,2 Znak"/>
    <w:basedOn w:val="Domylnaczcionkaakapitu"/>
    <w:link w:val="Akapitzlist"/>
    <w:uiPriority w:val="34"/>
    <w:qFormat/>
    <w:locked/>
    <w:rsid w:val="00B65EC0"/>
    <w:rPr>
      <w:rFonts w:ascii="Calibri" w:eastAsia="Times New Roman" w:hAnsi="Calibri" w:cs="Times New Roman"/>
      <w:sz w:val="24"/>
      <w:szCs w:val="24"/>
      <w:lang w:eastAsia="pl-PL"/>
    </w:rPr>
  </w:style>
  <w:style w:type="character" w:styleId="Odwoaniedokomentarza">
    <w:name w:val="annotation reference"/>
    <w:basedOn w:val="Domylnaczcionkaakapitu"/>
    <w:uiPriority w:val="99"/>
    <w:semiHidden/>
    <w:unhideWhenUsed/>
    <w:rsid w:val="00490F15"/>
    <w:rPr>
      <w:sz w:val="16"/>
      <w:szCs w:val="16"/>
    </w:rPr>
  </w:style>
  <w:style w:type="paragraph" w:styleId="Tekstkomentarza">
    <w:name w:val="annotation text"/>
    <w:basedOn w:val="Normalny"/>
    <w:link w:val="TekstkomentarzaZnak"/>
    <w:uiPriority w:val="99"/>
    <w:semiHidden/>
    <w:unhideWhenUsed/>
    <w:rsid w:val="00490F15"/>
    <w:rPr>
      <w:sz w:val="20"/>
      <w:szCs w:val="20"/>
    </w:rPr>
  </w:style>
  <w:style w:type="character" w:customStyle="1" w:styleId="TekstkomentarzaZnak">
    <w:name w:val="Tekst komentarza Znak"/>
    <w:basedOn w:val="Domylnaczcionkaakapitu"/>
    <w:link w:val="Tekstkomentarza"/>
    <w:uiPriority w:val="99"/>
    <w:semiHidden/>
    <w:rsid w:val="00490F15"/>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90F15"/>
    <w:rPr>
      <w:b/>
      <w:bCs/>
    </w:rPr>
  </w:style>
  <w:style w:type="character" w:customStyle="1" w:styleId="TematkomentarzaZnak">
    <w:name w:val="Temat komentarza Znak"/>
    <w:basedOn w:val="TekstkomentarzaZnak"/>
    <w:link w:val="Tematkomentarza"/>
    <w:uiPriority w:val="99"/>
    <w:semiHidden/>
    <w:rsid w:val="00490F15"/>
    <w:rPr>
      <w:rFonts w:ascii="Arial" w:eastAsia="Times New Roman" w:hAnsi="Arial" w:cs="Times New Roman"/>
      <w:b/>
      <w:bCs/>
      <w:sz w:val="20"/>
      <w:szCs w:val="20"/>
      <w:lang w:eastAsia="pl-PL"/>
    </w:rPr>
  </w:style>
  <w:style w:type="paragraph" w:styleId="Tekstdymka">
    <w:name w:val="Balloon Text"/>
    <w:basedOn w:val="Normalny"/>
    <w:link w:val="TekstdymkaZnak"/>
    <w:uiPriority w:val="99"/>
    <w:semiHidden/>
    <w:unhideWhenUsed/>
    <w:rsid w:val="00490F15"/>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490F15"/>
    <w:rPr>
      <w:rFonts w:ascii="Tahoma" w:eastAsia="Times New Roman" w:hAnsi="Tahoma" w:cs="Tahoma"/>
      <w:sz w:val="16"/>
      <w:szCs w:val="16"/>
      <w:lang w:eastAsia="pl-PL"/>
    </w:rPr>
  </w:style>
  <w:style w:type="paragraph" w:styleId="Poprawka">
    <w:name w:val="Revision"/>
    <w:hidden/>
    <w:uiPriority w:val="99"/>
    <w:semiHidden/>
    <w:rsid w:val="003032D7"/>
    <w:pPr>
      <w:spacing w:after="0" w:line="240" w:lineRule="auto"/>
    </w:pPr>
    <w:rPr>
      <w:rFonts w:ascii="Arial" w:eastAsia="Times New Roman" w:hAnsi="Arial" w:cs="Times New Roman"/>
      <w:sz w:val="21"/>
      <w:szCs w:val="24"/>
      <w:lang w:eastAsia="pl-PL"/>
    </w:rPr>
  </w:style>
  <w:style w:type="character" w:styleId="UyteHipercze">
    <w:name w:val="FollowedHyperlink"/>
    <w:basedOn w:val="Domylnaczcionkaakapitu"/>
    <w:uiPriority w:val="99"/>
    <w:semiHidden/>
    <w:unhideWhenUsed/>
    <w:rsid w:val="00AB2F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nty.msz.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nkursy.polskapomoc@msz.gov.pl" TargetMode="External"/><Relationship Id="rId4" Type="http://schemas.openxmlformats.org/officeDocument/2006/relationships/settings" Target="settings.xml"/><Relationship Id="rId9" Type="http://schemas.openxmlformats.org/officeDocument/2006/relationships/hyperlink" Target="mailto:iod@msz.gov.pl"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pl/web/gov/podpisz-dokument-elektronicznie-wykorzystaj-podpis-zaufany" TargetMode="External"/><Relationship Id="rId2" Type="http://schemas.openxmlformats.org/officeDocument/2006/relationships/hyperlink" Target="https://www.oecd.org/dac/stats/What-is-ODA.pdf" TargetMode="External"/><Relationship Id="rId1" Type="http://schemas.openxmlformats.org/officeDocument/2006/relationships/hyperlink" Target="https://legalinstruments.oecd.org/en/instruments/OECD-LEGAL-502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5CBD5-067B-43FB-AFE9-26E72EB6D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2713</Words>
  <Characters>16279</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Opałka Magdalena</dc:creator>
  <cp:keywords/>
  <cp:lastModifiedBy>Gawłowska Anna</cp:lastModifiedBy>
  <cp:revision>2</cp:revision>
  <cp:lastPrinted>2016-12-22T07:51:00Z</cp:lastPrinted>
  <dcterms:created xsi:type="dcterms:W3CDTF">2022-05-16T10:25:00Z</dcterms:created>
  <dcterms:modified xsi:type="dcterms:W3CDTF">2022-05-16T10:25:00Z</dcterms:modified>
</cp:coreProperties>
</file>