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7491" w14:textId="77777777" w:rsidR="002F2ADE" w:rsidRPr="00063441" w:rsidRDefault="002F2ADE" w:rsidP="002F2ADE">
      <w:pPr>
        <w:rPr>
          <w:rFonts w:ascii="Arial" w:hAnsi="Arial" w:cs="Arial"/>
          <w:u w:val="single"/>
        </w:rPr>
      </w:pPr>
      <w:r w:rsidRPr="00063441">
        <w:rPr>
          <w:rFonts w:ascii="Arial" w:hAnsi="Arial" w:cs="Arial"/>
          <w:u w:val="single"/>
        </w:rPr>
        <w:t xml:space="preserve">Ocena funkcjonowania tzw. ustawy </w:t>
      </w:r>
      <w:proofErr w:type="spellStart"/>
      <w:r w:rsidRPr="00063441">
        <w:rPr>
          <w:rFonts w:ascii="Arial" w:hAnsi="Arial" w:cs="Arial"/>
          <w:u w:val="single"/>
        </w:rPr>
        <w:t>antyzatorowej</w:t>
      </w:r>
      <w:proofErr w:type="spellEnd"/>
    </w:p>
    <w:p w14:paraId="5437900D" w14:textId="77777777" w:rsidR="002F2ADE" w:rsidRPr="00063441" w:rsidRDefault="002F2ADE" w:rsidP="002F2ADE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>Ministerstwo Rozwoju i Technologii dokonało analizy funkcjonowania ustawy z dnia 19 lipca 2019 r. o zmianie niektórych ustaw w celu ograniczenia zatorów płatniczych, która weszła w życie w 2020 r. Rada Ministrów przyjęła ocenę 9 lutego 2022 r.</w:t>
      </w:r>
    </w:p>
    <w:p w14:paraId="729E3775" w14:textId="77777777" w:rsidR="002F2ADE" w:rsidRPr="00063441" w:rsidRDefault="002F2ADE" w:rsidP="002F2ADE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>Celem ustawy była poprawa otoczenia prawnego, w jakim funkcjonują strony transakcji handlowych, w celu ograniczenia zatorów płatniczych. Aby w sposób kompleksowy wzmocnić pozycję wierzyciela, przedmiotowy akt prawny wprowadził zmiany w kilkunastu ustawach. Zasadniczą regulacją była zmiana ustawy o terminach zapłaty w transakcjach handlowych.</w:t>
      </w:r>
    </w:p>
    <w:p w14:paraId="3AC2838F" w14:textId="77777777" w:rsidR="002F2ADE" w:rsidRPr="00063441" w:rsidRDefault="002F2ADE" w:rsidP="002F2ADE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szCs w:val="24"/>
        </w:rPr>
      </w:pPr>
      <w:r w:rsidRPr="00063441">
        <w:rPr>
          <w:rFonts w:ascii="Arial" w:hAnsi="Arial" w:cs="Arial"/>
          <w:b/>
          <w:szCs w:val="24"/>
        </w:rPr>
        <w:t>Wyniki oceny funkcjonowania ustawy</w:t>
      </w:r>
    </w:p>
    <w:p w14:paraId="533DC8C2" w14:textId="77777777" w:rsidR="002F2ADE" w:rsidRPr="00063441" w:rsidRDefault="002F2ADE" w:rsidP="002F2ADE">
      <w:pPr>
        <w:spacing w:after="120" w:line="240" w:lineRule="auto"/>
        <w:jc w:val="both"/>
        <w:rPr>
          <w:rFonts w:ascii="Arial" w:hAnsi="Arial" w:cs="Arial"/>
          <w:szCs w:val="24"/>
        </w:rPr>
      </w:pPr>
      <w:r w:rsidRPr="00063441">
        <w:rPr>
          <w:rFonts w:ascii="Arial" w:hAnsi="Arial" w:cs="Arial"/>
          <w:szCs w:val="24"/>
        </w:rPr>
        <w:t xml:space="preserve">Okres wprowadzenia w życie ustawy zbiegł się z początkami pandemii COVID-19 w Polsce. Konsekwencją pandemii była potrzeba wprowadzenia obostrzeń w obrocie gospodarczym, które pośrednio wpłynęły na zachowania płatnicze w transakcjach handlowych w okresie pandemii. Tym samym, zmierzenie faktycznego stopnia realizacji celów ustawy w okresie jej dotychczasowego funkcjonowania było utrudnione.  </w:t>
      </w:r>
    </w:p>
    <w:p w14:paraId="044BA315" w14:textId="40A58546" w:rsidR="002F2ADE" w:rsidRPr="00063441" w:rsidRDefault="002F2ADE" w:rsidP="002F2ADE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63441">
        <w:rPr>
          <w:rFonts w:ascii="Arial" w:hAnsi="Arial" w:cs="Arial"/>
          <w:szCs w:val="24"/>
        </w:rPr>
        <w:t xml:space="preserve">Niemniej jednak, dotychczasowe funkcjonowanie ustawy wykazało, że konieczna jest modyfikacja w zakresie niektórych rozwiązań. W tym celu zainicjowano prace nad nowelizacją ustawy, która w szczególności uprości proces składania sprawozdań o praktykach płatniczych oraz wyeliminuje wątpliwości interpretacyjne. Ponadto, zaistniała potrzeba wprowadzenia zmian mających na celu zwiększenie efektywności prowadzonych przez Prezesa UOKiK postępowań w sprawie nadmiernego opóźniania ze spełnianiem świadczeń pieniężnych. </w:t>
      </w:r>
    </w:p>
    <w:p w14:paraId="64BBFF9E" w14:textId="77777777" w:rsidR="002F2ADE" w:rsidRPr="00E81ACF" w:rsidRDefault="002F2ADE" w:rsidP="002F2ADE">
      <w:pPr>
        <w:rPr>
          <w:rFonts w:ascii="Arial" w:hAnsi="Arial" w:cs="Arial"/>
        </w:rPr>
      </w:pPr>
    </w:p>
    <w:p w14:paraId="421096BE" w14:textId="77777777" w:rsidR="00EF7269" w:rsidRDefault="00EF7269"/>
    <w:sectPr w:rsidR="00EF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DE"/>
    <w:rsid w:val="002F2ADE"/>
    <w:rsid w:val="00E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B0B3"/>
  <w15:chartTrackingRefBased/>
  <w15:docId w15:val="{D521F3A6-267C-48E6-AAF6-D62F5EB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F2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AD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ADE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 Joanna</dc:creator>
  <cp:keywords/>
  <dc:description/>
  <cp:lastModifiedBy>Pohl Joanna</cp:lastModifiedBy>
  <cp:revision>1</cp:revision>
  <dcterms:created xsi:type="dcterms:W3CDTF">2022-07-18T11:18:00Z</dcterms:created>
  <dcterms:modified xsi:type="dcterms:W3CDTF">2022-07-18T11:20:00Z</dcterms:modified>
</cp:coreProperties>
</file>