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3799" w14:textId="264040D0" w:rsidR="1AE8BBE6" w:rsidRDefault="1AE8BBE6" w:rsidP="44BF3EE5">
      <w:pPr>
        <w:ind w:left="4956" w:firstLine="708"/>
        <w:rPr>
          <w:i/>
          <w:iCs/>
        </w:rPr>
      </w:pPr>
      <w:r w:rsidRPr="44BF3EE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Załącznik nr 7 do Umowy</w:t>
      </w:r>
    </w:p>
    <w:p w14:paraId="34123BC1" w14:textId="0A43B686" w:rsidR="4688893C" w:rsidRDefault="4688893C" w:rsidP="44BF3EE5">
      <w:pPr>
        <w:pStyle w:val="Progozatekst"/>
        <w:jc w:val="center"/>
        <w:rPr>
          <w:rFonts w:ascii="Calibri" w:hAnsi="Calibri" w:cs="Calibri"/>
          <w:b/>
          <w:i/>
          <w:iCs/>
        </w:rPr>
      </w:pPr>
    </w:p>
    <w:p w14:paraId="5EB376EF" w14:textId="77777777" w:rsidR="00BD22DB" w:rsidRPr="0095680F" w:rsidRDefault="00BD22DB" w:rsidP="00BD22DB">
      <w:pPr>
        <w:pStyle w:val="Progozatekst"/>
        <w:jc w:val="center"/>
        <w:rPr>
          <w:rFonts w:ascii="Calibri" w:hAnsi="Calibri" w:cs="Calibri"/>
          <w:b/>
          <w:bCs w:val="0"/>
        </w:rPr>
      </w:pPr>
      <w:r w:rsidRPr="0095680F">
        <w:rPr>
          <w:rFonts w:ascii="Calibri" w:hAnsi="Calibri" w:cs="Calibri"/>
          <w:b/>
          <w:bCs w:val="0"/>
        </w:rPr>
        <w:t xml:space="preserve">WZÓR </w:t>
      </w:r>
      <w:r w:rsidRPr="0095680F">
        <w:rPr>
          <w:rFonts w:ascii="Calibri" w:hAnsi="Calibri" w:cs="Calibri"/>
          <w:b/>
          <w:bCs w:val="0"/>
        </w:rPr>
        <w:br/>
        <w:t>RAPORTU KOŃCOWEGO WERYFIKACJI ZASTOSOWANIA ZASADY DNSH</w:t>
      </w:r>
    </w:p>
    <w:p w14:paraId="25E69C4C" w14:textId="77777777" w:rsidR="00BD22DB" w:rsidRPr="0095680F" w:rsidRDefault="00BD22DB" w:rsidP="00BD22DB">
      <w:pPr>
        <w:pStyle w:val="Progozatekst"/>
        <w:rPr>
          <w:rFonts w:ascii="Calibri" w:hAnsi="Calibri" w:cs="Calibri"/>
          <w:b/>
          <w:bCs w:val="0"/>
        </w:rPr>
      </w:pPr>
    </w:p>
    <w:tbl>
      <w:tblPr>
        <w:tblStyle w:val="Tabela-Siatka"/>
        <w:tblW w:w="9199" w:type="dxa"/>
        <w:jc w:val="center"/>
        <w:tblLook w:val="04A0" w:firstRow="1" w:lastRow="0" w:firstColumn="1" w:lastColumn="0" w:noHBand="0" w:noVBand="1"/>
      </w:tblPr>
      <w:tblGrid>
        <w:gridCol w:w="3020"/>
        <w:gridCol w:w="6179"/>
      </w:tblGrid>
      <w:tr w:rsidR="00BD22DB" w:rsidRPr="0095680F" w14:paraId="2AAACC0C" w14:textId="77777777" w:rsidTr="44BF3EE5">
        <w:trPr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B06D18D" w14:textId="0F398259" w:rsidR="00BD22DB" w:rsidRPr="0095680F" w:rsidRDefault="00BD22DB" w:rsidP="5A853D9D">
            <w:pPr>
              <w:pStyle w:val="Progozatekst"/>
              <w:jc w:val="center"/>
              <w:rPr>
                <w:rFonts w:ascii="Calibri" w:hAnsi="Calibri" w:cs="Calibri"/>
                <w:b/>
              </w:rPr>
            </w:pPr>
            <w:r w:rsidRPr="5A853D9D">
              <w:rPr>
                <w:rFonts w:ascii="Calibri" w:hAnsi="Calibri" w:cs="Calibri"/>
                <w:b/>
              </w:rPr>
              <w:t xml:space="preserve">Tytuł </w:t>
            </w:r>
            <w:r w:rsidR="68A4AA82" w:rsidRPr="5A853D9D">
              <w:rPr>
                <w:rFonts w:ascii="Calibri" w:hAnsi="Calibri" w:cs="Calibri"/>
                <w:b/>
              </w:rPr>
              <w:t>Inwestycji</w:t>
            </w:r>
            <w:r w:rsidRPr="5A853D9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79" w:type="dxa"/>
            <w:vAlign w:val="center"/>
          </w:tcPr>
          <w:p w14:paraId="6FA1BBB4" w14:textId="6656F88D" w:rsidR="00BD22DB" w:rsidRPr="0095680F" w:rsidRDefault="00BD22DB" w:rsidP="5A853D9D">
            <w:pPr>
              <w:pStyle w:val="Progozatekst"/>
              <w:jc w:val="center"/>
              <w:rPr>
                <w:rFonts w:ascii="Calibri" w:hAnsi="Calibri" w:cs="Calibri"/>
                <w:i/>
                <w:iCs/>
              </w:rPr>
            </w:pPr>
            <w:r w:rsidRPr="5A853D9D">
              <w:rPr>
                <w:rFonts w:ascii="Calibri" w:hAnsi="Calibri" w:cs="Calibri"/>
                <w:i/>
                <w:iCs/>
              </w:rPr>
              <w:t xml:space="preserve">Tytuł </w:t>
            </w:r>
            <w:r w:rsidR="0DAAE20E" w:rsidRPr="5A853D9D">
              <w:rPr>
                <w:rFonts w:ascii="Calibri" w:hAnsi="Calibri" w:cs="Calibri"/>
                <w:i/>
                <w:iCs/>
              </w:rPr>
              <w:t>Inwestycji</w:t>
            </w:r>
            <w:r w:rsidRPr="5A853D9D">
              <w:rPr>
                <w:rFonts w:ascii="Calibri" w:hAnsi="Calibri" w:cs="Calibri"/>
                <w:i/>
                <w:iCs/>
              </w:rPr>
              <w:t xml:space="preserve"> zgodnie z przedmiotem umowy</w:t>
            </w:r>
          </w:p>
        </w:tc>
      </w:tr>
      <w:tr w:rsidR="00BD22DB" w:rsidRPr="0095680F" w14:paraId="7A7BFD3E" w14:textId="77777777" w:rsidTr="44BF3EE5">
        <w:trPr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562B250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  <w:bCs w:val="0"/>
              </w:rPr>
            </w:pPr>
            <w:r w:rsidRPr="0095680F">
              <w:rPr>
                <w:rFonts w:ascii="Calibri" w:hAnsi="Calibri" w:cs="Calibri"/>
                <w:b/>
                <w:bCs w:val="0"/>
              </w:rPr>
              <w:t>Ostateczny Odbiorca Wsparcia</w:t>
            </w:r>
          </w:p>
        </w:tc>
        <w:tc>
          <w:tcPr>
            <w:tcW w:w="6179" w:type="dxa"/>
            <w:vAlign w:val="center"/>
          </w:tcPr>
          <w:p w14:paraId="665F8B9D" w14:textId="74F4EA6C" w:rsidR="00BD22DB" w:rsidRPr="0095680F" w:rsidRDefault="00BD22DB" w:rsidP="44BF3EE5">
            <w:pPr>
              <w:pStyle w:val="Progozatekst"/>
              <w:ind w:firstLine="0"/>
              <w:jc w:val="center"/>
              <w:rPr>
                <w:rFonts w:ascii="Calibri" w:hAnsi="Calibri" w:cs="Calibri"/>
                <w:i/>
                <w:iCs/>
              </w:rPr>
            </w:pPr>
            <w:r w:rsidRPr="44BF3EE5">
              <w:rPr>
                <w:rFonts w:ascii="Calibri" w:hAnsi="Calibri" w:cs="Calibri"/>
                <w:i/>
                <w:iCs/>
              </w:rPr>
              <w:t xml:space="preserve">Nazwa i adres </w:t>
            </w:r>
            <w:r w:rsidR="6D464C22" w:rsidRPr="44BF3EE5">
              <w:rPr>
                <w:rFonts w:ascii="Calibri" w:hAnsi="Calibri" w:cs="Calibri"/>
                <w:i/>
                <w:iCs/>
              </w:rPr>
              <w:t>Beneficjenta</w:t>
            </w:r>
          </w:p>
        </w:tc>
      </w:tr>
      <w:tr w:rsidR="00BD22DB" w:rsidRPr="0095680F" w14:paraId="14002A35" w14:textId="77777777" w:rsidTr="44BF3EE5">
        <w:trPr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1AF335B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  <w:bCs w:val="0"/>
              </w:rPr>
            </w:pPr>
            <w:r w:rsidRPr="0095680F">
              <w:rPr>
                <w:rFonts w:ascii="Calibri" w:hAnsi="Calibri" w:cs="Calibri"/>
                <w:b/>
                <w:bCs w:val="0"/>
              </w:rPr>
              <w:t xml:space="preserve">Data zawarcia </w:t>
            </w:r>
            <w:r w:rsidRPr="0095680F">
              <w:rPr>
                <w:rFonts w:ascii="Calibri" w:hAnsi="Calibri" w:cs="Calibri"/>
                <w:b/>
                <w:bCs w:val="0"/>
              </w:rPr>
              <w:br/>
              <w:t>umowy o dofinansowanie</w:t>
            </w:r>
          </w:p>
        </w:tc>
        <w:tc>
          <w:tcPr>
            <w:tcW w:w="6179" w:type="dxa"/>
            <w:vAlign w:val="center"/>
          </w:tcPr>
          <w:p w14:paraId="3951D90A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i/>
                <w:iCs/>
              </w:rPr>
            </w:pPr>
            <w:r w:rsidRPr="0095680F">
              <w:rPr>
                <w:rFonts w:ascii="Calibri" w:hAnsi="Calibri" w:cs="Calibri"/>
                <w:i/>
                <w:iCs/>
              </w:rPr>
              <w:t>Data</w:t>
            </w:r>
          </w:p>
        </w:tc>
      </w:tr>
    </w:tbl>
    <w:p w14:paraId="655FE800" w14:textId="77777777" w:rsidR="00BD22DB" w:rsidRPr="0095680F" w:rsidRDefault="00BD22DB" w:rsidP="00BD22DB">
      <w:pPr>
        <w:pStyle w:val="Progozatekst"/>
        <w:rPr>
          <w:rFonts w:ascii="Calibri" w:hAnsi="Calibri" w:cs="Calibri"/>
          <w:b/>
          <w:bCs w:val="0"/>
        </w:rPr>
      </w:pPr>
    </w:p>
    <w:tbl>
      <w:tblPr>
        <w:tblStyle w:val="Tabela-Siatka"/>
        <w:tblW w:w="9199" w:type="dxa"/>
        <w:jc w:val="center"/>
        <w:tblLook w:val="04A0" w:firstRow="1" w:lastRow="0" w:firstColumn="1" w:lastColumn="0" w:noHBand="0" w:noVBand="1"/>
      </w:tblPr>
      <w:tblGrid>
        <w:gridCol w:w="3020"/>
        <w:gridCol w:w="6179"/>
      </w:tblGrid>
      <w:tr w:rsidR="00BD22DB" w:rsidRPr="0095680F" w14:paraId="5AAACCD7" w14:textId="77777777" w:rsidTr="5A853D9D">
        <w:trPr>
          <w:trHeight w:val="1105"/>
          <w:jc w:val="center"/>
        </w:trPr>
        <w:tc>
          <w:tcPr>
            <w:tcW w:w="9199" w:type="dxa"/>
            <w:gridSpan w:val="2"/>
            <w:shd w:val="clear" w:color="auto" w:fill="D9D9D9" w:themeFill="background1" w:themeFillShade="D9"/>
            <w:vAlign w:val="center"/>
          </w:tcPr>
          <w:p w14:paraId="2B544369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  <w:bCs w:val="0"/>
              </w:rPr>
            </w:pPr>
            <w:r w:rsidRPr="0095680F">
              <w:rPr>
                <w:rFonts w:ascii="Calibri" w:hAnsi="Calibri" w:cs="Calibri"/>
                <w:b/>
                <w:bCs w:val="0"/>
              </w:rPr>
              <w:t xml:space="preserve">Etap I. Wykaz dowodów zgodności z zasadą DNSH </w:t>
            </w:r>
            <w:r w:rsidRPr="0095680F">
              <w:rPr>
                <w:rStyle w:val="Odwoanieprzypisudolnego"/>
                <w:rFonts w:ascii="Calibri" w:hAnsi="Calibri" w:cs="Calibri"/>
                <w:b/>
                <w:bCs w:val="0"/>
              </w:rPr>
              <w:footnoteReference w:id="1"/>
            </w:r>
            <w:r w:rsidRPr="0095680F">
              <w:rPr>
                <w:rFonts w:ascii="Calibri" w:hAnsi="Calibri" w:cs="Calibri"/>
                <w:b/>
                <w:bCs w:val="0"/>
              </w:rPr>
              <w:t xml:space="preserve"> w odniesieniu do każdego z celów środowiskowych</w:t>
            </w:r>
            <w:r w:rsidRPr="0095680F">
              <w:rPr>
                <w:rStyle w:val="Odwoanieprzypisudolnego"/>
                <w:rFonts w:ascii="Calibri" w:hAnsi="Calibri" w:cs="Calibri"/>
                <w:b/>
                <w:bCs w:val="0"/>
              </w:rPr>
              <w:footnoteReference w:id="2"/>
            </w:r>
          </w:p>
        </w:tc>
      </w:tr>
      <w:tr w:rsidR="00BD22DB" w:rsidRPr="0095680F" w14:paraId="417A5589" w14:textId="77777777" w:rsidTr="5A853D9D">
        <w:trPr>
          <w:trHeight w:val="709"/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58128B3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  <w:bCs w:val="0"/>
              </w:rPr>
            </w:pPr>
            <w:r w:rsidRPr="0095680F">
              <w:rPr>
                <w:rFonts w:ascii="Calibri" w:hAnsi="Calibri" w:cs="Calibri"/>
                <w:b/>
                <w:bCs w:val="0"/>
              </w:rPr>
              <w:t>Cel środowiskowy</w:t>
            </w:r>
          </w:p>
        </w:tc>
        <w:tc>
          <w:tcPr>
            <w:tcW w:w="6179" w:type="dxa"/>
            <w:shd w:val="clear" w:color="auto" w:fill="F2F2F2" w:themeFill="background1" w:themeFillShade="F2"/>
            <w:vAlign w:val="center"/>
          </w:tcPr>
          <w:p w14:paraId="270337A4" w14:textId="0B6408F9" w:rsidR="00BD22DB" w:rsidRPr="0095680F" w:rsidRDefault="00BD22DB" w:rsidP="5A853D9D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</w:rPr>
            </w:pPr>
            <w:r w:rsidRPr="5A853D9D">
              <w:rPr>
                <w:rFonts w:ascii="Calibri" w:hAnsi="Calibri" w:cs="Calibri"/>
                <w:b/>
              </w:rPr>
              <w:t xml:space="preserve">Posiadane przez </w:t>
            </w:r>
            <w:r w:rsidR="7C3AFDB3" w:rsidRPr="5A853D9D">
              <w:rPr>
                <w:rFonts w:ascii="Calibri" w:hAnsi="Calibri" w:cs="Calibri"/>
                <w:b/>
              </w:rPr>
              <w:t>Beneficjenta</w:t>
            </w:r>
            <w:r w:rsidRPr="5A853D9D">
              <w:rPr>
                <w:rFonts w:ascii="Calibri" w:hAnsi="Calibri" w:cs="Calibri"/>
                <w:b/>
              </w:rPr>
              <w:t xml:space="preserve"> dowody zgodności z zasadą DNSH</w:t>
            </w:r>
            <w:r>
              <w:br/>
            </w:r>
            <w:r w:rsidRPr="5A853D9D">
              <w:rPr>
                <w:rFonts w:ascii="Calibri" w:hAnsi="Calibri" w:cs="Calibri"/>
                <w:i/>
                <w:iCs/>
              </w:rPr>
              <w:t xml:space="preserve">W poszczególnych komórkach </w:t>
            </w:r>
            <w:r w:rsidR="49029FDB" w:rsidRPr="5A853D9D">
              <w:rPr>
                <w:rFonts w:ascii="Calibri" w:hAnsi="Calibri" w:cs="Calibri"/>
                <w:bCs w:val="0"/>
                <w:i/>
                <w:iCs/>
              </w:rPr>
              <w:t>Beneficjenta</w:t>
            </w:r>
            <w:r w:rsidR="49029FDB" w:rsidRPr="5A853D9D">
              <w:rPr>
                <w:rFonts w:ascii="Calibri" w:hAnsi="Calibri" w:cs="Calibri"/>
                <w:i/>
                <w:iCs/>
              </w:rPr>
              <w:t xml:space="preserve"> </w:t>
            </w:r>
            <w:r w:rsidRPr="5A853D9D">
              <w:rPr>
                <w:rFonts w:ascii="Calibri" w:hAnsi="Calibri" w:cs="Calibri"/>
                <w:i/>
                <w:iCs/>
              </w:rPr>
              <w:t>powinien wpisywać (najlepiej na bieżąco w trakcie realizacji</w:t>
            </w:r>
            <w:r w:rsidR="1A83ADA1" w:rsidRPr="5A853D9D">
              <w:rPr>
                <w:rFonts w:ascii="Calibri" w:hAnsi="Calibri" w:cs="Calibri"/>
                <w:i/>
                <w:iCs/>
              </w:rPr>
              <w:t xml:space="preserve"> Inwestycji</w:t>
            </w:r>
            <w:r w:rsidRPr="5A853D9D">
              <w:rPr>
                <w:rFonts w:ascii="Calibri" w:hAnsi="Calibri" w:cs="Calibri"/>
                <w:i/>
                <w:iCs/>
              </w:rPr>
              <w:t xml:space="preserve">) gromadzone dowody. </w:t>
            </w:r>
            <w:r>
              <w:br/>
            </w:r>
            <w:r w:rsidRPr="5A853D9D">
              <w:rPr>
                <w:rFonts w:ascii="Calibri" w:hAnsi="Calibri" w:cs="Calibri"/>
                <w:i/>
                <w:iCs/>
              </w:rPr>
              <w:t xml:space="preserve">Poniżej kursywą wskazano </w:t>
            </w:r>
            <w:r w:rsidRPr="5A853D9D">
              <w:rPr>
                <w:rFonts w:ascii="Calibri" w:hAnsi="Calibri" w:cs="Calibri"/>
                <w:i/>
                <w:iCs/>
                <w:u w:val="single"/>
              </w:rPr>
              <w:t>przykładowe</w:t>
            </w:r>
            <w:r w:rsidRPr="5A853D9D">
              <w:rPr>
                <w:rFonts w:ascii="Calibri" w:hAnsi="Calibri" w:cs="Calibri"/>
                <w:i/>
                <w:iCs/>
              </w:rPr>
              <w:t xml:space="preserve"> dokumenty mogące być dowodem zgodności z zasadą DNSH.</w:t>
            </w:r>
          </w:p>
        </w:tc>
      </w:tr>
    </w:tbl>
    <w:p w14:paraId="0D304323" w14:textId="77777777" w:rsidR="00BD22DB" w:rsidRPr="0095680F" w:rsidRDefault="00BD22DB" w:rsidP="00BD22DB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199" w:type="dxa"/>
        <w:jc w:val="center"/>
        <w:tblLook w:val="04A0" w:firstRow="1" w:lastRow="0" w:firstColumn="1" w:lastColumn="0" w:noHBand="0" w:noVBand="1"/>
      </w:tblPr>
      <w:tblGrid>
        <w:gridCol w:w="3020"/>
        <w:gridCol w:w="6179"/>
      </w:tblGrid>
      <w:tr w:rsidR="00BD22DB" w:rsidRPr="0095680F" w14:paraId="1436EA99" w14:textId="77777777" w:rsidTr="44BF3EE5">
        <w:trPr>
          <w:trHeight w:val="563"/>
          <w:jc w:val="center"/>
        </w:trPr>
        <w:tc>
          <w:tcPr>
            <w:tcW w:w="9199" w:type="dxa"/>
            <w:gridSpan w:val="2"/>
            <w:shd w:val="clear" w:color="auto" w:fill="D9D9D9" w:themeFill="background1" w:themeFillShade="D9"/>
            <w:vAlign w:val="center"/>
          </w:tcPr>
          <w:p w14:paraId="0F8C4B71" w14:textId="77777777" w:rsidR="00BD22DB" w:rsidRPr="0095680F" w:rsidRDefault="00BD22DB" w:rsidP="00B027E3">
            <w:pPr>
              <w:pStyle w:val="Progozatekst"/>
              <w:ind w:firstLine="0"/>
              <w:jc w:val="center"/>
              <w:rPr>
                <w:rFonts w:ascii="Calibri" w:hAnsi="Calibri" w:cs="Calibri"/>
                <w:b/>
                <w:bCs w:val="0"/>
              </w:rPr>
            </w:pPr>
            <w:r w:rsidRPr="0095680F">
              <w:rPr>
                <w:rFonts w:ascii="Calibri" w:hAnsi="Calibri" w:cs="Calibri"/>
                <w:b/>
                <w:bCs w:val="0"/>
              </w:rPr>
              <w:t>Zeroemisyjne pojazdy ciężkie kategorii N2 i N3</w:t>
            </w:r>
          </w:p>
        </w:tc>
      </w:tr>
      <w:tr w:rsidR="00BD22DB" w:rsidRPr="0095680F" w14:paraId="2AE182AB" w14:textId="77777777" w:rsidTr="44BF3EE5">
        <w:trPr>
          <w:trHeight w:val="240"/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9D29A12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t>Łagodzenie zmian klimatu</w:t>
            </w:r>
          </w:p>
        </w:tc>
        <w:tc>
          <w:tcPr>
            <w:tcW w:w="6179" w:type="dxa"/>
            <w:vAlign w:val="center"/>
          </w:tcPr>
          <w:p w14:paraId="3F6D57A4" w14:textId="037C96E1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dokumenty potwierdzające, że pojazdy nie są przeznaczone do transportu paliw kopalnych</w:t>
            </w:r>
            <w:r w:rsidR="2FED4DC5" w:rsidRPr="44BF3EE5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,</w:t>
            </w:r>
            <w:r w:rsidRPr="44BF3EE5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 xml:space="preserve"> </w:t>
            </w:r>
            <w:r w:rsidR="52B9C7D1" w:rsidRPr="44BF3EE5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(np: oświadczenie)</w:t>
            </w:r>
            <w:r w:rsidR="563AE8AD" w:rsidRPr="44BF3EE5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,</w:t>
            </w:r>
          </w:p>
          <w:p w14:paraId="60C803C5" w14:textId="17742241" w:rsidR="00BD22DB" w:rsidRPr="0095680F" w:rsidRDefault="00BD22DB" w:rsidP="5A853D9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sz w:val="22"/>
                <w:szCs w:val="22"/>
              </w:rPr>
            </w:pPr>
            <w:r w:rsidRPr="5A853D9D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świadectwa homologacji zakupionych pojazdów</w:t>
            </w:r>
            <w:r w:rsidR="2775CA4E" w:rsidRPr="5A853D9D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,</w:t>
            </w:r>
          </w:p>
          <w:p w14:paraId="74458A8F" w14:textId="6BCFCCD1" w:rsidR="00BD22DB" w:rsidRPr="0095680F" w:rsidRDefault="00BD22DB" w:rsidP="5A853D9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sz w:val="22"/>
                <w:szCs w:val="22"/>
              </w:rPr>
            </w:pPr>
            <w:r w:rsidRPr="5A853D9D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 xml:space="preserve">świadectwa homologacji zakupionych pojazdów (lub inne dokumenty poświadczające cechy, charakterystykę </w:t>
            </w:r>
            <w:r>
              <w:br/>
            </w:r>
            <w:r w:rsidRPr="5A853D9D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i parametry)</w:t>
            </w:r>
            <w:r w:rsidR="74EE6505" w:rsidRPr="5A853D9D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BD22DB" w:rsidRPr="0095680F" w14:paraId="570BF33B" w14:textId="77777777" w:rsidTr="44BF3EE5">
        <w:trPr>
          <w:trHeight w:val="1695"/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85E9132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t>Adaptacja do zmian klimatu</w:t>
            </w:r>
          </w:p>
        </w:tc>
        <w:tc>
          <w:tcPr>
            <w:tcW w:w="6179" w:type="dxa"/>
            <w:vAlign w:val="center"/>
          </w:tcPr>
          <w:p w14:paraId="4EF4F20C" w14:textId="54750B4D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dokumentacja przetargowa i umowa określająca przedmiot zamówienia</w:t>
            </w:r>
            <w:r w:rsidR="129914F1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 (</w:t>
            </w:r>
            <w:r w:rsidR="53C43148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jeżeli</w:t>
            </w:r>
            <w:r w:rsidR="129914F1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dotyczy),</w:t>
            </w:r>
          </w:p>
          <w:p w14:paraId="25F689C2" w14:textId="5A48A7FF" w:rsidR="00BD22DB" w:rsidRPr="0095680F" w:rsidRDefault="61A287BA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dokument/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dokumenty strategiczne uzasadniające </w:t>
            </w:r>
            <w:r w:rsidR="6857B556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R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ealizację</w:t>
            </w:r>
            <w:r w:rsidR="78DA5130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Inwestycji,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CD3600C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np. Strategia Elektromobilności RP, Gminy, Województwa, </w:t>
            </w:r>
          </w:p>
          <w:p w14:paraId="3646D952" w14:textId="4B292673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protokoły odbioru nabytych pojazdów</w:t>
            </w:r>
            <w:r w:rsidR="0F8081E4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/pojazdu.</w:t>
            </w:r>
          </w:p>
        </w:tc>
      </w:tr>
      <w:tr w:rsidR="00BD22DB" w:rsidRPr="0095680F" w14:paraId="6EE35025" w14:textId="77777777" w:rsidTr="44BF3EE5">
        <w:trPr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007F137A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t>Zrównoważone wykorzystywanie i ochrona zasobów wodnych i morskich</w:t>
            </w:r>
          </w:p>
        </w:tc>
        <w:tc>
          <w:tcPr>
            <w:tcW w:w="6179" w:type="dxa"/>
            <w:vAlign w:val="center"/>
          </w:tcPr>
          <w:p w14:paraId="261AD828" w14:textId="77777777" w:rsidR="00BD22DB" w:rsidRPr="0095680F" w:rsidRDefault="00BD22DB" w:rsidP="44BF3EE5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Nie dotyczy </w:t>
            </w:r>
          </w:p>
        </w:tc>
      </w:tr>
      <w:tr w:rsidR="00BD22DB" w:rsidRPr="0095680F" w14:paraId="0DE1E2FE" w14:textId="77777777" w:rsidTr="44BF3EE5">
        <w:trPr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1868A13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lastRenderedPageBreak/>
              <w:t>Przejście na gospodarkę o obiegu zamkniętym</w:t>
            </w:r>
          </w:p>
        </w:tc>
        <w:tc>
          <w:tcPr>
            <w:tcW w:w="6179" w:type="dxa"/>
            <w:vAlign w:val="center"/>
          </w:tcPr>
          <w:p w14:paraId="416BC90E" w14:textId="77777777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dokumentacja przetargowa i umowa określająca przedmiot zamówienia (jeżeli dotyczy),</w:t>
            </w:r>
          </w:p>
          <w:p w14:paraId="5F0CE2DE" w14:textId="16469AAA" w:rsidR="00BD22DB" w:rsidRPr="0095680F" w:rsidRDefault="05C0F04A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dokument/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dokumenty strategiczne uzasadniające </w:t>
            </w:r>
            <w:r w:rsidR="1E3A8E53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R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ealizację </w:t>
            </w:r>
            <w:r w:rsidR="4D0C7550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Inwestycji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0C68551D" w14:textId="597495CE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świadectwa homologacji zakupionych pojazdów</w:t>
            </w:r>
            <w:r w:rsidR="16806C5D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(lub inne dokumenty poświadczające cechy, charakterystykę i parametry),</w:t>
            </w:r>
          </w:p>
          <w:p w14:paraId="1995F3AF" w14:textId="1F86E1DC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protokoły odbioru zakupionych pojazdów</w:t>
            </w:r>
            <w:r w:rsidR="47E5F942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28B23241" w14:textId="38D8AE53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dokumenty i instrukcje dotyczące eksploatacji i utrzymania nabytych pojazdów</w:t>
            </w:r>
            <w:r w:rsidR="422FC3B3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573EAB7F" w14:textId="77777777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protokoły z okresowych przeglądów (technicznych, eksploatacyjnych - wymaganych prawem, umową, normą lub specyfikacją techniczną),</w:t>
            </w:r>
          </w:p>
          <w:p w14:paraId="2D1BEC1B" w14:textId="28956F9D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w przypadku szkody całkowitej lub złomowania elementów pojazdu</w:t>
            </w:r>
            <w:r w:rsidR="64355BF6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/pojazdów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dokumenty potwierdzające przekazanie pojazdów/elementów do zagospodarowania zgodnie z obowiązującymi przepisami o gospodarowaniu odpadami</w:t>
            </w:r>
            <w:r w:rsidR="69FCEC8A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7D2AE778" w14:textId="34DA5F10" w:rsidR="00BD22DB" w:rsidRPr="0095680F" w:rsidRDefault="69FCEC8A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i/>
                <w:iCs/>
                <w:color w:val="000000" w:themeColor="text1"/>
              </w:rPr>
            </w:pP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Dokument/dokumenty potwierdzające zaistnienie szkody całkowitej np: protokół rzeczoznawcy z firmy ubezpieczeniowej, (jeśli dotyczy).</w:t>
            </w:r>
          </w:p>
          <w:p w14:paraId="1A4616B5" w14:textId="4A12EDCA" w:rsidR="00BD22DB" w:rsidRPr="0095680F" w:rsidRDefault="00BD22DB" w:rsidP="44BF3E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D22DB" w:rsidRPr="0095680F" w14:paraId="1A6E837E" w14:textId="77777777" w:rsidTr="44BF3EE5">
        <w:trPr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DCDD775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t>Zapobieganie zanieczyszczeniu i jego kontrola</w:t>
            </w:r>
          </w:p>
        </w:tc>
        <w:tc>
          <w:tcPr>
            <w:tcW w:w="6179" w:type="dxa"/>
            <w:vAlign w:val="center"/>
          </w:tcPr>
          <w:p w14:paraId="4CCF6B49" w14:textId="77777777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dokumentacja przetargowa i umowa określająca przedmiot zamówienia,</w:t>
            </w:r>
          </w:p>
          <w:p w14:paraId="4C53A9CF" w14:textId="7A29FD7A" w:rsidR="00BD22DB" w:rsidRPr="0095680F" w:rsidRDefault="66DF9365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dokument/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dokumenty strategiczne uzasadniające </w:t>
            </w:r>
            <w:r w:rsidR="0FF4154A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R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ealizację </w:t>
            </w:r>
            <w:r w:rsidR="3275CB49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Inwestycji,</w:t>
            </w:r>
            <w:r w:rsidR="00BD22D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40A63F51" w14:textId="061A1D75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świadectwa homologacji zakupionych pojazdów</w:t>
            </w:r>
            <w:r w:rsidR="47090FA2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(lub inne dokumenty poświadczające cechy, charakterystykę i parametry)</w:t>
            </w:r>
            <w:r w:rsidR="6F16B44B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44D7ED74" w14:textId="625D4D89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protokoły odbioru zakupionych pojazdów</w:t>
            </w:r>
            <w:r w:rsidR="2B7E79F2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/pojazdu,</w:t>
            </w:r>
          </w:p>
          <w:p w14:paraId="2ABD4B9E" w14:textId="77777777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dokumenty i instrukcje dotyczące eksploatacji i utrzymania zakupionych pojazdów,</w:t>
            </w:r>
          </w:p>
          <w:p w14:paraId="3B0AA306" w14:textId="77777777" w:rsidR="00BD22DB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protokoły z okresowych przeglądów (technicznych, eksploatacyjnych - wymaganych prawem, umową, normą lub specyfikacją techniczną),</w:t>
            </w:r>
          </w:p>
          <w:p w14:paraId="221CE09E" w14:textId="29DE29B8" w:rsidR="00BD22DB" w:rsidRPr="00850D9D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w przypadku szkody całkowitej lub złomowania elementów pojazdu</w:t>
            </w:r>
            <w:r w:rsidR="2779F8ED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/pojazdów</w:t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dokumenty potwierdzające przekazanie pojazdów/elementów do zagospodarowania zgodnie </w:t>
            </w:r>
            <w:r>
              <w:br/>
            </w: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z obowiązującymi przepisami o gospodarowaniu odpadami</w:t>
            </w:r>
            <w:r w:rsidR="64C57E67"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1AA6E903" w14:textId="72D13C53" w:rsidR="64C57E67" w:rsidRDefault="64C57E67" w:rsidP="44BF3EE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0" w:hanging="218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Dokument/dokumenty potwierdzające zaistnienie szkody całkowitej np: </w:t>
            </w:r>
            <w:r w:rsidR="586743F2"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decyzja zakładu ubezpieczeń  o szkodzie całkowitej</w:t>
            </w: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48E1D328" w14:textId="77777777" w:rsidR="00BD22DB" w:rsidRPr="0095680F" w:rsidRDefault="00BD22DB" w:rsidP="44BF3EE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70" w:hanging="218"/>
              <w:jc w:val="both"/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BF3EE5">
              <w:rPr>
                <w:rFonts w:ascii="Calibri" w:eastAsia="Batang" w:hAnsi="Calibri" w:cs="Calibri"/>
                <w:i/>
                <w:iCs/>
                <w:color w:val="000000" w:themeColor="text1"/>
                <w:sz w:val="22"/>
                <w:szCs w:val="22"/>
              </w:rPr>
              <w:t>dokumenty potwierdzające, że pojazd posiada opony  spełniające wymogi dotyczące zewnętrznego hałasu toczenia (w najwyższej klasie) oraz zgodności ze współczynnikiem oporu toczenia (w dwóch najwyższych klasach określonych w rozporządzeniu (UE 2020/740).</w:t>
            </w:r>
          </w:p>
        </w:tc>
      </w:tr>
      <w:tr w:rsidR="00BD22DB" w:rsidRPr="0095680F" w14:paraId="528A2B9B" w14:textId="77777777" w:rsidTr="44BF3EE5">
        <w:trPr>
          <w:jc w:val="center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CB74A13" w14:textId="77777777" w:rsidR="00BD22DB" w:rsidRPr="0095680F" w:rsidRDefault="00BD22DB" w:rsidP="00B027E3">
            <w:pPr>
              <w:pStyle w:val="Progozatekst"/>
              <w:ind w:firstLine="0"/>
              <w:jc w:val="left"/>
              <w:rPr>
                <w:rFonts w:ascii="Calibri" w:hAnsi="Calibri" w:cs="Calibri"/>
              </w:rPr>
            </w:pPr>
            <w:r w:rsidRPr="0095680F">
              <w:rPr>
                <w:rFonts w:ascii="Calibri" w:hAnsi="Calibri" w:cs="Calibri"/>
              </w:rPr>
              <w:t>Ochrona i odbudowa bioróżnorodności i ekosystemów</w:t>
            </w:r>
          </w:p>
        </w:tc>
        <w:tc>
          <w:tcPr>
            <w:tcW w:w="6179" w:type="dxa"/>
            <w:vAlign w:val="center"/>
          </w:tcPr>
          <w:p w14:paraId="3EA17173" w14:textId="77777777" w:rsidR="00BD22DB" w:rsidRPr="0095680F" w:rsidRDefault="00BD22DB" w:rsidP="00B027E3">
            <w:pPr>
              <w:spacing w:line="276" w:lineRule="auto"/>
              <w:contextualSpacing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95680F">
              <w:rPr>
                <w:rFonts w:ascii="Calibri" w:eastAsia="Batang" w:hAnsi="Calibri" w:cs="Calibri"/>
                <w:sz w:val="22"/>
                <w:szCs w:val="22"/>
              </w:rPr>
              <w:t>Nie dotyczy</w:t>
            </w:r>
          </w:p>
        </w:tc>
      </w:tr>
    </w:tbl>
    <w:p w14:paraId="711AB325" w14:textId="7365135A" w:rsidR="004D1B5C" w:rsidRPr="00BD22DB" w:rsidRDefault="004D1B5C" w:rsidP="44BF3EE5">
      <w:pPr>
        <w:spacing w:line="276" w:lineRule="auto"/>
      </w:pPr>
    </w:p>
    <w:p w14:paraId="5907956C" w14:textId="3A00AC6E" w:rsidR="004D1B5C" w:rsidRPr="00BD22DB" w:rsidRDefault="004D1B5C" w:rsidP="44BF3EE5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1"/>
        <w:gridCol w:w="6071"/>
      </w:tblGrid>
      <w:tr w:rsidR="44BF3EE5" w14:paraId="6A908E6B" w14:textId="77777777" w:rsidTr="44BF3EE5">
        <w:trPr>
          <w:trHeight w:val="3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F4CCD35" w14:textId="0BC9F781" w:rsidR="44BF3EE5" w:rsidRDefault="44BF3EE5" w:rsidP="44BF3EE5">
            <w:pPr>
              <w:jc w:val="center"/>
            </w:pPr>
            <w:r w:rsidRPr="44BF3EE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PODSUMOWANIE ETAPU I</w:t>
            </w:r>
          </w:p>
        </w:tc>
      </w:tr>
      <w:tr w:rsidR="44BF3EE5" w14:paraId="62084D86" w14:textId="77777777" w:rsidTr="44BF3EE5">
        <w:trPr>
          <w:trHeight w:val="300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56233C4" w14:textId="71ECE544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Czy w odniesieniu do każdego celu środowiskowego przedłożono wymagane dowody zgodności z zasadą DNSH?</w:t>
            </w:r>
          </w:p>
        </w:tc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2772F" w14:textId="3F600751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sz w:val="22"/>
                <w:szCs w:val="22"/>
              </w:rPr>
              <w:t xml:space="preserve">TAK / NIE </w:t>
            </w: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(niepotrzebne usunąć)</w:t>
            </w:r>
          </w:p>
          <w:p w14:paraId="06D9EDE8" w14:textId="592BECE4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B75862B" w14:textId="63F5350D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Wyjaśnienie:</w:t>
            </w:r>
          </w:p>
          <w:p w14:paraId="0AB96D16" w14:textId="1972A625" w:rsidR="44BF3EE5" w:rsidRDefault="44BF3EE5" w:rsidP="44BF3EE5">
            <w:pPr>
              <w:pStyle w:val="Akapitzlist"/>
              <w:numPr>
                <w:ilvl w:val="0"/>
                <w:numId w:val="2"/>
              </w:numPr>
              <w:ind w:left="409" w:hanging="283"/>
              <w:jc w:val="both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Odpowiedź TAK oznacza, że projekt należy uznać za zgodny z zasadą DNSH.</w:t>
            </w:r>
          </w:p>
          <w:p w14:paraId="0BABD6F9" w14:textId="6FD551BA" w:rsidR="44BF3EE5" w:rsidRDefault="44BF3EE5" w:rsidP="44BF3EE5">
            <w:pPr>
              <w:pStyle w:val="Akapitzlist"/>
              <w:numPr>
                <w:ilvl w:val="0"/>
                <w:numId w:val="2"/>
              </w:numPr>
              <w:ind w:left="409" w:hanging="283"/>
              <w:jc w:val="both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Jeżeli odpowiedziano „NIE” - należy przejść do etapu II.</w:t>
            </w:r>
          </w:p>
          <w:p w14:paraId="7A3EE5FE" w14:textId="4015046D" w:rsidR="44BF3EE5" w:rsidRDefault="44BF3EE5" w:rsidP="44BF3EE5">
            <w:pPr>
              <w:pStyle w:val="Akapitzlist"/>
              <w:numPr>
                <w:ilvl w:val="0"/>
                <w:numId w:val="1"/>
              </w:numPr>
              <w:ind w:left="270" w:hanging="218"/>
              <w:jc w:val="both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Uwaga: należy uwzględnić fakt, że nie każdy cel środowiskowy wymaga udowodnienia pod kątem zgodności z zasadą DNSH: omawiany typ projektu z założenia nie szkodzi celom środowiskowym „Zrównoważone wykorzystywanie i ochrona zasobów wodnych i morskich” </w:t>
            </w:r>
            <w:r w:rsidR="6A3BBA66"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i ,,Ochrona i odbudowa bioróżnorodności i ekosystemów” </w:t>
            </w:r>
            <w:r w:rsidRPr="44BF3EE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- nie są zatem wymagane dowody na zgodność z tymi celami.</w:t>
            </w:r>
          </w:p>
        </w:tc>
      </w:tr>
    </w:tbl>
    <w:p w14:paraId="21B27E8E" w14:textId="60396D8C" w:rsidR="004D1B5C" w:rsidRPr="00BD22DB" w:rsidRDefault="2A6409A9" w:rsidP="44BF3EE5">
      <w:pPr>
        <w:spacing w:line="276" w:lineRule="auto"/>
      </w:pPr>
      <w:r w:rsidRPr="44BF3EE5">
        <w:rPr>
          <w:rFonts w:ascii="Calibri" w:eastAsia="Calibri" w:hAnsi="Calibri" w:cs="Calibri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6"/>
        <w:gridCol w:w="2397"/>
        <w:gridCol w:w="5829"/>
      </w:tblGrid>
      <w:tr w:rsidR="44BF3EE5" w14:paraId="313DCBC0" w14:textId="77777777" w:rsidTr="4C83A4D1">
        <w:trPr>
          <w:trHeight w:val="1110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6880B8F" w14:textId="24442525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 II. Dodatkowe ustalenia dotyczące zgodności z zasadą DNSH</w:t>
            </w:r>
            <w:r>
              <w:br/>
            </w:r>
            <w:r w:rsidRPr="44BF3EE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(należy wypełnić wyłącznie w przypadku, gdy w ramach etapu I nie wykazano dowodów (o ile były one wymagane) na zgodność z zasadą DNSH.</w:t>
            </w:r>
          </w:p>
        </w:tc>
      </w:tr>
      <w:tr w:rsidR="44BF3EE5" w14:paraId="4F35D304" w14:textId="77777777" w:rsidTr="4C83A4D1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7BC3840" w14:textId="62E6FFA5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C501DC6" w14:textId="26D0A207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Łagodzenie zmian klimatu</w:t>
            </w:r>
          </w:p>
        </w:tc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701664" w14:textId="7AFE17F2" w:rsidR="44BF3EE5" w:rsidRDefault="44BF3EE5" w:rsidP="44BF3EE5">
            <w:pPr>
              <w:jc w:val="both"/>
            </w:pPr>
            <w:r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Wyjaśnienie: </w:t>
            </w:r>
            <w:r w:rsidR="2621799E"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Beneficjent</w:t>
            </w:r>
            <w:r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może odwołać się np. do ustaleń wynikających z przepisów, norm i standardów technicznych.</w:t>
            </w:r>
          </w:p>
        </w:tc>
      </w:tr>
      <w:tr w:rsidR="44BF3EE5" w14:paraId="5BCC377B" w14:textId="77777777" w:rsidTr="4C83A4D1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F3C6E67" w14:textId="7666D9CF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7D8C5D1" w14:textId="636E98B0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Adaptacja do zmian klimatu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39A301" w14:textId="570F043D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jw.</w:t>
            </w:r>
          </w:p>
        </w:tc>
      </w:tr>
      <w:tr w:rsidR="44BF3EE5" w14:paraId="0084B49A" w14:textId="77777777" w:rsidTr="4C83A4D1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94C3038" w14:textId="264DB0EB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511A6AF" w14:textId="04CF7161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Zrównoważone wykorzystywanie i ochrona zasobów wodnych i morskich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AE1D14" w14:textId="3B13406F" w:rsidR="44BF3EE5" w:rsidRDefault="44BF3EE5" w:rsidP="4C83A4D1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Nie dotyczy (przedmiotowe typy projektów z założenia nie mają możliwości znaczącego negatywnego oddziaływania na ten cel środowiskowy).</w:t>
            </w:r>
          </w:p>
        </w:tc>
      </w:tr>
      <w:tr w:rsidR="44BF3EE5" w14:paraId="33184BE1" w14:textId="77777777" w:rsidTr="4C83A4D1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7493A08" w14:textId="50BC60E1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78FDC4F" w14:textId="5A1251E4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Przejście na gospodarkę o obiegu zamkniętym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CA0640" w14:textId="5F783923" w:rsidR="44BF3EE5" w:rsidRDefault="44BF3EE5" w:rsidP="44BF3EE5">
            <w:pPr>
              <w:jc w:val="both"/>
            </w:pPr>
            <w:r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Wyjaśnienie: </w:t>
            </w:r>
            <w:r w:rsidR="00EEED81"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Beneficjent</w:t>
            </w:r>
            <w:r w:rsidRPr="4C83A4D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może odwołać się np. do ustaleń wynikających z przepisów, norm i standardów technicznych.</w:t>
            </w:r>
          </w:p>
        </w:tc>
      </w:tr>
      <w:tr w:rsidR="44BF3EE5" w14:paraId="2C1FFF01" w14:textId="77777777" w:rsidTr="4C83A4D1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A9A0EF8" w14:textId="45049917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A75C3A3" w14:textId="58F69765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Zapobieganie zanieczyszczeniu i jego kontrola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E77429" w14:textId="4326B762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jw.</w:t>
            </w:r>
          </w:p>
        </w:tc>
      </w:tr>
      <w:tr w:rsidR="44BF3EE5" w14:paraId="4AE6A89D" w14:textId="77777777" w:rsidTr="4C83A4D1">
        <w:trPr>
          <w:trHeight w:val="8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A9832D1" w14:textId="14718F29" w:rsidR="44BF3EE5" w:rsidRDefault="44BF3EE5" w:rsidP="44BF3EE5">
            <w:pPr>
              <w:spacing w:after="120" w:line="276" w:lineRule="auto"/>
              <w:jc w:val="center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C5407D" w14:textId="74EE42B6" w:rsidR="44BF3EE5" w:rsidRDefault="44BF3EE5" w:rsidP="44BF3EE5">
            <w:pPr>
              <w:spacing w:after="120" w:line="276" w:lineRule="auto"/>
            </w:pPr>
            <w:r w:rsidRPr="44BF3E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Ochrona i odbudowa bioróżnorodności i ekosystemów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8B353F" w14:textId="404A1CCC" w:rsidR="44BF3EE5" w:rsidRDefault="44BF3EE5" w:rsidP="44BF3EE5">
            <w:pPr>
              <w:jc w:val="both"/>
            </w:pPr>
            <w:r w:rsidRPr="44BF3EE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jw.</w:t>
            </w:r>
          </w:p>
        </w:tc>
      </w:tr>
    </w:tbl>
    <w:p w14:paraId="022C99C6" w14:textId="29DDA74D" w:rsidR="004D1B5C" w:rsidRPr="00BD22DB" w:rsidRDefault="2A6409A9" w:rsidP="44BF3EE5">
      <w:pPr>
        <w:spacing w:line="276" w:lineRule="auto"/>
      </w:pPr>
      <w:r w:rsidRPr="44BF3EE5">
        <w:rPr>
          <w:rFonts w:ascii="Calibri" w:eastAsia="Calibri" w:hAnsi="Calibri" w:cs="Calibri"/>
          <w:sz w:val="22"/>
          <w:szCs w:val="22"/>
        </w:rPr>
        <w:t xml:space="preserve"> </w:t>
      </w:r>
    </w:p>
    <w:p w14:paraId="65434A2C" w14:textId="43452CEC" w:rsidR="004D1B5C" w:rsidRPr="00BD22DB" w:rsidRDefault="2A6409A9" w:rsidP="44BF3EE5">
      <w:pPr>
        <w:spacing w:line="276" w:lineRule="auto"/>
      </w:pPr>
      <w:r w:rsidRPr="44BF3EE5">
        <w:rPr>
          <w:rFonts w:ascii="Calibri" w:eastAsia="Calibri" w:hAnsi="Calibri" w:cs="Calibri"/>
          <w:sz w:val="22"/>
          <w:szCs w:val="22"/>
        </w:rPr>
        <w:t xml:space="preserve"> </w:t>
      </w:r>
    </w:p>
    <w:p w14:paraId="5DE9C2E7" w14:textId="786F142C" w:rsidR="004D1B5C" w:rsidRPr="00BD22DB" w:rsidRDefault="2A6409A9" w:rsidP="44BF3EE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44BF3EE5">
        <w:rPr>
          <w:rFonts w:ascii="Calibri" w:eastAsia="Calibri" w:hAnsi="Calibri" w:cs="Calibri"/>
          <w:sz w:val="22"/>
          <w:szCs w:val="22"/>
        </w:rPr>
        <w:t xml:space="preserve"> </w:t>
      </w:r>
      <w:r w:rsidR="004D1B5C">
        <w:tab/>
      </w:r>
      <w:r w:rsidR="004D1B5C">
        <w:tab/>
      </w:r>
      <w:r w:rsidR="004D1B5C">
        <w:tab/>
      </w:r>
      <w:r w:rsidR="004D1B5C">
        <w:tab/>
      </w:r>
      <w:r w:rsidRPr="44BF3EE5">
        <w:rPr>
          <w:rFonts w:ascii="Calibri" w:eastAsia="Calibri" w:hAnsi="Calibri" w:cs="Calibri"/>
        </w:rPr>
        <w:t>………………………………………………………………………………..…………..</w:t>
      </w:r>
    </w:p>
    <w:p w14:paraId="7D034983" w14:textId="71E14ADC" w:rsidR="004D1B5C" w:rsidRPr="00BD22DB" w:rsidRDefault="2A6409A9" w:rsidP="44BF3EE5">
      <w:pPr>
        <w:jc w:val="right"/>
      </w:pPr>
      <w:r w:rsidRPr="44BF3EE5">
        <w:rPr>
          <w:rFonts w:ascii="Calibri" w:eastAsia="Calibri" w:hAnsi="Calibri" w:cs="Calibri"/>
          <w:i/>
          <w:iCs/>
        </w:rPr>
        <w:t>Data i podpis osoby upoważnionej</w:t>
      </w:r>
    </w:p>
    <w:sectPr w:rsidR="004D1B5C" w:rsidRPr="00BD2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6A32" w14:textId="77777777" w:rsidR="00823D13" w:rsidRDefault="00823D13" w:rsidP="007A49DE">
      <w:r>
        <w:separator/>
      </w:r>
    </w:p>
  </w:endnote>
  <w:endnote w:type="continuationSeparator" w:id="0">
    <w:p w14:paraId="68F17BF0" w14:textId="77777777" w:rsidR="00823D13" w:rsidRDefault="00823D13" w:rsidP="007A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59EE" w14:textId="77777777" w:rsidR="00823D13" w:rsidRDefault="00823D13" w:rsidP="007A49DE">
      <w:r>
        <w:separator/>
      </w:r>
    </w:p>
  </w:footnote>
  <w:footnote w:type="continuationSeparator" w:id="0">
    <w:p w14:paraId="6AC315B0" w14:textId="77777777" w:rsidR="00823D13" w:rsidRDefault="00823D13" w:rsidP="007A49DE">
      <w:r>
        <w:continuationSeparator/>
      </w:r>
    </w:p>
  </w:footnote>
  <w:footnote w:id="1">
    <w:p w14:paraId="0C4CD525" w14:textId="77777777" w:rsidR="00BD22DB" w:rsidRPr="00D045DE" w:rsidRDefault="00BD22DB" w:rsidP="00BD22D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D045DE">
        <w:rPr>
          <w:rStyle w:val="Odwoanieprzypisudolnego"/>
          <w:rFonts w:ascii="Calibri" w:eastAsiaTheme="majorEastAsia" w:hAnsi="Calibri" w:cs="Calibri"/>
          <w:sz w:val="18"/>
          <w:szCs w:val="18"/>
        </w:rPr>
        <w:footnoteRef/>
      </w:r>
      <w:r w:rsidRPr="00D045DE">
        <w:rPr>
          <w:rFonts w:ascii="Calibri" w:hAnsi="Calibri" w:cs="Calibri"/>
          <w:sz w:val="18"/>
          <w:szCs w:val="18"/>
        </w:rPr>
        <w:t xml:space="preserve"> w rozumieniu art. 3 lit. b) i d) oraz art. 17 </w:t>
      </w:r>
      <w:r w:rsidRPr="00D045DE">
        <w:rPr>
          <w:rFonts w:ascii="Calibri" w:eastAsia="Calibri" w:hAnsi="Calibri" w:cs="Calibri"/>
          <w:sz w:val="18"/>
          <w:szCs w:val="18"/>
        </w:rPr>
        <w:t>rozporządzenia Parlamentu Europejskiego i Rady (UE) 2020/852 z dnia 18 czerwca 2020 r. w sprawie ustanowienia ram ułatwiających zrównoważone inwestycje, zmieniającego rozporządzenie (UE) 2019/2088</w:t>
      </w:r>
    </w:p>
  </w:footnote>
  <w:footnote w:id="2">
    <w:p w14:paraId="7A999187" w14:textId="77777777" w:rsidR="00BD22DB" w:rsidRPr="00591136" w:rsidRDefault="00BD22DB" w:rsidP="00BD22DB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D045DE">
        <w:rPr>
          <w:rStyle w:val="Odwoanieprzypisudolnego"/>
          <w:rFonts w:ascii="Calibri" w:eastAsiaTheme="majorEastAsia" w:hAnsi="Calibri" w:cs="Calibri"/>
          <w:sz w:val="18"/>
          <w:szCs w:val="18"/>
        </w:rPr>
        <w:footnoteRef/>
      </w:r>
      <w:r w:rsidRPr="00D045DE">
        <w:rPr>
          <w:rFonts w:ascii="Calibri" w:hAnsi="Calibri" w:cs="Calibri"/>
          <w:sz w:val="18"/>
          <w:szCs w:val="18"/>
        </w:rPr>
        <w:t xml:space="preserve"> </w:t>
      </w:r>
      <w:r w:rsidRPr="00D045DE">
        <w:rPr>
          <w:rFonts w:ascii="Calibri" w:eastAsia="Calibri" w:hAnsi="Calibri" w:cs="Calibri"/>
          <w:sz w:val="18"/>
          <w:szCs w:val="18"/>
        </w:rPr>
        <w:t>wskazanych w art. 9 rozporządzenia Parlamentu Europejskiego i Rady (UE) 2020/852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26"/>
    <w:multiLevelType w:val="multilevel"/>
    <w:tmpl w:val="C1A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A73CC"/>
    <w:multiLevelType w:val="multilevel"/>
    <w:tmpl w:val="466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36385"/>
    <w:multiLevelType w:val="multilevel"/>
    <w:tmpl w:val="744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95A1B"/>
    <w:multiLevelType w:val="multilevel"/>
    <w:tmpl w:val="FEE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85108"/>
    <w:multiLevelType w:val="hybridMultilevel"/>
    <w:tmpl w:val="C52A8ACC"/>
    <w:lvl w:ilvl="0" w:tplc="52EA591E">
      <w:start w:val="1"/>
      <w:numFmt w:val="decimal"/>
      <w:lvlText w:val="%1."/>
      <w:lvlJc w:val="left"/>
      <w:pPr>
        <w:ind w:left="720" w:hanging="360"/>
      </w:pPr>
    </w:lvl>
    <w:lvl w:ilvl="1" w:tplc="532AE908">
      <w:start w:val="1"/>
      <w:numFmt w:val="lowerLetter"/>
      <w:lvlText w:val="%2."/>
      <w:lvlJc w:val="left"/>
      <w:pPr>
        <w:ind w:left="1440" w:hanging="360"/>
      </w:pPr>
    </w:lvl>
    <w:lvl w:ilvl="2" w:tplc="9154C5E8">
      <w:start w:val="1"/>
      <w:numFmt w:val="lowerRoman"/>
      <w:lvlText w:val="%3."/>
      <w:lvlJc w:val="right"/>
      <w:pPr>
        <w:ind w:left="2160" w:hanging="180"/>
      </w:pPr>
    </w:lvl>
    <w:lvl w:ilvl="3" w:tplc="CFC8D348">
      <w:start w:val="1"/>
      <w:numFmt w:val="decimal"/>
      <w:lvlText w:val="%4."/>
      <w:lvlJc w:val="left"/>
      <w:pPr>
        <w:ind w:left="2880" w:hanging="360"/>
      </w:pPr>
    </w:lvl>
    <w:lvl w:ilvl="4" w:tplc="0E727CA4">
      <w:start w:val="1"/>
      <w:numFmt w:val="lowerLetter"/>
      <w:lvlText w:val="%5."/>
      <w:lvlJc w:val="left"/>
      <w:pPr>
        <w:ind w:left="3600" w:hanging="360"/>
      </w:pPr>
    </w:lvl>
    <w:lvl w:ilvl="5" w:tplc="3050FCC8">
      <w:start w:val="1"/>
      <w:numFmt w:val="lowerRoman"/>
      <w:lvlText w:val="%6."/>
      <w:lvlJc w:val="right"/>
      <w:pPr>
        <w:ind w:left="4320" w:hanging="180"/>
      </w:pPr>
    </w:lvl>
    <w:lvl w:ilvl="6" w:tplc="16D42AF0">
      <w:start w:val="1"/>
      <w:numFmt w:val="decimal"/>
      <w:lvlText w:val="%7."/>
      <w:lvlJc w:val="left"/>
      <w:pPr>
        <w:ind w:left="5040" w:hanging="360"/>
      </w:pPr>
    </w:lvl>
    <w:lvl w:ilvl="7" w:tplc="83747AF6">
      <w:start w:val="1"/>
      <w:numFmt w:val="lowerLetter"/>
      <w:lvlText w:val="%8."/>
      <w:lvlJc w:val="left"/>
      <w:pPr>
        <w:ind w:left="5760" w:hanging="360"/>
      </w:pPr>
    </w:lvl>
    <w:lvl w:ilvl="8" w:tplc="C4A21A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05D4"/>
    <w:multiLevelType w:val="multilevel"/>
    <w:tmpl w:val="AFD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962F0"/>
    <w:multiLevelType w:val="multilevel"/>
    <w:tmpl w:val="96D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A2B55"/>
    <w:multiLevelType w:val="multilevel"/>
    <w:tmpl w:val="4BA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AA3F47"/>
    <w:multiLevelType w:val="multilevel"/>
    <w:tmpl w:val="9C2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E74A70"/>
    <w:multiLevelType w:val="multilevel"/>
    <w:tmpl w:val="BDF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A5FB5"/>
    <w:multiLevelType w:val="multilevel"/>
    <w:tmpl w:val="B81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CD0B9D"/>
    <w:multiLevelType w:val="multilevel"/>
    <w:tmpl w:val="6FF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6059E"/>
    <w:multiLevelType w:val="multilevel"/>
    <w:tmpl w:val="544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7568F1"/>
    <w:multiLevelType w:val="hybridMultilevel"/>
    <w:tmpl w:val="445843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CA40A1"/>
    <w:multiLevelType w:val="multilevel"/>
    <w:tmpl w:val="426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CF360E"/>
    <w:multiLevelType w:val="multilevel"/>
    <w:tmpl w:val="055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D823DB"/>
    <w:multiLevelType w:val="multilevel"/>
    <w:tmpl w:val="82B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7A2468"/>
    <w:multiLevelType w:val="multilevel"/>
    <w:tmpl w:val="A206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4B872"/>
    <w:multiLevelType w:val="hybridMultilevel"/>
    <w:tmpl w:val="A43C2164"/>
    <w:lvl w:ilvl="0" w:tplc="60260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E4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9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2A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24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6D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D1FBD"/>
    <w:multiLevelType w:val="multilevel"/>
    <w:tmpl w:val="A268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F13E2E"/>
    <w:multiLevelType w:val="multilevel"/>
    <w:tmpl w:val="48C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7B4E8E"/>
    <w:multiLevelType w:val="multilevel"/>
    <w:tmpl w:val="AF1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B73534"/>
    <w:multiLevelType w:val="multilevel"/>
    <w:tmpl w:val="84A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602492"/>
    <w:multiLevelType w:val="multilevel"/>
    <w:tmpl w:val="548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935E3E"/>
    <w:multiLevelType w:val="multilevel"/>
    <w:tmpl w:val="7A7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44347">
    <w:abstractNumId w:val="18"/>
  </w:num>
  <w:num w:numId="2" w16cid:durableId="1216434200">
    <w:abstractNumId w:val="4"/>
  </w:num>
  <w:num w:numId="3" w16cid:durableId="1087461096">
    <w:abstractNumId w:val="13"/>
  </w:num>
  <w:num w:numId="4" w16cid:durableId="1085607690">
    <w:abstractNumId w:val="5"/>
  </w:num>
  <w:num w:numId="5" w16cid:durableId="1550725609">
    <w:abstractNumId w:val="9"/>
  </w:num>
  <w:num w:numId="6" w16cid:durableId="1663780325">
    <w:abstractNumId w:val="0"/>
  </w:num>
  <w:num w:numId="7" w16cid:durableId="23680690">
    <w:abstractNumId w:val="12"/>
  </w:num>
  <w:num w:numId="8" w16cid:durableId="1936667945">
    <w:abstractNumId w:val="14"/>
  </w:num>
  <w:num w:numId="9" w16cid:durableId="959411268">
    <w:abstractNumId w:val="8"/>
  </w:num>
  <w:num w:numId="10" w16cid:durableId="61760050">
    <w:abstractNumId w:val="6"/>
  </w:num>
  <w:num w:numId="11" w16cid:durableId="541213585">
    <w:abstractNumId w:val="23"/>
  </w:num>
  <w:num w:numId="12" w16cid:durableId="593519296">
    <w:abstractNumId w:val="21"/>
  </w:num>
  <w:num w:numId="13" w16cid:durableId="557017925">
    <w:abstractNumId w:val="10"/>
  </w:num>
  <w:num w:numId="14" w16cid:durableId="1170213997">
    <w:abstractNumId w:val="24"/>
  </w:num>
  <w:num w:numId="15" w16cid:durableId="316112846">
    <w:abstractNumId w:val="17"/>
  </w:num>
  <w:num w:numId="16" w16cid:durableId="285626043">
    <w:abstractNumId w:val="20"/>
  </w:num>
  <w:num w:numId="17" w16cid:durableId="770051327">
    <w:abstractNumId w:val="7"/>
  </w:num>
  <w:num w:numId="18" w16cid:durableId="2125615656">
    <w:abstractNumId w:val="11"/>
  </w:num>
  <w:num w:numId="19" w16cid:durableId="1533180831">
    <w:abstractNumId w:val="3"/>
  </w:num>
  <w:num w:numId="20" w16cid:durableId="2111928895">
    <w:abstractNumId w:val="16"/>
  </w:num>
  <w:num w:numId="21" w16cid:durableId="498348591">
    <w:abstractNumId w:val="1"/>
  </w:num>
  <w:num w:numId="22" w16cid:durableId="162471390">
    <w:abstractNumId w:val="22"/>
  </w:num>
  <w:num w:numId="23" w16cid:durableId="546841516">
    <w:abstractNumId w:val="2"/>
  </w:num>
  <w:num w:numId="24" w16cid:durableId="1187600025">
    <w:abstractNumId w:val="15"/>
  </w:num>
  <w:num w:numId="25" w16cid:durableId="111173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DE"/>
    <w:rsid w:val="001B39B7"/>
    <w:rsid w:val="004D1B5C"/>
    <w:rsid w:val="0058C54B"/>
    <w:rsid w:val="005E4886"/>
    <w:rsid w:val="00601B4A"/>
    <w:rsid w:val="007A49DE"/>
    <w:rsid w:val="007D09CC"/>
    <w:rsid w:val="00823D13"/>
    <w:rsid w:val="00927093"/>
    <w:rsid w:val="00BA0D97"/>
    <w:rsid w:val="00BD22DB"/>
    <w:rsid w:val="00EBE976"/>
    <w:rsid w:val="00EC5486"/>
    <w:rsid w:val="00EEED81"/>
    <w:rsid w:val="00FC0B95"/>
    <w:rsid w:val="00FE3139"/>
    <w:rsid w:val="05C0F04A"/>
    <w:rsid w:val="0CD3600C"/>
    <w:rsid w:val="0DAAE20E"/>
    <w:rsid w:val="0F8081E4"/>
    <w:rsid w:val="0FF4154A"/>
    <w:rsid w:val="11926008"/>
    <w:rsid w:val="129914F1"/>
    <w:rsid w:val="157AA352"/>
    <w:rsid w:val="16806C5D"/>
    <w:rsid w:val="18909886"/>
    <w:rsid w:val="19D4A43D"/>
    <w:rsid w:val="1A83ADA1"/>
    <w:rsid w:val="1AE8BBE6"/>
    <w:rsid w:val="1D490E61"/>
    <w:rsid w:val="1D4E1FE3"/>
    <w:rsid w:val="1D94DDAA"/>
    <w:rsid w:val="1E3A8E53"/>
    <w:rsid w:val="25EAF9FD"/>
    <w:rsid w:val="2621799E"/>
    <w:rsid w:val="2775CA4E"/>
    <w:rsid w:val="2779F8ED"/>
    <w:rsid w:val="2A6409A9"/>
    <w:rsid w:val="2B7E79F2"/>
    <w:rsid w:val="2E11E429"/>
    <w:rsid w:val="2FED4DC5"/>
    <w:rsid w:val="3275CB49"/>
    <w:rsid w:val="354C9599"/>
    <w:rsid w:val="357F648C"/>
    <w:rsid w:val="369CA5AE"/>
    <w:rsid w:val="3A28AA74"/>
    <w:rsid w:val="3CFEC2FF"/>
    <w:rsid w:val="408C4C82"/>
    <w:rsid w:val="422FC3B3"/>
    <w:rsid w:val="44BF3EE5"/>
    <w:rsid w:val="44EC9B83"/>
    <w:rsid w:val="4688893C"/>
    <w:rsid w:val="47090FA2"/>
    <w:rsid w:val="47E5F942"/>
    <w:rsid w:val="4810FBAB"/>
    <w:rsid w:val="48F2A4AB"/>
    <w:rsid w:val="49029FDB"/>
    <w:rsid w:val="4C83A4D1"/>
    <w:rsid w:val="4D0C7550"/>
    <w:rsid w:val="4D34F2E8"/>
    <w:rsid w:val="4E6FA606"/>
    <w:rsid w:val="52B9C7D1"/>
    <w:rsid w:val="53C43148"/>
    <w:rsid w:val="5499372A"/>
    <w:rsid w:val="54DB9CEE"/>
    <w:rsid w:val="563AE8AD"/>
    <w:rsid w:val="586743F2"/>
    <w:rsid w:val="58A35DA0"/>
    <w:rsid w:val="5950832F"/>
    <w:rsid w:val="5A853D9D"/>
    <w:rsid w:val="5F4490B3"/>
    <w:rsid w:val="61A287BA"/>
    <w:rsid w:val="64355BF6"/>
    <w:rsid w:val="64C57E67"/>
    <w:rsid w:val="66DF9365"/>
    <w:rsid w:val="674B5D44"/>
    <w:rsid w:val="6857B556"/>
    <w:rsid w:val="68A4AA82"/>
    <w:rsid w:val="69D700F2"/>
    <w:rsid w:val="69FCEC8A"/>
    <w:rsid w:val="6A3BBA66"/>
    <w:rsid w:val="6D464C22"/>
    <w:rsid w:val="6F16B44B"/>
    <w:rsid w:val="701895FE"/>
    <w:rsid w:val="74EE6505"/>
    <w:rsid w:val="75BC40D1"/>
    <w:rsid w:val="78299B3C"/>
    <w:rsid w:val="78DA5130"/>
    <w:rsid w:val="7C3AFDB3"/>
    <w:rsid w:val="7E7F47DE"/>
    <w:rsid w:val="7F0A9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B39E"/>
  <w15:chartTrackingRefBased/>
  <w15:docId w15:val="{309DB92A-0575-4AD1-B55D-23C637BE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9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9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9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9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9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9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9D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9D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9D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9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9D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9DE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7A49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ozatekst">
    <w:name w:val="!Progoza_tekst"/>
    <w:basedOn w:val="Normalny"/>
    <w:qFormat/>
    <w:rsid w:val="007A49DE"/>
    <w:pPr>
      <w:spacing w:after="120" w:line="276" w:lineRule="auto"/>
      <w:ind w:firstLine="284"/>
      <w:jc w:val="both"/>
    </w:pPr>
    <w:rPr>
      <w:rFonts w:ascii="Calibri Light" w:eastAsia="Calibri" w:hAnsi="Calibri Light" w:cs="Calibri Light"/>
      <w:bCs/>
      <w:sz w:val="22"/>
      <w:szCs w:val="22"/>
    </w:rPr>
  </w:style>
  <w:style w:type="paragraph" w:styleId="Tekstprzypisudolnego">
    <w:name w:val="footnote text"/>
    <w:aliases w:val="Podrozdział,Tekst przypisu,Fußnote,Footnote,Podrozdzia3,-E Fuﬂnotentext,Fuﬂnotentext Ursprung,Fußnotentext Ursprung,-E Fußnotentext,Footnote text,Tekst przypisu Znak Znak Znak Znak,Tekst przypisu Znak Znak Znak Znak Znak,FOOTNOTES"/>
    <w:basedOn w:val="Normalny"/>
    <w:link w:val="TekstprzypisudolnegoZnak"/>
    <w:uiPriority w:val="99"/>
    <w:unhideWhenUsed/>
    <w:qFormat/>
    <w:rsid w:val="007A49DE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ußnote Znak,Footnote Znak,Podrozdzia3 Znak,-E Fuﬂnotentext Znak,Fuﬂnotentext Ursprung Znak,Fußnotentext Ursprung Znak,-E Fußnotentext Znak,Footnote text Znak,FOOTNOTES Znak"/>
    <w:basedOn w:val="Domylnaczcionkaakapitu"/>
    <w:link w:val="Tekstprzypisudolnego"/>
    <w:uiPriority w:val="99"/>
    <w:qFormat/>
    <w:rsid w:val="007A49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Odwołanie przypisu Ola,Numbering - Footnote,ftref,SUPERS,Ref,number"/>
    <w:basedOn w:val="Domylnaczcionkaakapitu"/>
    <w:uiPriority w:val="99"/>
    <w:unhideWhenUsed/>
    <w:qFormat/>
    <w:rsid w:val="007A4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4387</Characters>
  <Application>Microsoft Office Word</Application>
  <DocSecurity>0</DocSecurity>
  <Lines>36</Lines>
  <Paragraphs>10</Paragraphs>
  <ScaleCrop>false</ScaleCrop>
  <Company>NFOSiGW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Wojewódzki Grzegorz</dc:creator>
  <cp:keywords/>
  <dc:description/>
  <cp:lastModifiedBy>Wojewódzki Grzegorz</cp:lastModifiedBy>
  <cp:revision>2</cp:revision>
  <dcterms:created xsi:type="dcterms:W3CDTF">2026-03-19T12:16:00Z</dcterms:created>
  <dcterms:modified xsi:type="dcterms:W3CDTF">2026-03-19T12:16:00Z</dcterms:modified>
</cp:coreProperties>
</file>