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DCC80" w14:textId="77777777" w:rsidR="00C50DD6" w:rsidRPr="00AB5A54" w:rsidRDefault="00C50DD6" w:rsidP="00AB5A54">
      <w:pPr>
        <w:spacing w:after="0"/>
        <w:jc w:val="both"/>
        <w:rPr>
          <w:rFonts w:ascii="Arial" w:hAnsi="Arial" w:cs="Arial"/>
          <w:b/>
          <w:sz w:val="20"/>
          <w:szCs w:val="20"/>
        </w:rPr>
      </w:pPr>
      <w:r w:rsidRPr="00AB5A54">
        <w:rPr>
          <w:rFonts w:ascii="Arial" w:hAnsi="Arial" w:cs="Arial"/>
          <w:b/>
          <w:sz w:val="20"/>
          <w:szCs w:val="20"/>
        </w:rPr>
        <w:t>TOM III</w:t>
      </w:r>
    </w:p>
    <w:p w14:paraId="067B082B" w14:textId="77777777" w:rsidR="00C50DD6" w:rsidRPr="00AB5A54" w:rsidRDefault="00C50DD6" w:rsidP="00AB5A54">
      <w:pPr>
        <w:spacing w:after="0"/>
        <w:jc w:val="both"/>
        <w:rPr>
          <w:rFonts w:ascii="Arial" w:hAnsi="Arial" w:cs="Arial"/>
          <w:b/>
          <w:sz w:val="20"/>
          <w:szCs w:val="20"/>
        </w:rPr>
      </w:pPr>
      <w:r w:rsidRPr="00AB5A54">
        <w:rPr>
          <w:rFonts w:ascii="Arial" w:hAnsi="Arial" w:cs="Arial"/>
          <w:b/>
          <w:sz w:val="20"/>
          <w:szCs w:val="20"/>
        </w:rPr>
        <w:t>OPIS PRZEDMIOTU ZAMÓWIENIA</w:t>
      </w:r>
    </w:p>
    <w:p w14:paraId="38F51FE8" w14:textId="77777777" w:rsidR="00C50DD6" w:rsidRPr="00AB5A54" w:rsidRDefault="00C50DD6" w:rsidP="00AB5A54">
      <w:pPr>
        <w:pStyle w:val="Nagwek1"/>
        <w:numPr>
          <w:ilvl w:val="0"/>
          <w:numId w:val="0"/>
        </w:numPr>
        <w:ind w:left="432" w:hanging="432"/>
        <w:jc w:val="both"/>
        <w:rPr>
          <w:rFonts w:ascii="Arial" w:hAnsi="Arial" w:cs="Arial"/>
          <w:szCs w:val="20"/>
        </w:rPr>
      </w:pPr>
      <w:r w:rsidRPr="00AB5A54">
        <w:rPr>
          <w:rFonts w:ascii="Arial" w:hAnsi="Arial" w:cs="Arial"/>
          <w:szCs w:val="20"/>
        </w:rPr>
        <w:t>1. Wstęp</w:t>
      </w:r>
    </w:p>
    <w:p w14:paraId="2ED5D4CB" w14:textId="77777777" w:rsidR="00C50DD6" w:rsidRPr="00AB5A54" w:rsidRDefault="00C50DD6" w:rsidP="00AB5A54">
      <w:pPr>
        <w:pStyle w:val="Nagwek2"/>
        <w:ind w:left="576" w:hanging="576"/>
        <w:jc w:val="both"/>
        <w:rPr>
          <w:rFonts w:ascii="Arial" w:hAnsi="Arial" w:cs="Arial"/>
          <w:szCs w:val="20"/>
        </w:rPr>
      </w:pPr>
      <w:r w:rsidRPr="00AB5A54">
        <w:rPr>
          <w:rFonts w:ascii="Arial" w:hAnsi="Arial" w:cs="Arial"/>
          <w:szCs w:val="20"/>
        </w:rPr>
        <w:t>Przedmiot OPZ:</w:t>
      </w:r>
    </w:p>
    <w:p w14:paraId="5C512B3D" w14:textId="77777777" w:rsidR="00C50DD6" w:rsidRPr="00AB5A54" w:rsidRDefault="00C50DD6" w:rsidP="00AB5A54">
      <w:pPr>
        <w:spacing w:after="0"/>
        <w:jc w:val="both"/>
        <w:rPr>
          <w:rFonts w:ascii="Arial" w:hAnsi="Arial" w:cs="Arial"/>
          <w:sz w:val="20"/>
          <w:szCs w:val="20"/>
        </w:rPr>
      </w:pPr>
      <w:r w:rsidRPr="00AB5A54">
        <w:rPr>
          <w:rFonts w:ascii="Arial" w:hAnsi="Arial" w:cs="Arial"/>
          <w:sz w:val="20"/>
          <w:szCs w:val="20"/>
        </w:rPr>
        <w:t xml:space="preserve">Przedmiotem niniejszego opisu przedmiotu zamówienia są wymagania dotyczące </w:t>
      </w:r>
    </w:p>
    <w:p w14:paraId="30F4A58B" w14:textId="77777777" w:rsidR="00C50DD6" w:rsidRPr="00AB5A54" w:rsidRDefault="00C50DD6" w:rsidP="00AB5A54">
      <w:pPr>
        <w:spacing w:after="0"/>
        <w:jc w:val="both"/>
        <w:rPr>
          <w:rFonts w:ascii="Arial" w:hAnsi="Arial" w:cs="Arial"/>
          <w:sz w:val="20"/>
          <w:szCs w:val="20"/>
        </w:rPr>
      </w:pPr>
      <w:r w:rsidRPr="00AB5A54">
        <w:rPr>
          <w:rFonts w:ascii="Arial" w:hAnsi="Arial" w:cs="Arial"/>
          <w:b/>
          <w:sz w:val="20"/>
          <w:szCs w:val="20"/>
        </w:rPr>
        <w:t>Remontu magazynu soli  polegający na wymianie pokrycia dachu z gontów wraz z wymianą obróbki blacharskiej OD Elbląg</w:t>
      </w:r>
    </w:p>
    <w:p w14:paraId="347F8BEE" w14:textId="77777777" w:rsidR="00C50DD6" w:rsidRPr="00AB5A54" w:rsidRDefault="00C50DD6" w:rsidP="00AB5A54">
      <w:pPr>
        <w:pStyle w:val="Nagwek2"/>
        <w:jc w:val="both"/>
        <w:rPr>
          <w:rFonts w:ascii="Arial" w:hAnsi="Arial" w:cs="Arial"/>
          <w:szCs w:val="20"/>
        </w:rPr>
      </w:pPr>
      <w:r w:rsidRPr="00AB5A54">
        <w:rPr>
          <w:rFonts w:ascii="Arial" w:hAnsi="Arial" w:cs="Arial"/>
          <w:szCs w:val="20"/>
        </w:rPr>
        <w:t>Zakres stosowania OPZ:</w:t>
      </w:r>
    </w:p>
    <w:p w14:paraId="449803B7" w14:textId="4F2F206C" w:rsidR="00C50DD6" w:rsidRPr="00AB5A54" w:rsidRDefault="00C50DD6" w:rsidP="00AB5A54">
      <w:pPr>
        <w:spacing w:after="0"/>
        <w:jc w:val="both"/>
        <w:rPr>
          <w:rFonts w:ascii="Arial" w:hAnsi="Arial" w:cs="Arial"/>
          <w:sz w:val="20"/>
          <w:szCs w:val="20"/>
        </w:rPr>
      </w:pPr>
      <w:r w:rsidRPr="00AB5A54">
        <w:rPr>
          <w:rFonts w:ascii="Arial" w:hAnsi="Arial" w:cs="Arial"/>
          <w:sz w:val="20"/>
          <w:szCs w:val="20"/>
        </w:rPr>
        <w:t>Opis przedmiotu zamówienia jest stosowany jako dokument do postępowania zamówieniowego przy zlecaniu i realizacji robót wymienionych w pkt. 1.</w:t>
      </w:r>
      <w:r w:rsidR="00A03F1C">
        <w:rPr>
          <w:rFonts w:ascii="Arial" w:hAnsi="Arial" w:cs="Arial"/>
          <w:sz w:val="20"/>
          <w:szCs w:val="20"/>
        </w:rPr>
        <w:t xml:space="preserve">  </w:t>
      </w:r>
      <w:r w:rsidRPr="00AB5A54">
        <w:rPr>
          <w:rFonts w:ascii="Arial" w:hAnsi="Arial" w:cs="Arial"/>
          <w:sz w:val="20"/>
          <w:szCs w:val="20"/>
        </w:rPr>
        <w:t>Zakres objęty OPZ:</w:t>
      </w:r>
    </w:p>
    <w:p w14:paraId="16D363C4" w14:textId="77777777" w:rsidR="00C50DD6" w:rsidRPr="00AB5A54" w:rsidRDefault="00C50DD6" w:rsidP="00AB5A54">
      <w:pPr>
        <w:spacing w:after="0"/>
        <w:jc w:val="both"/>
        <w:rPr>
          <w:rFonts w:ascii="Arial" w:hAnsi="Arial" w:cs="Arial"/>
          <w:sz w:val="20"/>
          <w:szCs w:val="20"/>
        </w:rPr>
      </w:pPr>
      <w:r w:rsidRPr="00AB5A54">
        <w:rPr>
          <w:rFonts w:ascii="Arial" w:hAnsi="Arial" w:cs="Arial"/>
          <w:sz w:val="20"/>
          <w:szCs w:val="20"/>
        </w:rPr>
        <w:t>Roboty, których dotyczy opis, obejmują czynności umożliwiające i mające na celu wykonanie remontu magazynu soli.</w:t>
      </w:r>
    </w:p>
    <w:p w14:paraId="46A71957" w14:textId="77777777" w:rsidR="00C50DD6" w:rsidRPr="00AB5A54" w:rsidRDefault="00C50DD6" w:rsidP="00AB5A54">
      <w:pPr>
        <w:pStyle w:val="Nagwek1"/>
        <w:numPr>
          <w:ilvl w:val="0"/>
          <w:numId w:val="0"/>
        </w:numPr>
        <w:ind w:left="432" w:hanging="432"/>
        <w:jc w:val="both"/>
        <w:rPr>
          <w:rFonts w:ascii="Arial" w:hAnsi="Arial" w:cs="Arial"/>
          <w:szCs w:val="20"/>
        </w:rPr>
      </w:pPr>
      <w:r w:rsidRPr="00AB5A54">
        <w:rPr>
          <w:rFonts w:ascii="Arial" w:hAnsi="Arial" w:cs="Arial"/>
          <w:szCs w:val="20"/>
        </w:rPr>
        <w:t>Materiały:</w:t>
      </w:r>
    </w:p>
    <w:p w14:paraId="27E3BCA0" w14:textId="79F1AB9D" w:rsidR="00AB5A54" w:rsidRPr="00AB5A54" w:rsidRDefault="00C50DD6" w:rsidP="00AB5A54">
      <w:pPr>
        <w:pStyle w:val="Nagwek2"/>
        <w:numPr>
          <w:ilvl w:val="0"/>
          <w:numId w:val="4"/>
        </w:numPr>
        <w:jc w:val="both"/>
        <w:rPr>
          <w:rFonts w:ascii="Arial" w:hAnsi="Arial" w:cs="Arial"/>
          <w:szCs w:val="20"/>
        </w:rPr>
      </w:pPr>
      <w:r w:rsidRPr="00AB5A54">
        <w:rPr>
          <w:rFonts w:ascii="Arial" w:hAnsi="Arial" w:cs="Arial"/>
          <w:szCs w:val="20"/>
        </w:rPr>
        <w:t>Dachówka Bitumiczna - Gont bitumiczny (wzór i kolor do ustalenia z Zamawiającym w momencie realizacji zamówienia).</w:t>
      </w:r>
    </w:p>
    <w:p w14:paraId="476F0FA4" w14:textId="2A5C926B" w:rsidR="00C50DD6" w:rsidRDefault="00C50DD6" w:rsidP="00AB5A54">
      <w:pPr>
        <w:pStyle w:val="Nagwek2"/>
        <w:numPr>
          <w:ilvl w:val="0"/>
          <w:numId w:val="4"/>
        </w:numPr>
        <w:jc w:val="both"/>
        <w:rPr>
          <w:rFonts w:ascii="Arial" w:hAnsi="Arial" w:cs="Arial"/>
          <w:szCs w:val="20"/>
        </w:rPr>
      </w:pPr>
      <w:r w:rsidRPr="00AB5A54">
        <w:rPr>
          <w:rFonts w:ascii="Arial" w:hAnsi="Arial" w:cs="Arial"/>
          <w:szCs w:val="20"/>
        </w:rPr>
        <w:t>Gwoździe ocynkowane.</w:t>
      </w:r>
    </w:p>
    <w:p w14:paraId="0AB7D661" w14:textId="77777777" w:rsidR="00C50DD6" w:rsidRPr="00AB5A54" w:rsidRDefault="00C50DD6" w:rsidP="00AB5A54">
      <w:pPr>
        <w:pStyle w:val="Nagwek2"/>
        <w:numPr>
          <w:ilvl w:val="0"/>
          <w:numId w:val="4"/>
        </w:numPr>
        <w:jc w:val="both"/>
        <w:rPr>
          <w:rFonts w:ascii="Arial" w:hAnsi="Arial" w:cs="Arial"/>
          <w:szCs w:val="20"/>
        </w:rPr>
      </w:pPr>
      <w:r w:rsidRPr="00AB5A54">
        <w:rPr>
          <w:rFonts w:ascii="Arial" w:hAnsi="Arial" w:cs="Arial"/>
          <w:szCs w:val="20"/>
        </w:rPr>
        <w:t>Wkręty farmerskie z uszczelką.</w:t>
      </w:r>
    </w:p>
    <w:p w14:paraId="49A80BDF" w14:textId="77777777" w:rsidR="00C50DD6" w:rsidRPr="00AB5A54" w:rsidRDefault="00C50DD6" w:rsidP="00AB5A54">
      <w:pPr>
        <w:pStyle w:val="Nagwek2"/>
        <w:numPr>
          <w:ilvl w:val="0"/>
          <w:numId w:val="4"/>
        </w:numPr>
        <w:jc w:val="both"/>
        <w:rPr>
          <w:rFonts w:ascii="Arial" w:hAnsi="Arial" w:cs="Arial"/>
          <w:szCs w:val="20"/>
        </w:rPr>
      </w:pPr>
      <w:r w:rsidRPr="00AB5A54">
        <w:rPr>
          <w:rFonts w:ascii="Arial" w:hAnsi="Arial" w:cs="Arial"/>
          <w:szCs w:val="20"/>
        </w:rPr>
        <w:t>Blacha do obróbek blacharskich ocynkowana grubości minimum 0,8 mm lub aluminiowa grubości minimum 0,7 mm.</w:t>
      </w:r>
    </w:p>
    <w:p w14:paraId="4EDC5289" w14:textId="77777777" w:rsidR="00C50DD6" w:rsidRPr="00AB5A54" w:rsidRDefault="00C50DD6" w:rsidP="00AB5A54">
      <w:pPr>
        <w:pStyle w:val="Nagwek2"/>
        <w:numPr>
          <w:ilvl w:val="0"/>
          <w:numId w:val="4"/>
        </w:numPr>
        <w:jc w:val="both"/>
        <w:rPr>
          <w:rFonts w:ascii="Arial" w:hAnsi="Arial" w:cs="Arial"/>
          <w:szCs w:val="20"/>
        </w:rPr>
      </w:pPr>
      <w:r w:rsidRPr="00AB5A54">
        <w:rPr>
          <w:rFonts w:ascii="Arial" w:hAnsi="Arial" w:cs="Arial"/>
          <w:szCs w:val="20"/>
        </w:rPr>
        <w:t>Rynny półokrągłe i rynny spustowe.</w:t>
      </w:r>
    </w:p>
    <w:p w14:paraId="75573A84" w14:textId="77777777" w:rsidR="00C50DD6" w:rsidRPr="00AB5A54" w:rsidRDefault="00C50DD6" w:rsidP="00AB5A54">
      <w:pPr>
        <w:pStyle w:val="Nagwek2"/>
        <w:numPr>
          <w:ilvl w:val="0"/>
          <w:numId w:val="4"/>
        </w:numPr>
        <w:jc w:val="both"/>
        <w:rPr>
          <w:rFonts w:ascii="Arial" w:hAnsi="Arial" w:cs="Arial"/>
          <w:szCs w:val="20"/>
        </w:rPr>
      </w:pPr>
      <w:r w:rsidRPr="00AB5A54">
        <w:rPr>
          <w:rFonts w:ascii="Arial" w:hAnsi="Arial" w:cs="Arial"/>
          <w:szCs w:val="20"/>
        </w:rPr>
        <w:t>Zwody odgromowe ø 8 mm</w:t>
      </w:r>
    </w:p>
    <w:p w14:paraId="2E6CD79C" w14:textId="77777777" w:rsidR="00C50DD6" w:rsidRPr="00AB5A54" w:rsidRDefault="00C50DD6" w:rsidP="00AB5A54">
      <w:pPr>
        <w:pStyle w:val="Nagwek2"/>
        <w:numPr>
          <w:ilvl w:val="0"/>
          <w:numId w:val="4"/>
        </w:numPr>
        <w:jc w:val="both"/>
        <w:rPr>
          <w:rFonts w:ascii="Arial" w:hAnsi="Arial" w:cs="Arial"/>
          <w:szCs w:val="20"/>
        </w:rPr>
      </w:pPr>
      <w:r w:rsidRPr="00AB5A54">
        <w:rPr>
          <w:rFonts w:ascii="Arial" w:hAnsi="Arial" w:cs="Arial"/>
          <w:szCs w:val="20"/>
        </w:rPr>
        <w:t>Farba podkładowa, antykorozyjna i wierzchniego krycia.</w:t>
      </w:r>
    </w:p>
    <w:p w14:paraId="209846AD" w14:textId="77777777" w:rsidR="00C50DD6" w:rsidRPr="00AB5A54" w:rsidRDefault="00C50DD6" w:rsidP="00AB5A54">
      <w:pPr>
        <w:pStyle w:val="Nagwek2"/>
        <w:numPr>
          <w:ilvl w:val="0"/>
          <w:numId w:val="4"/>
        </w:numPr>
        <w:jc w:val="both"/>
        <w:rPr>
          <w:rFonts w:ascii="Arial" w:hAnsi="Arial" w:cs="Arial"/>
          <w:szCs w:val="20"/>
        </w:rPr>
      </w:pPr>
      <w:r w:rsidRPr="00AB5A54">
        <w:rPr>
          <w:rFonts w:ascii="Arial" w:hAnsi="Arial" w:cs="Arial"/>
          <w:szCs w:val="20"/>
        </w:rPr>
        <w:t>Drewno konstrukcyjne impregnowane.</w:t>
      </w:r>
    </w:p>
    <w:p w14:paraId="0CDC2DDF" w14:textId="77777777" w:rsidR="00C50DD6" w:rsidRPr="00AB5A54" w:rsidRDefault="00C50DD6" w:rsidP="00AB5A54">
      <w:pPr>
        <w:pStyle w:val="Nagwek2"/>
        <w:numPr>
          <w:ilvl w:val="0"/>
          <w:numId w:val="4"/>
        </w:numPr>
        <w:jc w:val="both"/>
        <w:rPr>
          <w:rFonts w:ascii="Arial" w:hAnsi="Arial" w:cs="Arial"/>
          <w:szCs w:val="20"/>
        </w:rPr>
      </w:pPr>
      <w:r w:rsidRPr="00AB5A54">
        <w:rPr>
          <w:rFonts w:ascii="Arial" w:hAnsi="Arial" w:cs="Arial"/>
          <w:szCs w:val="20"/>
        </w:rPr>
        <w:t>Płyta OSB wodoodporna 18 mm.</w:t>
      </w:r>
    </w:p>
    <w:p w14:paraId="75D88160" w14:textId="77777777" w:rsidR="00C50DD6" w:rsidRPr="00AB5A54" w:rsidRDefault="00C50DD6" w:rsidP="00AB5A54">
      <w:pPr>
        <w:pStyle w:val="Nagwek2"/>
        <w:numPr>
          <w:ilvl w:val="0"/>
          <w:numId w:val="4"/>
        </w:numPr>
        <w:jc w:val="both"/>
        <w:rPr>
          <w:rFonts w:ascii="Arial" w:hAnsi="Arial" w:cs="Arial"/>
          <w:szCs w:val="20"/>
        </w:rPr>
      </w:pPr>
      <w:r w:rsidRPr="00AB5A54">
        <w:rPr>
          <w:rFonts w:ascii="Arial" w:hAnsi="Arial" w:cs="Arial"/>
          <w:szCs w:val="20"/>
        </w:rPr>
        <w:t>Papa podkładowa.</w:t>
      </w:r>
    </w:p>
    <w:p w14:paraId="0DE83704" w14:textId="77777777" w:rsidR="00C50DD6" w:rsidRPr="00AB5A54" w:rsidRDefault="00C50DD6" w:rsidP="00AB5A54">
      <w:pPr>
        <w:pStyle w:val="Nagwek2"/>
        <w:numPr>
          <w:ilvl w:val="0"/>
          <w:numId w:val="4"/>
        </w:numPr>
        <w:jc w:val="both"/>
        <w:rPr>
          <w:rFonts w:ascii="Arial" w:hAnsi="Arial" w:cs="Arial"/>
          <w:szCs w:val="20"/>
        </w:rPr>
      </w:pPr>
      <w:r w:rsidRPr="00AB5A54">
        <w:rPr>
          <w:rFonts w:ascii="Arial" w:hAnsi="Arial" w:cs="Arial"/>
          <w:szCs w:val="20"/>
        </w:rPr>
        <w:t>Papa nawierzchniowa termozgrzewalna.</w:t>
      </w:r>
    </w:p>
    <w:p w14:paraId="209340BD" w14:textId="76CAB341" w:rsidR="00C50DD6" w:rsidRPr="00AB5A54" w:rsidRDefault="00C50DD6" w:rsidP="00AB5A54">
      <w:pPr>
        <w:pStyle w:val="Nagwek2"/>
        <w:numPr>
          <w:ilvl w:val="0"/>
          <w:numId w:val="4"/>
        </w:numPr>
        <w:jc w:val="both"/>
        <w:rPr>
          <w:rFonts w:ascii="Arial" w:hAnsi="Arial" w:cs="Arial"/>
          <w:szCs w:val="20"/>
        </w:rPr>
      </w:pPr>
      <w:r w:rsidRPr="00AB5A54">
        <w:rPr>
          <w:rFonts w:ascii="Arial" w:hAnsi="Arial" w:cs="Arial"/>
          <w:szCs w:val="20"/>
        </w:rPr>
        <w:t xml:space="preserve">Preparat impregnujący do drewna, </w:t>
      </w:r>
      <w:proofErr w:type="spellStart"/>
      <w:r w:rsidRPr="00AB5A54">
        <w:rPr>
          <w:rFonts w:ascii="Arial" w:hAnsi="Arial" w:cs="Arial"/>
          <w:szCs w:val="20"/>
        </w:rPr>
        <w:t>lakie</w:t>
      </w:r>
      <w:r w:rsidR="00DD3139" w:rsidRPr="00AB5A54">
        <w:rPr>
          <w:rFonts w:ascii="Arial" w:hAnsi="Arial" w:cs="Arial"/>
          <w:szCs w:val="20"/>
        </w:rPr>
        <w:t>r</w:t>
      </w:r>
      <w:r w:rsidRPr="00AB5A54">
        <w:rPr>
          <w:rFonts w:ascii="Arial" w:hAnsi="Arial" w:cs="Arial"/>
          <w:szCs w:val="20"/>
        </w:rPr>
        <w:t>obejca</w:t>
      </w:r>
      <w:proofErr w:type="spellEnd"/>
      <w:r w:rsidRPr="00AB5A54">
        <w:rPr>
          <w:rFonts w:ascii="Arial" w:hAnsi="Arial" w:cs="Arial"/>
          <w:szCs w:val="20"/>
        </w:rPr>
        <w:t>.</w:t>
      </w:r>
    </w:p>
    <w:p w14:paraId="4C27538C" w14:textId="77777777" w:rsidR="00C50DD6" w:rsidRPr="00AB5A54" w:rsidRDefault="00C50DD6" w:rsidP="00AB5A54">
      <w:pPr>
        <w:pStyle w:val="Nagwek2"/>
        <w:numPr>
          <w:ilvl w:val="0"/>
          <w:numId w:val="4"/>
        </w:numPr>
        <w:jc w:val="both"/>
        <w:rPr>
          <w:rFonts w:ascii="Arial" w:hAnsi="Arial" w:cs="Arial"/>
          <w:szCs w:val="20"/>
        </w:rPr>
      </w:pPr>
      <w:r w:rsidRPr="00AB5A54">
        <w:rPr>
          <w:rFonts w:ascii="Arial" w:hAnsi="Arial" w:cs="Arial"/>
          <w:szCs w:val="20"/>
        </w:rPr>
        <w:t>Masa/materiał szpachlujący do wypełniania ubytków w drewnie.</w:t>
      </w:r>
    </w:p>
    <w:p w14:paraId="1BBD073D" w14:textId="77777777" w:rsidR="00C50DD6" w:rsidRPr="00AB5A54" w:rsidRDefault="00C50DD6" w:rsidP="00AB5A54">
      <w:pPr>
        <w:pStyle w:val="Nagwek2"/>
        <w:numPr>
          <w:ilvl w:val="0"/>
          <w:numId w:val="4"/>
        </w:numPr>
        <w:jc w:val="both"/>
        <w:rPr>
          <w:rFonts w:ascii="Arial" w:hAnsi="Arial" w:cs="Arial"/>
          <w:noProof/>
          <w:szCs w:val="20"/>
          <w:lang w:eastAsia="pl-PL"/>
        </w:rPr>
      </w:pPr>
      <w:r w:rsidRPr="00AB5A54">
        <w:rPr>
          <w:rFonts w:ascii="Arial" w:hAnsi="Arial" w:cs="Arial"/>
          <w:noProof/>
          <w:szCs w:val="20"/>
          <w:lang w:eastAsia="pl-PL"/>
        </w:rPr>
        <w:t>Uszczelniacz dekarski;</w:t>
      </w:r>
    </w:p>
    <w:p w14:paraId="630D73D6" w14:textId="77777777" w:rsidR="00C50DD6" w:rsidRPr="00AB5A54" w:rsidRDefault="00C50DD6" w:rsidP="00AB5A54">
      <w:pPr>
        <w:jc w:val="both"/>
        <w:rPr>
          <w:rFonts w:ascii="Arial" w:hAnsi="Arial" w:cs="Arial"/>
          <w:sz w:val="20"/>
          <w:szCs w:val="20"/>
          <w:lang w:eastAsia="pl-PL"/>
        </w:rPr>
      </w:pPr>
    </w:p>
    <w:p w14:paraId="42F20694" w14:textId="0D530F90" w:rsidR="00C50DD6" w:rsidRPr="00AB5A54" w:rsidRDefault="00A03F1C" w:rsidP="00A03F1C">
      <w:pPr>
        <w:pStyle w:val="Nagwek1"/>
        <w:numPr>
          <w:ilvl w:val="0"/>
          <w:numId w:val="0"/>
        </w:numPr>
        <w:ind w:left="432" w:hanging="432"/>
        <w:jc w:val="both"/>
        <w:rPr>
          <w:rFonts w:ascii="Arial" w:hAnsi="Arial" w:cs="Arial"/>
          <w:szCs w:val="20"/>
        </w:rPr>
      </w:pPr>
      <w:r>
        <w:rPr>
          <w:rFonts w:ascii="Arial" w:hAnsi="Arial" w:cs="Arial"/>
          <w:szCs w:val="20"/>
        </w:rPr>
        <w:t xml:space="preserve">2. </w:t>
      </w:r>
      <w:r w:rsidR="00C50DD6" w:rsidRPr="00AB5A54">
        <w:rPr>
          <w:rFonts w:ascii="Arial" w:hAnsi="Arial" w:cs="Arial"/>
          <w:szCs w:val="20"/>
        </w:rPr>
        <w:t>Wykonanie robót</w:t>
      </w:r>
    </w:p>
    <w:p w14:paraId="59F33D52" w14:textId="77777777" w:rsidR="00C50DD6" w:rsidRPr="00AB5A54" w:rsidRDefault="00C50DD6" w:rsidP="00AB5A54">
      <w:pPr>
        <w:pStyle w:val="Nagwek2"/>
        <w:ind w:left="576" w:hanging="576"/>
        <w:jc w:val="both"/>
        <w:rPr>
          <w:rFonts w:ascii="Arial" w:hAnsi="Arial" w:cs="Arial"/>
          <w:szCs w:val="20"/>
        </w:rPr>
      </w:pPr>
      <w:r w:rsidRPr="00AB5A54">
        <w:rPr>
          <w:rFonts w:ascii="Arial" w:hAnsi="Arial" w:cs="Arial"/>
          <w:szCs w:val="20"/>
        </w:rPr>
        <w:t>Wymagania ogólne.</w:t>
      </w:r>
    </w:p>
    <w:p w14:paraId="63845FA8" w14:textId="0CDCE651" w:rsidR="00C50DD6" w:rsidRPr="00AB5A54" w:rsidRDefault="00C50DD6" w:rsidP="00AB5A54">
      <w:pPr>
        <w:pStyle w:val="Nagwek3"/>
        <w:numPr>
          <w:ilvl w:val="0"/>
          <w:numId w:val="0"/>
        </w:numPr>
        <w:jc w:val="both"/>
        <w:rPr>
          <w:rFonts w:ascii="Arial" w:hAnsi="Arial" w:cs="Arial"/>
          <w:szCs w:val="20"/>
        </w:rPr>
      </w:pPr>
      <w:r w:rsidRPr="00AB5A54">
        <w:rPr>
          <w:rFonts w:ascii="Arial" w:hAnsi="Arial" w:cs="Arial"/>
          <w:szCs w:val="20"/>
        </w:rPr>
        <w:t>Wszystkie materiały użyte do realizacji zadania, wykonawca ma obowiązek zgłosić do akceptacji Zamawiającego przed wbudowaniem. Wykonawca przedstawi wraz ze zgłoszeniem wymagane dla materiałów atesty i aprobaty techniczne potwierdzające jakość i zgodność z wymaganiami. Prowadzenie wszelkich prac powinno odbywać się zgodnie ze sztuką budowlaną oraz zasadami BHP.</w:t>
      </w:r>
    </w:p>
    <w:p w14:paraId="6856AD4F" w14:textId="77777777" w:rsidR="00C50DD6" w:rsidRPr="00AB5A54" w:rsidRDefault="00C50DD6" w:rsidP="00AB5A54">
      <w:pPr>
        <w:pStyle w:val="Nagwek2"/>
        <w:ind w:left="576" w:hanging="576"/>
        <w:jc w:val="both"/>
        <w:rPr>
          <w:rFonts w:ascii="Arial" w:hAnsi="Arial" w:cs="Arial"/>
          <w:szCs w:val="20"/>
        </w:rPr>
      </w:pPr>
      <w:r w:rsidRPr="00AB5A54">
        <w:rPr>
          <w:rFonts w:ascii="Arial" w:hAnsi="Arial" w:cs="Arial"/>
          <w:szCs w:val="20"/>
        </w:rPr>
        <w:t>Prace przygotowawcze.</w:t>
      </w:r>
    </w:p>
    <w:p w14:paraId="6043A483" w14:textId="6D793B8A" w:rsidR="00C50DD6" w:rsidRDefault="00C50DD6" w:rsidP="00AB5A54">
      <w:pPr>
        <w:pStyle w:val="Nagwek3"/>
        <w:numPr>
          <w:ilvl w:val="0"/>
          <w:numId w:val="0"/>
        </w:numPr>
        <w:jc w:val="both"/>
        <w:rPr>
          <w:rFonts w:ascii="Arial" w:hAnsi="Arial" w:cs="Arial"/>
          <w:szCs w:val="20"/>
        </w:rPr>
      </w:pPr>
      <w:r w:rsidRPr="00AB5A54">
        <w:rPr>
          <w:rFonts w:ascii="Arial" w:hAnsi="Arial" w:cs="Arial"/>
          <w:szCs w:val="20"/>
        </w:rPr>
        <w:t>Rozbiórkę należy wykonać ręcznie przy pomocy narzędzi. Robotnicy wykonujący prace rozbiórkowe powinni posiadać ubiór zapewniający bezpieczeństwo podczas prac. Wykonawca na swój koszt zutylizuje materiały powstałe w wyniku rozbiórki. Wszelkie prace rozbiórkowe należy przeprowadzić w sposób powodujący minimalne zanieczyszczenie pomieszczeń nieremontowanych. W przypadku wykonywania prac mogących zanieczyścić znajdujący się w magazynie towar Wykonawca zobowiązuje się do zabezpieczenia go w odpowiedni sposób. Wszelkie materiały rozbiórkowe nie przeznaczone do powtórnego wmontowania, stają się własnością Wykonawcy. Wykonawca zobowiązany jest do bieżącego ich wywozu. Nie dopuszcza się składowania materiałów z rozbiórki na terenie GDDKiA Rejon w Elblągu.</w:t>
      </w:r>
    </w:p>
    <w:p w14:paraId="5EEE1624" w14:textId="77777777" w:rsidR="00AB5A54" w:rsidRPr="00AB5A54" w:rsidRDefault="00AB5A54" w:rsidP="00AB5A54"/>
    <w:p w14:paraId="4362313B" w14:textId="1FB1794F" w:rsidR="00C50DD6" w:rsidRPr="00AB5A54" w:rsidRDefault="00EB21FC" w:rsidP="00AB5A54">
      <w:pPr>
        <w:pStyle w:val="Nagwek2"/>
        <w:ind w:left="576" w:hanging="576"/>
        <w:jc w:val="both"/>
        <w:rPr>
          <w:rFonts w:ascii="Arial" w:hAnsi="Arial" w:cs="Arial"/>
          <w:szCs w:val="20"/>
        </w:rPr>
      </w:pPr>
      <w:r w:rsidRPr="00AB5A54">
        <w:rPr>
          <w:rFonts w:ascii="Arial" w:hAnsi="Arial" w:cs="Arial"/>
          <w:b/>
          <w:bCs/>
          <w:szCs w:val="20"/>
        </w:rPr>
        <w:lastRenderedPageBreak/>
        <w:t>3.</w:t>
      </w:r>
      <w:r w:rsidRPr="00AB5A54">
        <w:rPr>
          <w:rFonts w:ascii="Arial" w:hAnsi="Arial" w:cs="Arial"/>
          <w:szCs w:val="20"/>
        </w:rPr>
        <w:t xml:space="preserve"> </w:t>
      </w:r>
      <w:r w:rsidR="00C50DD6" w:rsidRPr="00AB5A54">
        <w:rPr>
          <w:rFonts w:ascii="Arial" w:hAnsi="Arial" w:cs="Arial"/>
          <w:b/>
          <w:bCs/>
          <w:szCs w:val="20"/>
        </w:rPr>
        <w:t xml:space="preserve">Ułożenie dachówki </w:t>
      </w:r>
      <w:proofErr w:type="spellStart"/>
      <w:r w:rsidR="00C50DD6" w:rsidRPr="00AB5A54">
        <w:rPr>
          <w:rFonts w:ascii="Arial" w:hAnsi="Arial" w:cs="Arial"/>
          <w:b/>
          <w:bCs/>
          <w:szCs w:val="20"/>
        </w:rPr>
        <w:t>bitumiczej</w:t>
      </w:r>
      <w:proofErr w:type="spellEnd"/>
      <w:r w:rsidR="00C50DD6" w:rsidRPr="00AB5A54">
        <w:rPr>
          <w:rFonts w:ascii="Arial" w:hAnsi="Arial" w:cs="Arial"/>
          <w:b/>
          <w:bCs/>
          <w:szCs w:val="20"/>
        </w:rPr>
        <w:t xml:space="preserve"> (gontu bitumicznego)</w:t>
      </w:r>
    </w:p>
    <w:p w14:paraId="76877D86" w14:textId="77777777" w:rsidR="00EB21FC" w:rsidRPr="00AB5A54" w:rsidRDefault="00EB21FC" w:rsidP="00AB5A54">
      <w:pPr>
        <w:jc w:val="both"/>
        <w:rPr>
          <w:rFonts w:ascii="Arial" w:hAnsi="Arial" w:cs="Arial"/>
          <w:sz w:val="20"/>
          <w:szCs w:val="20"/>
        </w:rPr>
      </w:pPr>
    </w:p>
    <w:p w14:paraId="7AEEA786" w14:textId="08B67AFC" w:rsidR="00547232" w:rsidRPr="00AB5A54" w:rsidRDefault="00547232" w:rsidP="00AB5A54">
      <w:pPr>
        <w:pStyle w:val="Bezodstpw"/>
        <w:jc w:val="both"/>
        <w:rPr>
          <w:rFonts w:ascii="Arial" w:hAnsi="Arial" w:cs="Arial"/>
          <w:sz w:val="20"/>
          <w:szCs w:val="20"/>
          <w:lang w:eastAsia="pl-PL"/>
        </w:rPr>
      </w:pPr>
      <w:r w:rsidRPr="00AB5A54">
        <w:rPr>
          <w:rFonts w:ascii="Arial" w:hAnsi="Arial" w:cs="Arial"/>
          <w:b/>
          <w:bCs/>
          <w:sz w:val="20"/>
          <w:szCs w:val="20"/>
          <w:lang w:eastAsia="pl-PL"/>
        </w:rPr>
        <w:t>Materiał:</w:t>
      </w:r>
      <w:r w:rsidR="00EB21FC" w:rsidRPr="00AB5A54">
        <w:rPr>
          <w:rFonts w:ascii="Arial" w:hAnsi="Arial" w:cs="Arial"/>
          <w:b/>
          <w:bCs/>
          <w:sz w:val="20"/>
          <w:szCs w:val="20"/>
          <w:lang w:eastAsia="pl-PL"/>
        </w:rPr>
        <w:t xml:space="preserve"> </w:t>
      </w:r>
      <w:r w:rsidRPr="00AB5A54">
        <w:rPr>
          <w:rFonts w:ascii="Arial" w:hAnsi="Arial" w:cs="Arial"/>
          <w:sz w:val="20"/>
          <w:szCs w:val="20"/>
          <w:lang w:eastAsia="pl-PL"/>
        </w:rPr>
        <w:t>Gonty winny składać się z  składają się z pięciu warstw, z których każda indywidualnie spełnia konkretne zadanie.</w:t>
      </w:r>
    </w:p>
    <w:p w14:paraId="309DA762" w14:textId="77777777" w:rsidR="00547232" w:rsidRPr="00AB5A54" w:rsidRDefault="00547232" w:rsidP="00AB5A54">
      <w:pPr>
        <w:pStyle w:val="Bezodstpw"/>
        <w:jc w:val="both"/>
        <w:rPr>
          <w:rFonts w:ascii="Arial" w:hAnsi="Arial" w:cs="Arial"/>
          <w:sz w:val="20"/>
          <w:szCs w:val="20"/>
          <w:lang w:eastAsia="pl-PL"/>
        </w:rPr>
      </w:pPr>
      <w:r w:rsidRPr="00AB5A54">
        <w:rPr>
          <w:rFonts w:ascii="Arial" w:hAnsi="Arial" w:cs="Arial"/>
          <w:sz w:val="20"/>
          <w:szCs w:val="20"/>
          <w:lang w:eastAsia="pl-PL"/>
        </w:rPr>
        <w:t>1 warstwą jest rdzeń, którego tworzy welon z włókna szklanego. Nadaje on każdej dachówce bitumicznej wytrzymałość na rozciąganie. Zapobiega także tworzeniu się na powierzchni produktu różnego rodzaju pęcherzy oraz sfałdowań. Nie gnije oraz jest odporny na działanie ognia.</w:t>
      </w:r>
    </w:p>
    <w:p w14:paraId="2B2B1D11" w14:textId="77777777" w:rsidR="00547232" w:rsidRPr="00AB5A54" w:rsidRDefault="00547232" w:rsidP="00AB5A54">
      <w:pPr>
        <w:pStyle w:val="Bezodstpw"/>
        <w:jc w:val="both"/>
        <w:rPr>
          <w:rFonts w:ascii="Arial" w:hAnsi="Arial" w:cs="Arial"/>
          <w:sz w:val="20"/>
          <w:szCs w:val="20"/>
          <w:lang w:eastAsia="pl-PL"/>
        </w:rPr>
      </w:pPr>
      <w:r w:rsidRPr="00AB5A54">
        <w:rPr>
          <w:rFonts w:ascii="Arial" w:hAnsi="Arial" w:cs="Arial"/>
          <w:sz w:val="20"/>
          <w:szCs w:val="20"/>
          <w:lang w:eastAsia="pl-PL"/>
        </w:rPr>
        <w:t> </w:t>
      </w:r>
    </w:p>
    <w:p w14:paraId="3006CD13" w14:textId="77777777" w:rsidR="00547232" w:rsidRPr="00AB5A54" w:rsidRDefault="00547232" w:rsidP="00AB5A54">
      <w:pPr>
        <w:pStyle w:val="Bezodstpw"/>
        <w:jc w:val="both"/>
        <w:rPr>
          <w:rFonts w:ascii="Arial" w:hAnsi="Arial" w:cs="Arial"/>
          <w:sz w:val="20"/>
          <w:szCs w:val="20"/>
          <w:lang w:eastAsia="pl-PL"/>
        </w:rPr>
      </w:pPr>
      <w:r w:rsidRPr="00AB5A54">
        <w:rPr>
          <w:rFonts w:ascii="Arial" w:hAnsi="Arial" w:cs="Arial"/>
          <w:sz w:val="20"/>
          <w:szCs w:val="20"/>
          <w:lang w:eastAsia="pl-PL"/>
        </w:rPr>
        <w:t>2,3 warstwy izolacyjne, których są zazwyczaj dwie. Wykonane z wysokiej jakości masy bitumicznej (stosowany jest najczęściej asfalt oksydowany lub też modyfikowany SBS) o dużej twardości wraz z wypełniaczami mineralnymi, zapewniającymi odpowiednią sztywność. Wspomniane warstwy sprawiają, że przez gont bitumiczny nie przedostanie się wilgoć.</w:t>
      </w:r>
    </w:p>
    <w:p w14:paraId="0FF618B6" w14:textId="77777777" w:rsidR="00547232" w:rsidRPr="00AB5A54" w:rsidRDefault="00547232" w:rsidP="00AB5A54">
      <w:pPr>
        <w:pStyle w:val="Bezodstpw"/>
        <w:jc w:val="both"/>
        <w:rPr>
          <w:rFonts w:ascii="Arial" w:hAnsi="Arial" w:cs="Arial"/>
          <w:sz w:val="20"/>
          <w:szCs w:val="20"/>
          <w:lang w:eastAsia="pl-PL"/>
        </w:rPr>
      </w:pPr>
      <w:r w:rsidRPr="00AB5A54">
        <w:rPr>
          <w:rFonts w:ascii="Arial" w:hAnsi="Arial" w:cs="Arial"/>
          <w:sz w:val="20"/>
          <w:szCs w:val="20"/>
          <w:lang w:eastAsia="pl-PL"/>
        </w:rPr>
        <w:t> </w:t>
      </w:r>
    </w:p>
    <w:p w14:paraId="6F1ECA8B" w14:textId="77777777" w:rsidR="00547232" w:rsidRPr="00AB5A54" w:rsidRDefault="00547232" w:rsidP="00AB5A54">
      <w:pPr>
        <w:pStyle w:val="Bezodstpw"/>
        <w:jc w:val="both"/>
        <w:rPr>
          <w:rFonts w:ascii="Arial" w:hAnsi="Arial" w:cs="Arial"/>
          <w:sz w:val="20"/>
          <w:szCs w:val="20"/>
          <w:lang w:eastAsia="pl-PL"/>
        </w:rPr>
      </w:pPr>
      <w:r w:rsidRPr="00AB5A54">
        <w:rPr>
          <w:rFonts w:ascii="Arial" w:hAnsi="Arial" w:cs="Arial"/>
          <w:sz w:val="20"/>
          <w:szCs w:val="20"/>
          <w:lang w:eastAsia="pl-PL"/>
        </w:rPr>
        <w:t>4 warstwą jest podkład, który stanowi warstwa posypki piaskowej lub też specjalnej folii. Ma ona na celu zabezpieczenie dachówki bitumicznej przed sklejaniem się w czasie transportu oraz składowania.</w:t>
      </w:r>
    </w:p>
    <w:p w14:paraId="0B4D1AD4" w14:textId="77777777" w:rsidR="00547232" w:rsidRPr="00AB5A54" w:rsidRDefault="00547232" w:rsidP="00AB5A54">
      <w:pPr>
        <w:pStyle w:val="Bezodstpw"/>
        <w:jc w:val="both"/>
        <w:rPr>
          <w:rFonts w:ascii="Arial" w:hAnsi="Arial" w:cs="Arial"/>
          <w:sz w:val="20"/>
          <w:szCs w:val="20"/>
          <w:lang w:eastAsia="pl-PL"/>
        </w:rPr>
      </w:pPr>
      <w:r w:rsidRPr="00AB5A54">
        <w:rPr>
          <w:rFonts w:ascii="Arial" w:hAnsi="Arial" w:cs="Arial"/>
          <w:sz w:val="20"/>
          <w:szCs w:val="20"/>
          <w:lang w:eastAsia="pl-PL"/>
        </w:rPr>
        <w:t> </w:t>
      </w:r>
    </w:p>
    <w:p w14:paraId="280AF2E3" w14:textId="77777777" w:rsidR="00547232" w:rsidRPr="00AB5A54" w:rsidRDefault="00547232" w:rsidP="00AB5A54">
      <w:pPr>
        <w:pStyle w:val="Bezodstpw"/>
        <w:jc w:val="both"/>
        <w:rPr>
          <w:rFonts w:ascii="Arial" w:hAnsi="Arial" w:cs="Arial"/>
          <w:sz w:val="20"/>
          <w:szCs w:val="20"/>
          <w:lang w:eastAsia="pl-PL"/>
        </w:rPr>
      </w:pPr>
      <w:r w:rsidRPr="00AB5A54">
        <w:rPr>
          <w:rFonts w:ascii="Arial" w:hAnsi="Arial" w:cs="Arial"/>
          <w:sz w:val="20"/>
          <w:szCs w:val="20"/>
          <w:lang w:eastAsia="pl-PL"/>
        </w:rPr>
        <w:t>5 warstwa wierzchnia, którą tworzy posypka mineralna (najczęściej jest ona wykonana z </w:t>
      </w:r>
      <w:hyperlink r:id="rId8" w:tooltip="bazalt" w:history="1">
        <w:r w:rsidRPr="00AB5A54">
          <w:rPr>
            <w:rFonts w:ascii="Arial" w:hAnsi="Arial" w:cs="Arial"/>
            <w:sz w:val="20"/>
            <w:szCs w:val="20"/>
            <w:lang w:eastAsia="pl-PL"/>
          </w:rPr>
          <w:t>bazaltu</w:t>
        </w:r>
      </w:hyperlink>
      <w:r w:rsidRPr="00AB5A54">
        <w:rPr>
          <w:rFonts w:ascii="Arial" w:hAnsi="Arial" w:cs="Arial"/>
          <w:sz w:val="20"/>
          <w:szCs w:val="20"/>
          <w:lang w:eastAsia="pl-PL"/>
        </w:rPr>
        <w:t>) w dowolnym kolorze. Nadaje ona produktowi dekoracyjny wygląd, jak również chroni przed bezpośrednim działaniem promieni słonecznych. Niekiedy producenci dodają tlenek miedzi który zapobiega powstawaniu glonów i mchów.</w:t>
      </w:r>
    </w:p>
    <w:p w14:paraId="4714A6F6" w14:textId="77777777" w:rsidR="00547232" w:rsidRPr="00AB5A54" w:rsidRDefault="00547232" w:rsidP="00AB5A54">
      <w:pPr>
        <w:pStyle w:val="Bezodstpw"/>
        <w:jc w:val="both"/>
        <w:rPr>
          <w:rFonts w:ascii="Arial" w:hAnsi="Arial" w:cs="Arial"/>
          <w:sz w:val="20"/>
          <w:szCs w:val="20"/>
          <w:lang w:eastAsia="pl-PL"/>
        </w:rPr>
      </w:pPr>
      <w:r w:rsidRPr="00AB5A54">
        <w:rPr>
          <w:rFonts w:ascii="Arial" w:hAnsi="Arial" w:cs="Arial"/>
          <w:sz w:val="20"/>
          <w:szCs w:val="20"/>
          <w:lang w:eastAsia="pl-PL"/>
        </w:rPr>
        <w:t> </w:t>
      </w:r>
    </w:p>
    <w:p w14:paraId="07F46001" w14:textId="64C97844" w:rsidR="00547232" w:rsidRPr="00AB5A54" w:rsidRDefault="00547232" w:rsidP="00AB5A54">
      <w:pPr>
        <w:pStyle w:val="Bezodstpw"/>
        <w:jc w:val="both"/>
        <w:rPr>
          <w:rFonts w:ascii="Arial" w:hAnsi="Arial" w:cs="Arial"/>
          <w:b/>
          <w:bCs/>
          <w:sz w:val="20"/>
          <w:szCs w:val="20"/>
          <w:lang w:eastAsia="pl-PL"/>
        </w:rPr>
      </w:pPr>
      <w:r w:rsidRPr="00AB5A54">
        <w:rPr>
          <w:rFonts w:ascii="Arial" w:hAnsi="Arial" w:cs="Arial"/>
          <w:b/>
          <w:bCs/>
          <w:sz w:val="20"/>
          <w:szCs w:val="20"/>
          <w:lang w:eastAsia="pl-PL"/>
        </w:rPr>
        <w:t>Wykonanie prac: </w:t>
      </w:r>
      <w:r w:rsidRPr="00AB5A54">
        <w:rPr>
          <w:rFonts w:ascii="Arial" w:hAnsi="Arial" w:cs="Arial"/>
          <w:sz w:val="20"/>
          <w:szCs w:val="20"/>
          <w:lang w:eastAsia="pl-PL"/>
        </w:rPr>
        <w:t xml:space="preserve">Przed ułożeniem należy dokładnie sprawdzić, drewniane podłoże – jeżeli okaże się że podłoże z desek lub płyty </w:t>
      </w:r>
      <w:proofErr w:type="spellStart"/>
      <w:r w:rsidRPr="00AB5A54">
        <w:rPr>
          <w:rFonts w:ascii="Arial" w:hAnsi="Arial" w:cs="Arial"/>
          <w:sz w:val="20"/>
          <w:szCs w:val="20"/>
          <w:lang w:eastAsia="pl-PL"/>
        </w:rPr>
        <w:t>osb</w:t>
      </w:r>
      <w:proofErr w:type="spellEnd"/>
      <w:r w:rsidRPr="00AB5A54">
        <w:rPr>
          <w:rFonts w:ascii="Arial" w:hAnsi="Arial" w:cs="Arial"/>
          <w:sz w:val="20"/>
          <w:szCs w:val="20"/>
          <w:lang w:eastAsia="pl-PL"/>
        </w:rPr>
        <w:t xml:space="preserve"> jest uszkodzone</w:t>
      </w:r>
      <w:r w:rsidR="00D973F0">
        <w:rPr>
          <w:rFonts w:ascii="Arial" w:hAnsi="Arial" w:cs="Arial"/>
          <w:sz w:val="20"/>
          <w:szCs w:val="20"/>
          <w:lang w:eastAsia="pl-PL"/>
        </w:rPr>
        <w:t xml:space="preserve"> mechanicznie</w:t>
      </w:r>
      <w:r w:rsidRPr="00AB5A54">
        <w:rPr>
          <w:rFonts w:ascii="Arial" w:hAnsi="Arial" w:cs="Arial"/>
          <w:sz w:val="20"/>
          <w:szCs w:val="20"/>
          <w:lang w:eastAsia="pl-PL"/>
        </w:rPr>
        <w:t xml:space="preserve"> lub zniszczone warunkami atmosferycznymi to takie elementy wymieniamy na nowe. Należy upewnić się, że są to połacie do których można wbijać wystarczającą ilość gwoździ, charakteryzujących się odpowiednią wielkością. Pokrywane poszycia muszą dodatkowo być odpowiednio gładkie. W przypadku dachów nowych gont najczęściej jest układany na poszyciu z płyt OSB lub desek.</w:t>
      </w:r>
    </w:p>
    <w:p w14:paraId="1FC1F876" w14:textId="6046BE8E" w:rsidR="00547232" w:rsidRPr="00AB5A54" w:rsidRDefault="00547232" w:rsidP="00AB5A54">
      <w:pPr>
        <w:pStyle w:val="Bezodstpw"/>
        <w:jc w:val="both"/>
        <w:rPr>
          <w:rFonts w:ascii="Arial" w:hAnsi="Arial" w:cs="Arial"/>
          <w:sz w:val="20"/>
          <w:szCs w:val="20"/>
          <w:lang w:eastAsia="pl-PL"/>
        </w:rPr>
      </w:pPr>
      <w:r w:rsidRPr="00AB5A54">
        <w:rPr>
          <w:rFonts w:ascii="Arial" w:hAnsi="Arial" w:cs="Arial"/>
          <w:sz w:val="20"/>
          <w:szCs w:val="20"/>
          <w:lang w:eastAsia="pl-PL"/>
        </w:rPr>
        <w:t>Należy zwrócić również uwagę na obciążenie szczytu dachu. Używane paczki gontów powinno się układać na płasko. Nie można wyginać ich na kalenicach. W przypadku poszycia dachu producent zaleca wykonanie tego elementu z płyty OSB, charakteryzującej się minimalną grubością 18 mm. Płyty należy odpowiednio dopasować do rozstawu krokwi, aby łączenia poszczególnych elementów występowały na krokwiach. Zalecane jest także zastosowanie od 2 do 3 mm dylatacji, występującej pomiędzy płytami. Jest to konieczne na wypadek pracy drewna, związanej bezpośrednio z jego wilgotnością( w zależności od warunków atmosferycznych oraz sposobu przechowywania płyt </w:t>
      </w:r>
      <w:hyperlink r:id="rId9" w:tooltip="płyta OSB" w:history="1">
        <w:r w:rsidRPr="00AB5A54">
          <w:rPr>
            <w:rFonts w:ascii="Arial" w:hAnsi="Arial" w:cs="Arial"/>
            <w:sz w:val="20"/>
            <w:szCs w:val="20"/>
            <w:u w:val="single"/>
            <w:lang w:eastAsia="pl-PL"/>
          </w:rPr>
          <w:t>OSB</w:t>
        </w:r>
      </w:hyperlink>
      <w:r w:rsidRPr="00AB5A54">
        <w:rPr>
          <w:rFonts w:ascii="Arial" w:hAnsi="Arial" w:cs="Arial"/>
          <w:sz w:val="20"/>
          <w:szCs w:val="20"/>
          <w:lang w:eastAsia="pl-PL"/>
        </w:rPr>
        <w:t>, ich wilgotność może ulegać dużej zmianie).</w:t>
      </w:r>
    </w:p>
    <w:p w14:paraId="27DBDC8D" w14:textId="0C270C22" w:rsidR="00547232" w:rsidRPr="00AB5A54" w:rsidRDefault="00547232" w:rsidP="00AB5A54">
      <w:pPr>
        <w:pStyle w:val="Bezodstpw"/>
        <w:jc w:val="both"/>
        <w:rPr>
          <w:rFonts w:ascii="Arial" w:hAnsi="Arial" w:cs="Arial"/>
          <w:sz w:val="20"/>
          <w:szCs w:val="20"/>
          <w:lang w:eastAsia="pl-PL"/>
        </w:rPr>
      </w:pPr>
      <w:r w:rsidRPr="00AB5A54">
        <w:rPr>
          <w:rFonts w:ascii="Arial" w:hAnsi="Arial" w:cs="Arial"/>
          <w:sz w:val="20"/>
          <w:szCs w:val="20"/>
          <w:lang w:eastAsia="pl-PL"/>
        </w:rPr>
        <w:t>Dopuszcza się również zastosowanie na poszycie dachu odpowiedniego deskowania pełnego. Grubość wspomnianych desek musi zapewnić sztywność podłoża. Przy danym rozstawie krokwi nie może być jednak mniejsza niż 25 mm. Deski powinno układać się stroną dordzeniową do góry, a ich łączenia muszą wypadać bezpośrednio na krokwiach. W przypadku zastosowania wspomnianego poszycia, zaleca się montaż specjalnej papy podkładowej,</w:t>
      </w:r>
      <w:r w:rsidR="00D973F0">
        <w:rPr>
          <w:rFonts w:ascii="Arial" w:hAnsi="Arial" w:cs="Arial"/>
          <w:sz w:val="20"/>
          <w:szCs w:val="20"/>
          <w:lang w:eastAsia="pl-PL"/>
        </w:rPr>
        <w:t xml:space="preserve"> np. </w:t>
      </w:r>
      <w:r w:rsidRPr="00AB5A54">
        <w:rPr>
          <w:rFonts w:ascii="Arial" w:hAnsi="Arial" w:cs="Arial"/>
          <w:sz w:val="20"/>
          <w:szCs w:val="20"/>
          <w:lang w:eastAsia="pl-PL"/>
        </w:rPr>
        <w:t xml:space="preserve"> model SBS BP </w:t>
      </w:r>
      <w:proofErr w:type="spellStart"/>
      <w:r w:rsidRPr="00AB5A54">
        <w:rPr>
          <w:rFonts w:ascii="Arial" w:hAnsi="Arial" w:cs="Arial"/>
          <w:sz w:val="20"/>
          <w:szCs w:val="20"/>
          <w:lang w:eastAsia="pl-PL"/>
        </w:rPr>
        <w:t>HeavyMat</w:t>
      </w:r>
      <w:proofErr w:type="spellEnd"/>
      <w:r w:rsidRPr="00AB5A54">
        <w:rPr>
          <w:rFonts w:ascii="Arial" w:hAnsi="Arial" w:cs="Arial"/>
          <w:sz w:val="20"/>
          <w:szCs w:val="20"/>
          <w:lang w:eastAsia="pl-PL"/>
        </w:rPr>
        <w:t xml:space="preserve"> 450 lub </w:t>
      </w:r>
      <w:proofErr w:type="spellStart"/>
      <w:r w:rsidRPr="00AB5A54">
        <w:rPr>
          <w:rFonts w:ascii="Arial" w:hAnsi="Arial" w:cs="Arial"/>
          <w:sz w:val="20"/>
          <w:szCs w:val="20"/>
          <w:lang w:eastAsia="pl-PL"/>
        </w:rPr>
        <w:t>Mida</w:t>
      </w:r>
      <w:proofErr w:type="spellEnd"/>
      <w:r w:rsidRPr="00AB5A54">
        <w:rPr>
          <w:rFonts w:ascii="Arial" w:hAnsi="Arial" w:cs="Arial"/>
          <w:sz w:val="20"/>
          <w:szCs w:val="20"/>
          <w:lang w:eastAsia="pl-PL"/>
        </w:rPr>
        <w:t xml:space="preserve"> </w:t>
      </w:r>
      <w:proofErr w:type="spellStart"/>
      <w:r w:rsidRPr="00AB5A54">
        <w:rPr>
          <w:rFonts w:ascii="Arial" w:hAnsi="Arial" w:cs="Arial"/>
          <w:sz w:val="20"/>
          <w:szCs w:val="20"/>
          <w:lang w:eastAsia="pl-PL"/>
        </w:rPr>
        <w:t>Roof-fix</w:t>
      </w:r>
      <w:proofErr w:type="spellEnd"/>
      <w:r w:rsidRPr="00AB5A54">
        <w:rPr>
          <w:rFonts w:ascii="Arial" w:hAnsi="Arial" w:cs="Arial"/>
          <w:sz w:val="20"/>
          <w:szCs w:val="20"/>
          <w:lang w:eastAsia="pl-PL"/>
        </w:rPr>
        <w:t>. Możliwe jest również zastosowanie deskowania, jak również płyty OSB jednocześnie.</w:t>
      </w:r>
    </w:p>
    <w:p w14:paraId="38A8C964" w14:textId="77777777" w:rsidR="00547232" w:rsidRPr="00AB5A54" w:rsidRDefault="00547232" w:rsidP="00AB5A54">
      <w:pPr>
        <w:pStyle w:val="Bezodstpw"/>
        <w:jc w:val="both"/>
        <w:rPr>
          <w:rFonts w:ascii="Arial" w:hAnsi="Arial" w:cs="Arial"/>
          <w:sz w:val="20"/>
          <w:szCs w:val="20"/>
          <w:lang w:eastAsia="pl-PL"/>
        </w:rPr>
      </w:pPr>
      <w:r w:rsidRPr="00AB5A54">
        <w:rPr>
          <w:rFonts w:ascii="Arial" w:hAnsi="Arial" w:cs="Arial"/>
          <w:sz w:val="20"/>
          <w:szCs w:val="20"/>
          <w:lang w:eastAsia="pl-PL"/>
        </w:rPr>
        <w:t>Podczas wymiany starego pokrycia dachu na nowe, gdy odsłonięte zostanie stare poszycie zrobione z desek będących jeszcze w bardzo dobrym stanie, lecz z widocznymi nierównościami, dopuszczalne jest ich pozostawienie. W tym przypadku możliwe jest zastosowanie cienkiej płyty OSB, w celu wyrównania powierzchni pod nasz gont.</w:t>
      </w:r>
    </w:p>
    <w:p w14:paraId="3E42D5B3" w14:textId="77777777" w:rsidR="00547232" w:rsidRPr="00AB5A54" w:rsidRDefault="00547232" w:rsidP="00AB5A54">
      <w:pPr>
        <w:pStyle w:val="Bezodstpw"/>
        <w:jc w:val="both"/>
        <w:rPr>
          <w:rFonts w:ascii="Arial" w:hAnsi="Arial" w:cs="Arial"/>
          <w:sz w:val="20"/>
          <w:szCs w:val="20"/>
          <w:lang w:eastAsia="pl-PL"/>
        </w:rPr>
      </w:pPr>
      <w:r w:rsidRPr="00AB5A54">
        <w:rPr>
          <w:rFonts w:ascii="Arial" w:hAnsi="Arial" w:cs="Arial"/>
          <w:sz w:val="20"/>
          <w:szCs w:val="20"/>
          <w:lang w:eastAsia="pl-PL"/>
        </w:rPr>
        <w:t> </w:t>
      </w:r>
    </w:p>
    <w:p w14:paraId="7E222E9D" w14:textId="202473C9" w:rsidR="00547232" w:rsidRPr="00AB5A54" w:rsidRDefault="00547232" w:rsidP="00AB5A54">
      <w:pPr>
        <w:pStyle w:val="Bezodstpw"/>
        <w:jc w:val="both"/>
        <w:rPr>
          <w:rFonts w:ascii="Arial" w:hAnsi="Arial" w:cs="Arial"/>
          <w:sz w:val="20"/>
          <w:szCs w:val="20"/>
          <w:lang w:eastAsia="pl-PL"/>
        </w:rPr>
      </w:pPr>
      <w:r w:rsidRPr="00AB5A54">
        <w:rPr>
          <w:rFonts w:ascii="Arial" w:hAnsi="Arial" w:cs="Arial"/>
          <w:sz w:val="20"/>
          <w:szCs w:val="20"/>
          <w:lang w:eastAsia="pl-PL"/>
        </w:rPr>
        <w:t>Podczas montażu materiału należy zachować ścisłą zgodność z instrukcjami od producentów materiałów poszycia. Ponadto chronić poszycie przez zamoknięciem oraz zawilgoceniem, jak również przed, w czasie oraz po jego ułożeniu na dachu. Zaleca się stosowanie </w:t>
      </w:r>
      <w:hyperlink r:id="rId10" w:tooltip="wentylacja kalenicowa" w:history="1">
        <w:r w:rsidRPr="00AB5A54">
          <w:rPr>
            <w:rFonts w:ascii="Arial" w:hAnsi="Arial" w:cs="Arial"/>
            <w:sz w:val="20"/>
            <w:szCs w:val="20"/>
            <w:lang w:eastAsia="pl-PL"/>
          </w:rPr>
          <w:t>wentylacji kalenicowej</w:t>
        </w:r>
      </w:hyperlink>
      <w:r w:rsidRPr="00AB5A54">
        <w:rPr>
          <w:rFonts w:ascii="Arial" w:hAnsi="Arial" w:cs="Arial"/>
          <w:sz w:val="20"/>
          <w:szCs w:val="20"/>
          <w:lang w:eastAsia="pl-PL"/>
        </w:rPr>
        <w:t> podczas wykonywanych prac. Bardzo istotne jest także odpowiednie przechowywanie elementów. Należy je przechowywać w zadaszonych miejscach, charakteryzujących się dobrą wentylacją. Elementy powinno się układać w stosy na płask (jednak maksymalnie do wysokości 13 paczek).</w:t>
      </w:r>
    </w:p>
    <w:p w14:paraId="7A1A1FF0" w14:textId="47794DA5" w:rsidR="00547232" w:rsidRPr="00AB5A54" w:rsidRDefault="00547232" w:rsidP="00AB5A54">
      <w:pPr>
        <w:pStyle w:val="Bezodstpw"/>
        <w:jc w:val="both"/>
        <w:rPr>
          <w:rFonts w:ascii="Arial" w:hAnsi="Arial" w:cs="Arial"/>
          <w:sz w:val="20"/>
          <w:szCs w:val="20"/>
          <w:lang w:eastAsia="pl-PL"/>
        </w:rPr>
      </w:pPr>
      <w:r w:rsidRPr="00AB5A54">
        <w:rPr>
          <w:rFonts w:ascii="Arial" w:hAnsi="Arial" w:cs="Arial"/>
          <w:sz w:val="20"/>
          <w:szCs w:val="20"/>
          <w:lang w:eastAsia="pl-PL"/>
        </w:rPr>
        <w:t>Podczas składowania na każdym placu budowy trzeba chronić gont przed działaniem czynników atmosferycznych, które mogą okazać się dla tego elementu bardzo szkodliwe i tym samym wpłynąć na jego własności użytkowe. Nie należy przechowywać produktów w pobliżu rurociągów pary, a także grzejników, jak również otwartego ognia, itp.</w:t>
      </w:r>
    </w:p>
    <w:p w14:paraId="09200C73" w14:textId="2AD944E8" w:rsidR="00547232" w:rsidRPr="00AB5A54" w:rsidRDefault="003B3424" w:rsidP="00AB5A54">
      <w:pPr>
        <w:pStyle w:val="Bezodstpw"/>
        <w:jc w:val="both"/>
        <w:rPr>
          <w:rFonts w:ascii="Arial" w:hAnsi="Arial" w:cs="Arial"/>
          <w:sz w:val="20"/>
          <w:szCs w:val="20"/>
          <w:lang w:eastAsia="pl-PL"/>
        </w:rPr>
      </w:pPr>
      <w:hyperlink r:id="rId11" w:tooltip="gwoździe do gontów" w:history="1">
        <w:r w:rsidR="00547232" w:rsidRPr="00AB5A54">
          <w:rPr>
            <w:rFonts w:ascii="Arial" w:hAnsi="Arial" w:cs="Arial"/>
            <w:sz w:val="20"/>
            <w:szCs w:val="20"/>
            <w:lang w:eastAsia="pl-PL"/>
          </w:rPr>
          <w:t>Gwoździe</w:t>
        </w:r>
      </w:hyperlink>
      <w:r w:rsidR="00547232" w:rsidRPr="00AB5A54">
        <w:rPr>
          <w:rFonts w:ascii="Arial" w:hAnsi="Arial" w:cs="Arial"/>
          <w:sz w:val="20"/>
          <w:szCs w:val="20"/>
          <w:lang w:eastAsia="pl-PL"/>
        </w:rPr>
        <w:t> używane podczas pracy. Muszą być ocynkowane, o długości minimum 2,4 mm. Główki mają charakteryzować się średnicą co najmniej 9 mm. Z kolei bardzo istotne są także zszywki. Minimalna szerokość ich koronki powinna wynosić 22 mm. Ponadto muszą mieć wystarczającą długość, by bez problemu można je było wbić w materiał na głębokość 20 mm. Zszywki będą wbijane w drewniane poszycie dachu lub też na wylot przez poszycie dachu. Bardzo istotne jest aby stosowane elementy były w pełni odporne na korozję. Wszystkie łączniki takie jak elementy mocujące, muszą być wbite co najmniej 20 mm aż do materiału pokrycia dachowego lub też całkowicie muszą przebijać poszycie na wylot.</w:t>
      </w:r>
    </w:p>
    <w:p w14:paraId="2EE89D9A" w14:textId="537FADBC" w:rsidR="00547232" w:rsidRPr="00AB5A54" w:rsidRDefault="00547232" w:rsidP="00AB5A54">
      <w:pPr>
        <w:pStyle w:val="Bezodstpw"/>
        <w:jc w:val="both"/>
        <w:rPr>
          <w:rFonts w:ascii="Arial" w:hAnsi="Arial" w:cs="Arial"/>
          <w:sz w:val="20"/>
          <w:szCs w:val="20"/>
          <w:lang w:eastAsia="pl-PL"/>
        </w:rPr>
      </w:pPr>
      <w:r w:rsidRPr="00AB5A54">
        <w:rPr>
          <w:rFonts w:ascii="Arial" w:hAnsi="Arial" w:cs="Arial"/>
          <w:sz w:val="20"/>
          <w:szCs w:val="20"/>
          <w:lang w:eastAsia="pl-PL"/>
        </w:rPr>
        <w:t xml:space="preserve">Zazwyczaj zaleca się stosowanie gwoździ jako preferowanej metody mocowania wszystkich gontów do drewnianych połaci dachowych lub też do innych powierzchni, do których można wbijać gwoździe. Jednak </w:t>
      </w:r>
      <w:r w:rsidRPr="00AB5A54">
        <w:rPr>
          <w:rFonts w:ascii="Arial" w:hAnsi="Arial" w:cs="Arial"/>
          <w:sz w:val="20"/>
          <w:szCs w:val="20"/>
          <w:lang w:eastAsia="pl-PL"/>
        </w:rPr>
        <w:lastRenderedPageBreak/>
        <w:t>powierzchnia dachu może okazać się śliska, szczególnie, gdy jest ona mokra lub też oblodzona. Podczas układania gontów w takiej sytuacji należy stosować specjalne zabezpieczenia przed upadkiem z wysokości. Istotne jest noszenie odpowiednich butów na gumowych podeszwach. Trzeba także chodzić jak najbardziej ostrożnie.</w:t>
      </w:r>
    </w:p>
    <w:p w14:paraId="6A2F6C5D" w14:textId="66DA303E" w:rsidR="00547232" w:rsidRPr="00AB5A54" w:rsidRDefault="00547232" w:rsidP="00AB5A54">
      <w:pPr>
        <w:pStyle w:val="Bezodstpw"/>
        <w:jc w:val="both"/>
        <w:rPr>
          <w:rFonts w:ascii="Arial" w:hAnsi="Arial" w:cs="Arial"/>
          <w:sz w:val="20"/>
          <w:szCs w:val="20"/>
          <w:lang w:eastAsia="pl-PL"/>
        </w:rPr>
      </w:pPr>
      <w:r w:rsidRPr="00AB5A54">
        <w:rPr>
          <w:rFonts w:ascii="Arial" w:hAnsi="Arial" w:cs="Arial"/>
          <w:sz w:val="20"/>
          <w:szCs w:val="20"/>
          <w:lang w:eastAsia="pl-PL"/>
        </w:rPr>
        <w:t>Podczas wykonywania prac na dachu istnieje duże zagrożenie przez spadające przedmioty. Tym samym obszar poniżej wykonywanych prac trzeba odpowiednio zabezpieczyć w sposób zbliżony, jak materiały składowane bezpośrednio na dachu. Niezabezpieczony materiał może bardzo łatwo zsunąć się z dachu i stworzyć zagrożenie zdrowia lub życia osób znajdujących się na dole. Materiały trzeba układać na poziomej płaszczyźnie lub też właściwie zabezpieczyć w sposób uniemożliwiający ich ześlizgnięcie. Podczas prac bezwzględnie trzeba nosić kask ochronny. Podczas montażu gontów bitumicznych zaleca się stosowanie akcesoriów dachowych zalecanych przez producenta gontów takich jak: papy podkładowe, wentylacje, kominki, </w:t>
      </w:r>
      <w:hyperlink r:id="rId12" w:tooltip="uszczelniacze dekarskie" w:history="1">
        <w:r w:rsidRPr="00AB5A54">
          <w:rPr>
            <w:rFonts w:ascii="Arial" w:hAnsi="Arial" w:cs="Arial"/>
            <w:sz w:val="20"/>
            <w:szCs w:val="20"/>
            <w:lang w:eastAsia="pl-PL"/>
          </w:rPr>
          <w:t>uszczelniacze</w:t>
        </w:r>
      </w:hyperlink>
      <w:r w:rsidRPr="00AB5A54">
        <w:rPr>
          <w:rFonts w:ascii="Arial" w:hAnsi="Arial" w:cs="Arial"/>
          <w:sz w:val="20"/>
          <w:szCs w:val="20"/>
          <w:lang w:eastAsia="pl-PL"/>
        </w:rPr>
        <w:t> i </w:t>
      </w:r>
      <w:hyperlink r:id="rId13" w:history="1">
        <w:r w:rsidRPr="00AB5A54">
          <w:rPr>
            <w:rFonts w:ascii="Arial" w:hAnsi="Arial" w:cs="Arial"/>
            <w:sz w:val="20"/>
            <w:szCs w:val="20"/>
            <w:lang w:eastAsia="pl-PL"/>
          </w:rPr>
          <w:t>pasy kalenicowe</w:t>
        </w:r>
      </w:hyperlink>
      <w:r w:rsidRPr="00AB5A54">
        <w:rPr>
          <w:rFonts w:ascii="Arial" w:hAnsi="Arial" w:cs="Arial"/>
          <w:sz w:val="20"/>
          <w:szCs w:val="20"/>
          <w:lang w:eastAsia="pl-PL"/>
        </w:rPr>
        <w:t>.</w:t>
      </w:r>
    </w:p>
    <w:p w14:paraId="65B310FB" w14:textId="5B79A538" w:rsidR="00547232" w:rsidRPr="00AB5A54" w:rsidRDefault="00547232" w:rsidP="00AB5A54">
      <w:pPr>
        <w:pStyle w:val="Bezodstpw"/>
        <w:jc w:val="both"/>
        <w:rPr>
          <w:rFonts w:ascii="Arial" w:hAnsi="Arial" w:cs="Arial"/>
          <w:sz w:val="20"/>
          <w:szCs w:val="20"/>
          <w:lang w:eastAsia="pl-PL"/>
        </w:rPr>
      </w:pPr>
      <w:r w:rsidRPr="00AB5A54">
        <w:rPr>
          <w:rFonts w:ascii="Arial" w:hAnsi="Arial" w:cs="Arial"/>
          <w:sz w:val="20"/>
          <w:szCs w:val="20"/>
          <w:lang w:eastAsia="pl-PL"/>
        </w:rPr>
        <w:t>Warstwa podkładowa znajdująca się na okapach musi być założona tak, by sięgała co najmniej 60 cm poza linię wewnętrzną ściany budynku. Linie rysowane kredą Dla ułatwienia wyrównania gontów bitumicznych wzdłuż pasów, zalecane jest odciśnięcie specjalnych linii kredowych na odsłoniętej powierzchni warstwy podkładowej. Należy to wykonać jeszcze przed układaniem gontów bitumicznych.</w:t>
      </w:r>
    </w:p>
    <w:p w14:paraId="7901057E" w14:textId="5918C44B" w:rsidR="00547232" w:rsidRPr="00AB5A54" w:rsidRDefault="00547232" w:rsidP="00AB5A54">
      <w:pPr>
        <w:pStyle w:val="Bezodstpw"/>
        <w:jc w:val="both"/>
        <w:rPr>
          <w:rFonts w:ascii="Arial" w:hAnsi="Arial" w:cs="Arial"/>
          <w:sz w:val="20"/>
          <w:szCs w:val="20"/>
          <w:lang w:eastAsia="pl-PL"/>
        </w:rPr>
      </w:pPr>
      <w:r w:rsidRPr="00AB5A54">
        <w:rPr>
          <w:rFonts w:ascii="Arial" w:hAnsi="Arial" w:cs="Arial"/>
          <w:sz w:val="20"/>
          <w:szCs w:val="20"/>
          <w:lang w:eastAsia="pl-PL"/>
        </w:rPr>
        <w:t>Mocowanie gontów bitumicznych. Łączniki (czyli elementy mocujące) muszą się znajdować w obszarze gontów, który jest przeznaczony do mocowania ich do podłoża. Powierzchnia gontów charakteryzuje się zwiększoną wytrzymałością na rozrywanie, a także dodatkową ilością kleju (co zapewnia większe uszczelnienie gwoździ), jak również specjalną wytrzymałą folią, zapewniająca szczelne połączenie znajdujących się między sobą warstw gontu. W tym przypadku nie wymaga się usuwania wspomnianej foli.</w:t>
      </w:r>
    </w:p>
    <w:p w14:paraId="2C636CBF" w14:textId="6BF5690D" w:rsidR="00547232" w:rsidRPr="00AB5A54" w:rsidRDefault="00547232" w:rsidP="00AB5A54">
      <w:pPr>
        <w:pStyle w:val="Bezodstpw"/>
        <w:jc w:val="both"/>
        <w:rPr>
          <w:rFonts w:ascii="Arial" w:hAnsi="Arial" w:cs="Arial"/>
          <w:sz w:val="20"/>
          <w:szCs w:val="20"/>
          <w:lang w:eastAsia="pl-PL"/>
        </w:rPr>
      </w:pPr>
      <w:r w:rsidRPr="00AB5A54">
        <w:rPr>
          <w:rFonts w:ascii="Arial" w:hAnsi="Arial" w:cs="Arial"/>
          <w:sz w:val="20"/>
          <w:szCs w:val="20"/>
          <w:lang w:eastAsia="pl-PL"/>
        </w:rPr>
        <w:t xml:space="preserve">Warstwa kleju znajdującego się pod folią, jak również w dolnej części gontu bitumicznego, pełną aktywację osiąga dopiero w temperaturze 20°C. Gdy w okresie układania gontów bitumicznych panują niższe temperatury, dozwolone jest zerwanie foli w celu szybszej wulkanizacji elementów. Minimalne temperatury, w których można układać gonty to od 7°C. Poniżej tej temperatury należy pomóc w </w:t>
      </w:r>
      <w:proofErr w:type="spellStart"/>
      <w:r w:rsidRPr="00AB5A54">
        <w:rPr>
          <w:rFonts w:ascii="Arial" w:hAnsi="Arial" w:cs="Arial"/>
          <w:sz w:val="20"/>
          <w:szCs w:val="20"/>
          <w:lang w:eastAsia="pl-PL"/>
        </w:rPr>
        <w:t>samowulkanizacji</w:t>
      </w:r>
      <w:proofErr w:type="spellEnd"/>
      <w:r w:rsidRPr="00AB5A54">
        <w:rPr>
          <w:rFonts w:ascii="Arial" w:hAnsi="Arial" w:cs="Arial"/>
          <w:sz w:val="20"/>
          <w:szCs w:val="20"/>
          <w:lang w:eastAsia="pl-PL"/>
        </w:rPr>
        <w:t xml:space="preserve"> kleju stosując np. </w:t>
      </w:r>
      <w:hyperlink r:id="rId14" w:tooltip="promiennik podczerwieni TERM2000 GLV" w:history="1">
        <w:r w:rsidRPr="00AB5A54">
          <w:rPr>
            <w:rFonts w:ascii="Arial" w:hAnsi="Arial" w:cs="Arial"/>
            <w:sz w:val="20"/>
            <w:szCs w:val="20"/>
            <w:lang w:eastAsia="pl-PL"/>
          </w:rPr>
          <w:t>promiennik podczerwieni</w:t>
        </w:r>
      </w:hyperlink>
      <w:r w:rsidRPr="00AB5A54">
        <w:rPr>
          <w:rFonts w:ascii="Arial" w:hAnsi="Arial" w:cs="Arial"/>
          <w:sz w:val="20"/>
          <w:szCs w:val="20"/>
          <w:lang w:eastAsia="pl-PL"/>
        </w:rPr>
        <w:t>.</w:t>
      </w:r>
    </w:p>
    <w:p w14:paraId="74BA7152" w14:textId="6BFBE7AD" w:rsidR="00547232" w:rsidRPr="00AB5A54" w:rsidRDefault="00547232" w:rsidP="00AB5A54">
      <w:pPr>
        <w:pStyle w:val="Bezodstpw"/>
        <w:jc w:val="both"/>
        <w:rPr>
          <w:rFonts w:ascii="Arial" w:hAnsi="Arial" w:cs="Arial"/>
          <w:b/>
          <w:bCs/>
          <w:sz w:val="20"/>
          <w:szCs w:val="20"/>
          <w:lang w:eastAsia="pl-PL"/>
        </w:rPr>
      </w:pPr>
      <w:r w:rsidRPr="00AB5A54">
        <w:rPr>
          <w:rFonts w:ascii="Arial" w:hAnsi="Arial" w:cs="Arial"/>
          <w:b/>
          <w:bCs/>
          <w:sz w:val="20"/>
          <w:szCs w:val="20"/>
          <w:lang w:eastAsia="pl-PL"/>
        </w:rPr>
        <w:t>Układanie gontów bitumicznych</w:t>
      </w:r>
    </w:p>
    <w:p w14:paraId="4AD51063" w14:textId="59136F4C" w:rsidR="00547232" w:rsidRPr="00AB5A54" w:rsidRDefault="00547232" w:rsidP="00AB5A54">
      <w:pPr>
        <w:pStyle w:val="Bezodstpw"/>
        <w:jc w:val="both"/>
        <w:rPr>
          <w:rFonts w:ascii="Arial" w:hAnsi="Arial" w:cs="Arial"/>
          <w:sz w:val="20"/>
          <w:szCs w:val="20"/>
          <w:lang w:eastAsia="pl-PL"/>
        </w:rPr>
      </w:pPr>
      <w:r w:rsidRPr="00AB5A54">
        <w:rPr>
          <w:rFonts w:ascii="Arial" w:hAnsi="Arial" w:cs="Arial"/>
          <w:sz w:val="20"/>
          <w:szCs w:val="20"/>
          <w:lang w:eastAsia="pl-PL"/>
        </w:rPr>
        <w:t>Gonty bitumiczne należy układać z przesunięciem pomiędzy pasami na 16,5 cm. Produkty układa się na odpowiednio przygotowanej powierzchni połaci dachowej, bezpośrednio rozpoczynając od dołu dachu i kolejno posuwając się rzędami w górę. Spowoduje to znaczne pomieszanie gontów pochodzących z jednej paczki, z zawartością innego opakowania i tym samym zminimalizuje efekt normalnej różnicy odcieni gontów, które występują w poszczególnych paczkach.</w:t>
      </w:r>
    </w:p>
    <w:p w14:paraId="104A9C9F" w14:textId="25C5023C" w:rsidR="00547232" w:rsidRPr="00AB5A54" w:rsidRDefault="00547232" w:rsidP="00AB5A54">
      <w:pPr>
        <w:pStyle w:val="Bezodstpw"/>
        <w:jc w:val="both"/>
        <w:rPr>
          <w:rFonts w:ascii="Arial" w:hAnsi="Arial" w:cs="Arial"/>
          <w:sz w:val="20"/>
          <w:szCs w:val="20"/>
          <w:lang w:eastAsia="pl-PL"/>
        </w:rPr>
      </w:pPr>
      <w:r w:rsidRPr="00AB5A54">
        <w:rPr>
          <w:rFonts w:ascii="Arial" w:hAnsi="Arial" w:cs="Arial"/>
          <w:sz w:val="20"/>
          <w:szCs w:val="20"/>
          <w:lang w:eastAsia="pl-PL"/>
        </w:rPr>
        <w:t>Pas początkowy można wykonać z gontów bitumicznych przyciętych na szerokość 14,3 cm lub też z gontów przyciętych od 1 do 2 cm poniżej warstwy kleju. Kolejno należy odciąć 16,5 cm z pierwszego paska gontu, aby uzyskać przesuniecie pomiędzy pierwszym paskiem pasa startowego, a pierwszym paskiem gontu właściwego. Następnie kontynuować układanie warstwy, wzdłuż całego dachu.</w:t>
      </w:r>
    </w:p>
    <w:p w14:paraId="2702FE63" w14:textId="47F04E58" w:rsidR="00547232" w:rsidRPr="00AB5A54" w:rsidRDefault="00547232" w:rsidP="00AB5A54">
      <w:pPr>
        <w:pStyle w:val="Bezodstpw"/>
        <w:jc w:val="both"/>
        <w:rPr>
          <w:rFonts w:ascii="Arial" w:hAnsi="Arial" w:cs="Arial"/>
          <w:sz w:val="20"/>
          <w:szCs w:val="20"/>
          <w:lang w:eastAsia="pl-PL"/>
        </w:rPr>
      </w:pPr>
      <w:r w:rsidRPr="00AB5A54">
        <w:rPr>
          <w:rFonts w:ascii="Arial" w:hAnsi="Arial" w:cs="Arial"/>
          <w:sz w:val="20"/>
          <w:szCs w:val="20"/>
          <w:lang w:eastAsia="pl-PL"/>
        </w:rPr>
        <w:t>Każdy gont należy przymocować używając pięciu łączników (określanych elementami mocującymi), umieszczając je w odległości od krawędzi okapu w przedziale od 2 do 3 cm. Jeśli nie są stosowane krawędziowe okapniki na okapie, gonty bitumiczne muszą wystawać na co najmniej 1 cm. Jednak nie więcej, niż na 2,5 cm poza boczną krawędź dachu, jak również krawędź okapu.</w:t>
      </w:r>
    </w:p>
    <w:p w14:paraId="38E5DA15" w14:textId="77777777" w:rsidR="00547232" w:rsidRPr="00AB5A54" w:rsidRDefault="00547232" w:rsidP="00AB5A54">
      <w:pPr>
        <w:pStyle w:val="Bezodstpw"/>
        <w:jc w:val="both"/>
        <w:rPr>
          <w:rFonts w:ascii="Arial" w:hAnsi="Arial" w:cs="Arial"/>
          <w:sz w:val="20"/>
          <w:szCs w:val="20"/>
          <w:lang w:eastAsia="pl-PL"/>
        </w:rPr>
      </w:pPr>
      <w:r w:rsidRPr="00AB5A54">
        <w:rPr>
          <w:rFonts w:ascii="Arial" w:hAnsi="Arial" w:cs="Arial"/>
          <w:sz w:val="20"/>
          <w:szCs w:val="20"/>
          <w:lang w:eastAsia="pl-PL"/>
        </w:rPr>
        <w:t>Pierwszy pas gontów należy nałożyć, rozpoczynając bezpośrednio od całego gontu i kolejno układając go równo z pasem początkowym. Przymocować następnie gonty w niezawodny sposób, zgodnie z instrukcją mocowania tych elementów.</w:t>
      </w:r>
    </w:p>
    <w:p w14:paraId="64EC215B" w14:textId="77777777" w:rsidR="00547232" w:rsidRPr="00AB5A54" w:rsidRDefault="00547232" w:rsidP="00AB5A54">
      <w:pPr>
        <w:pStyle w:val="Bezodstpw"/>
        <w:jc w:val="both"/>
        <w:rPr>
          <w:rFonts w:ascii="Arial" w:hAnsi="Arial" w:cs="Arial"/>
          <w:sz w:val="20"/>
          <w:szCs w:val="20"/>
          <w:lang w:eastAsia="pl-PL"/>
        </w:rPr>
      </w:pPr>
      <w:r w:rsidRPr="00AB5A54">
        <w:rPr>
          <w:rFonts w:ascii="Arial" w:hAnsi="Arial" w:cs="Arial"/>
          <w:sz w:val="20"/>
          <w:szCs w:val="20"/>
          <w:lang w:eastAsia="pl-PL"/>
        </w:rPr>
        <w:t> </w:t>
      </w:r>
    </w:p>
    <w:p w14:paraId="17320D9A" w14:textId="686577EE" w:rsidR="00547232" w:rsidRPr="00AB5A54" w:rsidRDefault="00547232" w:rsidP="00AB5A54">
      <w:pPr>
        <w:pStyle w:val="Bezodstpw"/>
        <w:jc w:val="both"/>
        <w:rPr>
          <w:rFonts w:ascii="Arial" w:hAnsi="Arial" w:cs="Arial"/>
          <w:sz w:val="20"/>
          <w:szCs w:val="20"/>
          <w:lang w:eastAsia="pl-PL"/>
        </w:rPr>
      </w:pPr>
      <w:r w:rsidRPr="00AB5A54">
        <w:rPr>
          <w:rFonts w:ascii="Arial" w:hAnsi="Arial" w:cs="Arial"/>
          <w:sz w:val="20"/>
          <w:szCs w:val="20"/>
          <w:lang w:eastAsia="pl-PL"/>
        </w:rPr>
        <w:t>Pas drugi: Z lewej strony gontu bitumicznego należy obciąć kawałek mniej więcej o długości 16,5 cm. Pozostałą część gontu należy położyć na elemencie pierwszego pasa, dokładnie wyrównując do krawędzi pierwszego pasa i następnie pozostawiając wystającą część o szerokości około 14,3 cm.  Należy przymocować gonty w niezawodny sposób, zgodnie z instrukcją mocowania gontów.</w:t>
      </w:r>
    </w:p>
    <w:p w14:paraId="26FB1956" w14:textId="5B0085AF" w:rsidR="00547232" w:rsidRPr="00AB5A54" w:rsidRDefault="00547232" w:rsidP="00AB5A54">
      <w:pPr>
        <w:pStyle w:val="Bezodstpw"/>
        <w:jc w:val="both"/>
        <w:rPr>
          <w:rFonts w:ascii="Arial" w:hAnsi="Arial" w:cs="Arial"/>
          <w:sz w:val="20"/>
          <w:szCs w:val="20"/>
          <w:lang w:eastAsia="pl-PL"/>
        </w:rPr>
      </w:pPr>
      <w:r w:rsidRPr="00AB5A54">
        <w:rPr>
          <w:rFonts w:ascii="Arial" w:hAnsi="Arial" w:cs="Arial"/>
          <w:sz w:val="20"/>
          <w:szCs w:val="20"/>
          <w:lang w:eastAsia="pl-PL"/>
        </w:rPr>
        <w:t>Pas trzeci: Z lewej strony gontu należy obciąć kawałek charakteryzujący się długością 33 cm. Pozostałą część produktu położyć na elemencie drugiego pasa, wyrównując tym samym do krawędzi drugiego pasa i w takim stanie pozostawiając wystającą część o szerokości takiej samej jak poprzednio, czyli około 14,3 cm. Przymocować gonty bitumiczne w niezawodny sposób, zgodnie ze wcześniej określoną instrukcją mocowania tych elementów.</w:t>
      </w:r>
    </w:p>
    <w:p w14:paraId="63FFFBC1" w14:textId="5732973D" w:rsidR="00547232" w:rsidRPr="00AB5A54" w:rsidRDefault="00547232" w:rsidP="00AB5A54">
      <w:pPr>
        <w:pStyle w:val="Bezodstpw"/>
        <w:jc w:val="both"/>
        <w:rPr>
          <w:rFonts w:ascii="Arial" w:hAnsi="Arial" w:cs="Arial"/>
          <w:sz w:val="20"/>
          <w:szCs w:val="20"/>
          <w:lang w:eastAsia="pl-PL"/>
        </w:rPr>
      </w:pPr>
      <w:r w:rsidRPr="00AB5A54">
        <w:rPr>
          <w:rFonts w:ascii="Arial" w:hAnsi="Arial" w:cs="Arial"/>
          <w:sz w:val="20"/>
          <w:szCs w:val="20"/>
          <w:lang w:eastAsia="pl-PL"/>
        </w:rPr>
        <w:t>Pas czwarty: Z lewej strony gontu bitumicznego należy obciąć kawałek charakteryzujący się długością 49,5 cm. Następnie pozostałą część gontu położyć nad oraz powyżej elementu trzeciego pasa, wyrównując go tym samym do krawędzi trzeciego pasa i tak pozostawiając wystającą część o szerokości 14,3 cm. Bardzo istotne jest, aby przymocować gonty w niezawodny sposób, wykonując tą czynność zgodnie z instrukcją mocowania gontów.</w:t>
      </w:r>
    </w:p>
    <w:p w14:paraId="7506225B" w14:textId="2E760C3C" w:rsidR="00547232" w:rsidRPr="00AB5A54" w:rsidRDefault="00547232" w:rsidP="00AB5A54">
      <w:pPr>
        <w:pStyle w:val="Bezodstpw"/>
        <w:jc w:val="both"/>
        <w:rPr>
          <w:rFonts w:ascii="Arial" w:hAnsi="Arial" w:cs="Arial"/>
          <w:sz w:val="20"/>
          <w:szCs w:val="20"/>
          <w:lang w:eastAsia="pl-PL"/>
        </w:rPr>
      </w:pPr>
      <w:r w:rsidRPr="00AB5A54">
        <w:rPr>
          <w:rFonts w:ascii="Arial" w:hAnsi="Arial" w:cs="Arial"/>
          <w:sz w:val="20"/>
          <w:szCs w:val="20"/>
          <w:lang w:eastAsia="pl-PL"/>
        </w:rPr>
        <w:t>Pas piąty: Z lewej strony używanego gontu należy obciąć kawałek, mniej więcej o długości 66 cm. Kolejno pozostałą część gontu bitumicznego położyć nad, jak również powyżej elementu czwartego pasa, wyrównując bezpośrednio do krawędzi tego pasa i tym samym pozostawiając wystającą część mniej więcej o szerokości 14,3 cm. Należy kolejno przymocować gonty bitumiczne w niezawodny sposób zgodnie z instrukcją mocowania gontów.</w:t>
      </w:r>
    </w:p>
    <w:p w14:paraId="0761020F" w14:textId="77777777" w:rsidR="00547232" w:rsidRPr="00AB5A54" w:rsidRDefault="00547232" w:rsidP="00AB5A54">
      <w:pPr>
        <w:pStyle w:val="Bezodstpw"/>
        <w:jc w:val="both"/>
        <w:rPr>
          <w:rFonts w:ascii="Arial" w:hAnsi="Arial" w:cs="Arial"/>
          <w:sz w:val="20"/>
          <w:szCs w:val="20"/>
          <w:lang w:eastAsia="pl-PL"/>
        </w:rPr>
      </w:pPr>
      <w:r w:rsidRPr="00AB5A54">
        <w:rPr>
          <w:rFonts w:ascii="Arial" w:hAnsi="Arial" w:cs="Arial"/>
          <w:sz w:val="20"/>
          <w:szCs w:val="20"/>
          <w:lang w:eastAsia="pl-PL"/>
        </w:rPr>
        <w:t xml:space="preserve">Pas szósty: Z lewej strony elementu należy obciąć kawałek, charakteryzujący się długością 82,5 cm. Pozostałą część produktu położyć nad oraz powyżej elementu piątego pasa, wyrównując bezpośrednio do krawędzi piątego pasa i w takim stanie pozostawiając wystającą część o szerokości 14,3 cm. Przymocować </w:t>
      </w:r>
      <w:r w:rsidRPr="00AB5A54">
        <w:rPr>
          <w:rFonts w:ascii="Arial" w:hAnsi="Arial" w:cs="Arial"/>
          <w:sz w:val="20"/>
          <w:szCs w:val="20"/>
          <w:lang w:eastAsia="pl-PL"/>
        </w:rPr>
        <w:lastRenderedPageBreak/>
        <w:t>gonty w niezawodny sposób do pasa, zgodnie z instrukcją mocowania gontów. Układając kolejne pasy, należy powtórzyć czynności przewidziane dla rzędów od pierwszego aż do szóstego.</w:t>
      </w:r>
    </w:p>
    <w:p w14:paraId="1190365B" w14:textId="4347FFE2" w:rsidR="00547232" w:rsidRPr="00AB5A54" w:rsidRDefault="00547232" w:rsidP="00AB5A54">
      <w:pPr>
        <w:pStyle w:val="Bezodstpw"/>
        <w:jc w:val="both"/>
        <w:rPr>
          <w:rFonts w:ascii="Arial" w:hAnsi="Arial" w:cs="Arial"/>
          <w:sz w:val="20"/>
          <w:szCs w:val="20"/>
          <w:lang w:eastAsia="pl-PL"/>
        </w:rPr>
      </w:pPr>
      <w:r w:rsidRPr="00AB5A54">
        <w:rPr>
          <w:rFonts w:ascii="Arial" w:hAnsi="Arial" w:cs="Arial"/>
          <w:sz w:val="20"/>
          <w:szCs w:val="20"/>
          <w:lang w:eastAsia="pl-PL"/>
        </w:rPr>
        <w:t>Kosz dachu wraz z zamkniętym przecięciem może być zastosowany przykładowo jako jedno z alternatywnych rozwiązań. Należy ułożyć wykładzinę kosza dachu na szerokość minimum 90 cm, z samoprzylepnego materiału podkładowego lub też innego alternatywnego wyrobu. Jako wykładzinę kosza można zastosować także papę z rolki, o szerokości wynoszącej co najmniej 90 cm. Kolejno ułożyć wszystkie gonty bitumiczne po jednej stronie kosza dachu, przez oś kosza na odległość nie mniejszą niż 30 cm. Zamocować w odległości około 15 cm licząc od osi kosza, po każdej jego stronie. Następnie nakreślić kredą linię w odległości około 4 do 5 cm od osi kosza, bezpośrednio w stronę niepokrytą gontem bitumicznym. Nałożyć elementy na część niepokrytą produktem, aż do linii wytyczonej kredą i kolejno przyciąć je jednocześnie uważając, by nie przeciąć gontów bitumicznych znajdujących się pod spodem. Trzeba następnie przyciąć górne narożniki tych elementów, zakleić oraz zamocować. Do wykończenia kosza również dozwolone jest zastosowanie elementów tkaninowych, jak również metalowych.</w:t>
      </w:r>
    </w:p>
    <w:p w14:paraId="20D745D8" w14:textId="3C304AD5" w:rsidR="00C50DD6" w:rsidRPr="00AB5A54" w:rsidRDefault="00547232" w:rsidP="00AB5A54">
      <w:pPr>
        <w:pStyle w:val="Bezodstpw"/>
        <w:jc w:val="both"/>
        <w:rPr>
          <w:rFonts w:ascii="Arial" w:hAnsi="Arial" w:cs="Arial"/>
          <w:sz w:val="20"/>
          <w:szCs w:val="20"/>
          <w:lang w:eastAsia="pl-PL"/>
        </w:rPr>
      </w:pPr>
      <w:r w:rsidRPr="00AB5A54">
        <w:rPr>
          <w:rFonts w:ascii="Arial" w:hAnsi="Arial" w:cs="Arial"/>
          <w:sz w:val="20"/>
          <w:szCs w:val="20"/>
          <w:lang w:eastAsia="pl-PL"/>
        </w:rPr>
        <w:t>Obróbka blacharska schodka (uskoku) W miejscach, gdzie powierzchnia dachu styka się bezpośrednio z pionowymi ścianami lub też kominami, należy zastosować narożniki z metalu odpornego na korozję.</w:t>
      </w:r>
    </w:p>
    <w:p w14:paraId="5ED85AE4" w14:textId="77777777" w:rsidR="00C50DD6" w:rsidRPr="00AB5A54" w:rsidRDefault="00C50DD6" w:rsidP="00AB5A54">
      <w:pPr>
        <w:jc w:val="both"/>
        <w:rPr>
          <w:rFonts w:ascii="Arial" w:hAnsi="Arial" w:cs="Arial"/>
          <w:sz w:val="20"/>
          <w:szCs w:val="20"/>
        </w:rPr>
      </w:pPr>
    </w:p>
    <w:p w14:paraId="7C6E194E" w14:textId="3539FFEA" w:rsidR="00547232" w:rsidRPr="00AB5A54" w:rsidRDefault="00EB21FC" w:rsidP="00AB5A54">
      <w:pPr>
        <w:pStyle w:val="Nagwek2"/>
        <w:ind w:left="576" w:hanging="576"/>
        <w:jc w:val="both"/>
        <w:rPr>
          <w:rFonts w:ascii="Arial" w:hAnsi="Arial" w:cs="Arial"/>
          <w:szCs w:val="20"/>
        </w:rPr>
      </w:pPr>
      <w:r w:rsidRPr="00AB5A54">
        <w:rPr>
          <w:rFonts w:ascii="Arial" w:hAnsi="Arial" w:cs="Arial"/>
          <w:b/>
          <w:bCs/>
          <w:szCs w:val="20"/>
        </w:rPr>
        <w:t>4</w:t>
      </w:r>
      <w:r w:rsidRPr="00AB5A54">
        <w:rPr>
          <w:rFonts w:ascii="Arial" w:hAnsi="Arial" w:cs="Arial"/>
          <w:szCs w:val="20"/>
        </w:rPr>
        <w:t xml:space="preserve">. </w:t>
      </w:r>
      <w:r w:rsidR="00547232" w:rsidRPr="00AB5A54">
        <w:rPr>
          <w:rFonts w:ascii="Arial" w:hAnsi="Arial" w:cs="Arial"/>
          <w:b/>
          <w:bCs/>
          <w:szCs w:val="20"/>
        </w:rPr>
        <w:t>Lakierowanie konstrukcji i stolarki ścianek drewnianych dwukrotnie prep</w:t>
      </w:r>
      <w:r w:rsidRPr="00AB5A54">
        <w:rPr>
          <w:rFonts w:ascii="Arial" w:hAnsi="Arial" w:cs="Arial"/>
          <w:b/>
          <w:bCs/>
          <w:szCs w:val="20"/>
        </w:rPr>
        <w:t>a</w:t>
      </w:r>
      <w:r w:rsidR="00547232" w:rsidRPr="00AB5A54">
        <w:rPr>
          <w:rFonts w:ascii="Arial" w:hAnsi="Arial" w:cs="Arial"/>
          <w:b/>
          <w:bCs/>
          <w:szCs w:val="20"/>
        </w:rPr>
        <w:t xml:space="preserve">ratami typu </w:t>
      </w:r>
      <w:proofErr w:type="spellStart"/>
      <w:r w:rsidR="00547232" w:rsidRPr="00AB5A54">
        <w:rPr>
          <w:rFonts w:ascii="Arial" w:hAnsi="Arial" w:cs="Arial"/>
          <w:b/>
          <w:bCs/>
          <w:szCs w:val="20"/>
        </w:rPr>
        <w:t>lakierobejca</w:t>
      </w:r>
      <w:proofErr w:type="spellEnd"/>
      <w:r w:rsidR="0030618D" w:rsidRPr="00AB5A54">
        <w:rPr>
          <w:rFonts w:ascii="Arial" w:hAnsi="Arial" w:cs="Arial"/>
          <w:b/>
          <w:bCs/>
          <w:szCs w:val="20"/>
        </w:rPr>
        <w:t>.</w:t>
      </w:r>
    </w:p>
    <w:p w14:paraId="2F0C4437" w14:textId="55CE9A21" w:rsidR="0030618D" w:rsidRPr="00AB5A54" w:rsidRDefault="0030618D" w:rsidP="00AB5A54">
      <w:pPr>
        <w:spacing w:line="240" w:lineRule="auto"/>
        <w:jc w:val="both"/>
        <w:rPr>
          <w:rFonts w:ascii="Arial" w:hAnsi="Arial" w:cs="Arial"/>
          <w:sz w:val="20"/>
          <w:szCs w:val="20"/>
        </w:rPr>
      </w:pPr>
      <w:r w:rsidRPr="00AB5A54">
        <w:rPr>
          <w:rFonts w:ascii="Arial" w:hAnsi="Arial" w:cs="Arial"/>
          <w:sz w:val="20"/>
          <w:szCs w:val="20"/>
        </w:rPr>
        <w:t xml:space="preserve">Należy wykonać impregnację konstrukcji drewnianej dachu od wewnątrz zadaszenia wjazdu poprzez dwukrotne malowanie pionowych i poziomych powierzchni drewnianych preparatem impregnującym, minimum dwoma warstwami i zgodnie z zaleceniami producenta, w kolorze zbliżonym do koloru wrót. Przed przystąpieniem do impregnacji należy wymienić wszelkie uszkodzone elementy konstrukcyjne drewniane dachu na nowe oraz zaszpachlować drobniejsze uszkodzenia w drewnie. Malowanie drewnianej konstrukcji dachu od wewnątrz należy wykonać do wysokości 5 </w:t>
      </w:r>
      <w:proofErr w:type="spellStart"/>
      <w:r w:rsidRPr="00AB5A54">
        <w:rPr>
          <w:rFonts w:ascii="Arial" w:hAnsi="Arial" w:cs="Arial"/>
          <w:sz w:val="20"/>
          <w:szCs w:val="20"/>
        </w:rPr>
        <w:t>mb</w:t>
      </w:r>
      <w:proofErr w:type="spellEnd"/>
      <w:r w:rsidRPr="00AB5A54">
        <w:rPr>
          <w:rFonts w:ascii="Arial" w:hAnsi="Arial" w:cs="Arial"/>
          <w:sz w:val="20"/>
          <w:szCs w:val="20"/>
        </w:rPr>
        <w:t xml:space="preserve">. Przed malowaniem zabezpieczyć przed zachlapaniem  wszelkie powierzchnie. </w:t>
      </w:r>
      <w:proofErr w:type="spellStart"/>
      <w:r w:rsidRPr="00AB5A54">
        <w:rPr>
          <w:rFonts w:ascii="Arial" w:hAnsi="Arial" w:cs="Arial"/>
          <w:sz w:val="20"/>
          <w:szCs w:val="20"/>
        </w:rPr>
        <w:t>Lakierobejcę</w:t>
      </w:r>
      <w:proofErr w:type="spellEnd"/>
      <w:r w:rsidRPr="00AB5A54">
        <w:rPr>
          <w:rFonts w:ascii="Arial" w:hAnsi="Arial" w:cs="Arial"/>
          <w:sz w:val="20"/>
          <w:szCs w:val="20"/>
        </w:rPr>
        <w:t xml:space="preserve">  nanosić w dwóch warstwach za pomocą wałka lub pędzla w odstępach min. 12 godz. Kolorystyka </w:t>
      </w:r>
      <w:proofErr w:type="spellStart"/>
      <w:r w:rsidRPr="00AB5A54">
        <w:rPr>
          <w:rFonts w:ascii="Arial" w:hAnsi="Arial" w:cs="Arial"/>
          <w:sz w:val="20"/>
          <w:szCs w:val="20"/>
        </w:rPr>
        <w:t>lakierobejcy</w:t>
      </w:r>
      <w:proofErr w:type="spellEnd"/>
      <w:r w:rsidRPr="00AB5A54">
        <w:rPr>
          <w:rFonts w:ascii="Arial" w:hAnsi="Arial" w:cs="Arial"/>
          <w:sz w:val="20"/>
          <w:szCs w:val="20"/>
        </w:rPr>
        <w:t xml:space="preserve"> w odcieniu orzech, dąb, mahoń. Lakierowanie części drewnianej dachu do wysokości 5 m od poziomu posadzki. Przed lakierowaniem należy również wymienić wszystkie uszkodzone elementy konstrukcji dachu.</w:t>
      </w:r>
    </w:p>
    <w:p w14:paraId="1C3CFB34" w14:textId="571AA945" w:rsidR="00C50DD6" w:rsidRPr="00AB5A54" w:rsidRDefault="00C50DD6" w:rsidP="00AB5A54">
      <w:pPr>
        <w:jc w:val="both"/>
        <w:rPr>
          <w:rFonts w:ascii="Arial" w:hAnsi="Arial" w:cs="Arial"/>
          <w:sz w:val="20"/>
          <w:szCs w:val="20"/>
        </w:rPr>
      </w:pPr>
    </w:p>
    <w:p w14:paraId="3C0E10B2" w14:textId="750C3771" w:rsidR="0030618D" w:rsidRPr="00AB5A54" w:rsidRDefault="00EB21FC" w:rsidP="00AB5A54">
      <w:pPr>
        <w:pStyle w:val="Nagwek1"/>
        <w:numPr>
          <w:ilvl w:val="0"/>
          <w:numId w:val="0"/>
        </w:numPr>
        <w:ind w:left="432" w:hanging="432"/>
        <w:jc w:val="both"/>
        <w:rPr>
          <w:rFonts w:ascii="Arial" w:hAnsi="Arial" w:cs="Arial"/>
          <w:szCs w:val="20"/>
        </w:rPr>
      </w:pPr>
      <w:r w:rsidRPr="00AB5A54">
        <w:rPr>
          <w:rFonts w:ascii="Arial" w:hAnsi="Arial" w:cs="Arial"/>
          <w:szCs w:val="20"/>
        </w:rPr>
        <w:t xml:space="preserve">5. </w:t>
      </w:r>
      <w:r w:rsidR="0030618D" w:rsidRPr="00AB5A54">
        <w:rPr>
          <w:rFonts w:ascii="Arial" w:hAnsi="Arial" w:cs="Arial"/>
          <w:szCs w:val="20"/>
        </w:rPr>
        <w:t>Wykonanie nowej obróbki blacharskiej na połączniu dachu ze ściana konstrukcyjną.</w:t>
      </w:r>
    </w:p>
    <w:p w14:paraId="6A7DB827" w14:textId="510E6ED0" w:rsidR="00C50DD6" w:rsidRPr="00AB5A54" w:rsidRDefault="00D973F0" w:rsidP="00AB5A54">
      <w:pPr>
        <w:spacing w:line="240" w:lineRule="auto"/>
        <w:jc w:val="both"/>
        <w:rPr>
          <w:rFonts w:ascii="Arial" w:hAnsi="Arial" w:cs="Arial"/>
          <w:sz w:val="20"/>
          <w:szCs w:val="20"/>
        </w:rPr>
      </w:pPr>
      <w:r w:rsidRPr="00AB5A54">
        <w:rPr>
          <w:rFonts w:ascii="Arial" w:hAnsi="Arial" w:cs="Arial"/>
          <w:noProof/>
          <w:sz w:val="20"/>
          <w:szCs w:val="20"/>
        </w:rPr>
        <w:drawing>
          <wp:anchor distT="0" distB="0" distL="114300" distR="114300" simplePos="0" relativeHeight="251660288" behindDoc="0" locked="0" layoutInCell="1" allowOverlap="1" wp14:anchorId="69F3EDDA" wp14:editId="54652990">
            <wp:simplePos x="0" y="0"/>
            <wp:positionH relativeFrom="column">
              <wp:posOffset>3164205</wp:posOffset>
            </wp:positionH>
            <wp:positionV relativeFrom="paragraph">
              <wp:posOffset>831215</wp:posOffset>
            </wp:positionV>
            <wp:extent cx="2511425" cy="1553210"/>
            <wp:effectExtent l="0" t="0" r="3175" b="8890"/>
            <wp:wrapSquare wrapText="r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11425" cy="1553210"/>
                    </a:xfrm>
                    <a:prstGeom prst="rect">
                      <a:avLst/>
                    </a:prstGeom>
                    <a:noFill/>
                    <a:ln>
                      <a:noFill/>
                    </a:ln>
                  </pic:spPr>
                </pic:pic>
              </a:graphicData>
            </a:graphic>
            <wp14:sizeRelH relativeFrom="page">
              <wp14:pctWidth>0</wp14:pctWidth>
            </wp14:sizeRelH>
            <wp14:sizeRelV relativeFrom="page">
              <wp14:pctHeight>0</wp14:pctHeight>
            </wp14:sizeRelV>
          </wp:anchor>
        </w:drawing>
      </w:r>
      <w:r w:rsidR="00C50DD6" w:rsidRPr="00AB5A54">
        <w:rPr>
          <w:rFonts w:ascii="Arial" w:hAnsi="Arial" w:cs="Arial"/>
          <w:sz w:val="20"/>
          <w:szCs w:val="20"/>
        </w:rPr>
        <w:t>Wymiana  obróbki blacharskiej winna być wykonana z blachy stalowej ocynkowanej min grub. 0,7mm oraz znajdować się w miejscu poprzedniej, jednakże powinna być szersza zarówno w części wychodzącej poza skrajnie ściany zewnętrznej. Obróbka winna również zachodzić na drewnianą konstrukcję ściany, zdjęcie poniżej :</w:t>
      </w:r>
      <w:r>
        <w:rPr>
          <w:rFonts w:ascii="Arial" w:hAnsi="Arial" w:cs="Arial"/>
          <w:noProof/>
          <w:sz w:val="20"/>
          <w:szCs w:val="20"/>
        </w:rPr>
        <w:drawing>
          <wp:anchor distT="0" distB="0" distL="114300" distR="114300" simplePos="0" relativeHeight="251661312" behindDoc="1" locked="0" layoutInCell="1" allowOverlap="1" wp14:anchorId="3A5D2D7A" wp14:editId="3543AC46">
            <wp:simplePos x="0" y="0"/>
            <wp:positionH relativeFrom="column">
              <wp:posOffset>471805</wp:posOffset>
            </wp:positionH>
            <wp:positionV relativeFrom="paragraph">
              <wp:posOffset>437515</wp:posOffset>
            </wp:positionV>
            <wp:extent cx="2533650" cy="2876550"/>
            <wp:effectExtent l="0" t="0" r="0" b="0"/>
            <wp:wrapTight wrapText="bothSides">
              <wp:wrapPolygon edited="0">
                <wp:start x="0" y="0"/>
                <wp:lineTo x="0" y="21457"/>
                <wp:lineTo x="21438" y="21457"/>
                <wp:lineTo x="21438"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33650" cy="2876550"/>
                    </a:xfrm>
                    <a:prstGeom prst="rect">
                      <a:avLst/>
                    </a:prstGeom>
                    <a:noFill/>
                    <a:ln>
                      <a:noFill/>
                    </a:ln>
                  </pic:spPr>
                </pic:pic>
              </a:graphicData>
            </a:graphic>
          </wp:anchor>
        </w:drawing>
      </w:r>
    </w:p>
    <w:p w14:paraId="740EAE32" w14:textId="7753486D" w:rsidR="00C50DD6" w:rsidRPr="00AB5A54" w:rsidRDefault="00C50DD6" w:rsidP="00AB5A54">
      <w:pPr>
        <w:spacing w:line="240" w:lineRule="auto"/>
        <w:jc w:val="both"/>
        <w:rPr>
          <w:rFonts w:ascii="Arial" w:hAnsi="Arial" w:cs="Arial"/>
          <w:sz w:val="20"/>
          <w:szCs w:val="20"/>
        </w:rPr>
      </w:pPr>
      <w:r w:rsidRPr="00AB5A54">
        <w:rPr>
          <w:rFonts w:ascii="Arial" w:hAnsi="Arial" w:cs="Arial"/>
          <w:sz w:val="20"/>
          <w:szCs w:val="20"/>
        </w:rPr>
        <w:br w:type="textWrapping" w:clear="all"/>
      </w:r>
    </w:p>
    <w:p w14:paraId="723DA1EE" w14:textId="77777777" w:rsidR="00C50DD6" w:rsidRPr="00AB5A54" w:rsidRDefault="00C50DD6" w:rsidP="00AB5A54">
      <w:pPr>
        <w:spacing w:line="240" w:lineRule="auto"/>
        <w:jc w:val="both"/>
        <w:rPr>
          <w:rFonts w:ascii="Arial" w:hAnsi="Arial" w:cs="Arial"/>
          <w:sz w:val="20"/>
          <w:szCs w:val="20"/>
        </w:rPr>
      </w:pPr>
      <w:r w:rsidRPr="00AB5A54">
        <w:rPr>
          <w:rFonts w:ascii="Arial" w:hAnsi="Arial" w:cs="Arial"/>
          <w:sz w:val="20"/>
          <w:szCs w:val="20"/>
        </w:rPr>
        <w:t>Szczegóły wykonania obróbki, 10 cm obróbka zachodzi na konstrukcję dachu drewnianego, min 10 cm obróbka wychodzi poza lico ściany betonowej. Każdy z pasów obróbki powinien być zakończony kapinosem. Arkusze blachy należy łączyć na zakład za pomocą kołków oraz klejenia :</w:t>
      </w:r>
    </w:p>
    <w:p w14:paraId="160C77F9" w14:textId="458EA97B" w:rsidR="0030618D" w:rsidRPr="00AB5A54" w:rsidRDefault="00EB21FC" w:rsidP="00AB5A54">
      <w:pPr>
        <w:pStyle w:val="Nagwek2"/>
        <w:ind w:left="576" w:hanging="576"/>
        <w:jc w:val="both"/>
        <w:rPr>
          <w:rFonts w:ascii="Arial" w:hAnsi="Arial" w:cs="Arial"/>
          <w:b/>
          <w:bCs/>
          <w:szCs w:val="20"/>
        </w:rPr>
      </w:pPr>
      <w:r w:rsidRPr="00AB5A54">
        <w:rPr>
          <w:rFonts w:ascii="Arial" w:hAnsi="Arial" w:cs="Arial"/>
          <w:b/>
          <w:bCs/>
          <w:szCs w:val="20"/>
        </w:rPr>
        <w:lastRenderedPageBreak/>
        <w:t xml:space="preserve">6. </w:t>
      </w:r>
      <w:r w:rsidR="0030618D" w:rsidRPr="00AB5A54">
        <w:rPr>
          <w:rFonts w:ascii="Arial" w:hAnsi="Arial" w:cs="Arial"/>
          <w:b/>
          <w:bCs/>
          <w:szCs w:val="20"/>
        </w:rPr>
        <w:t>Wymiana rynien półokrągłych i spustowych</w:t>
      </w:r>
    </w:p>
    <w:p w14:paraId="77634D77" w14:textId="77777777" w:rsidR="0030618D" w:rsidRPr="00AB5A54" w:rsidRDefault="0030618D" w:rsidP="00AB5A54">
      <w:pPr>
        <w:pStyle w:val="Nagwek3"/>
        <w:numPr>
          <w:ilvl w:val="0"/>
          <w:numId w:val="0"/>
        </w:numPr>
        <w:jc w:val="both"/>
        <w:rPr>
          <w:rFonts w:ascii="Arial" w:hAnsi="Arial" w:cs="Arial"/>
          <w:bCs/>
          <w:szCs w:val="20"/>
        </w:rPr>
      </w:pPr>
      <w:r w:rsidRPr="00AB5A54">
        <w:rPr>
          <w:rFonts w:ascii="Arial" w:hAnsi="Arial" w:cs="Arial"/>
          <w:szCs w:val="20"/>
        </w:rPr>
        <w:t>Prace obejmują demontaż istniejących rynien a następnie wykonanie rynien półokrągłych  z</w:t>
      </w:r>
      <w:r w:rsidRPr="00AB5A54">
        <w:rPr>
          <w:rFonts w:ascii="Arial" w:hAnsi="Arial" w:cs="Arial"/>
          <w:b/>
          <w:szCs w:val="20"/>
        </w:rPr>
        <w:t xml:space="preserve"> </w:t>
      </w:r>
      <w:r w:rsidRPr="00AB5A54">
        <w:rPr>
          <w:rFonts w:ascii="Arial" w:hAnsi="Arial" w:cs="Arial"/>
          <w:bCs/>
          <w:szCs w:val="20"/>
        </w:rPr>
        <w:t>blachy stalowej ocynkowanej 100 mm. Wraz z demontażem istniejących rynien poziomych, uchwytów. Prace obejmują demontaż istniejących rynien półokrągłych wraz z uchwytami (</w:t>
      </w:r>
      <w:proofErr w:type="spellStart"/>
      <w:r w:rsidRPr="00AB5A54">
        <w:rPr>
          <w:rFonts w:ascii="Arial" w:hAnsi="Arial" w:cs="Arial"/>
          <w:bCs/>
          <w:szCs w:val="20"/>
        </w:rPr>
        <w:t>rynhakami</w:t>
      </w:r>
      <w:proofErr w:type="spellEnd"/>
      <w:r w:rsidRPr="00AB5A54">
        <w:rPr>
          <w:rFonts w:ascii="Arial" w:hAnsi="Arial" w:cs="Arial"/>
          <w:bCs/>
          <w:szCs w:val="20"/>
        </w:rPr>
        <w:t xml:space="preserve">). Jeżeli zachodzi konieczność należy również zdemontować czasowo blachę okapową i papę wierzchniego krycia w celu właściwego montażu. Po zamocowaniu nowych uchwytów montujemy rynny zgodnie ze sztuką oraz ponownie mocujemy blachę okapową i zakończenia papy wierzchniego krycia. cena obejmuje koszt całego zakresu robót niezbędnych do wymiany rynny, min. denka </w:t>
      </w:r>
      <w:proofErr w:type="spellStart"/>
      <w:r w:rsidRPr="00AB5A54">
        <w:rPr>
          <w:rFonts w:ascii="Arial" w:hAnsi="Arial" w:cs="Arial"/>
          <w:bCs/>
          <w:szCs w:val="20"/>
        </w:rPr>
        <w:t>rynhaki</w:t>
      </w:r>
      <w:proofErr w:type="spellEnd"/>
      <w:r w:rsidRPr="00AB5A54">
        <w:rPr>
          <w:rFonts w:ascii="Arial" w:hAnsi="Arial" w:cs="Arial"/>
          <w:bCs/>
          <w:szCs w:val="20"/>
        </w:rPr>
        <w:t>, narożniki.</w:t>
      </w:r>
    </w:p>
    <w:p w14:paraId="379FCF68" w14:textId="77777777" w:rsidR="0030618D" w:rsidRPr="00AB5A54" w:rsidRDefault="0030618D" w:rsidP="00AB5A54">
      <w:pPr>
        <w:pStyle w:val="Akapitzlist"/>
        <w:spacing w:after="0" w:line="276" w:lineRule="auto"/>
        <w:ind w:left="0"/>
        <w:jc w:val="both"/>
        <w:rPr>
          <w:rFonts w:ascii="Arial" w:eastAsia="Times New Roman" w:hAnsi="Arial" w:cs="Arial"/>
          <w:sz w:val="20"/>
          <w:szCs w:val="20"/>
          <w:lang w:eastAsia="pl-PL"/>
        </w:rPr>
      </w:pPr>
      <w:r w:rsidRPr="00AB5A54">
        <w:rPr>
          <w:rFonts w:ascii="Arial" w:hAnsi="Arial" w:cs="Arial"/>
          <w:bCs/>
          <w:sz w:val="20"/>
          <w:szCs w:val="20"/>
        </w:rPr>
        <w:t>Wykonanie rynien spustowych z blachy stalowej ocynkowanej Ø 100 mm, trzy łączenia z rynnami półokrągłymi  oraz demontaż istniejących rynien spustowych. Prace obejmują demontaż istniejących rynien spustowych wraz z uchwytami. Łączenie rur spustowych za pomocą leju spustowego z rynną półokrągłą. prace obejmują pełny zakres prac. Wykonawca</w:t>
      </w:r>
      <w:r w:rsidRPr="00AB5A54">
        <w:rPr>
          <w:rFonts w:ascii="Arial" w:hAnsi="Arial" w:cs="Arial"/>
          <w:sz w:val="20"/>
          <w:szCs w:val="20"/>
        </w:rPr>
        <w:t xml:space="preserve"> w cenie rury spustowej winien uwzględnić zakończenia rynny, leje spustowe, obejmy, wylewki, łączniki, narożniki, i haki rynnowe.</w:t>
      </w:r>
    </w:p>
    <w:p w14:paraId="5E7DD49D" w14:textId="77777777" w:rsidR="00C50DD6" w:rsidRPr="00AB5A54" w:rsidRDefault="00C50DD6" w:rsidP="00AB5A54">
      <w:pPr>
        <w:jc w:val="both"/>
        <w:rPr>
          <w:rFonts w:ascii="Arial" w:hAnsi="Arial" w:cs="Arial"/>
          <w:sz w:val="20"/>
          <w:szCs w:val="20"/>
        </w:rPr>
      </w:pPr>
    </w:p>
    <w:p w14:paraId="6B966B85" w14:textId="73BC1EC6" w:rsidR="0030618D" w:rsidRPr="00AB5A54" w:rsidRDefault="001B4124" w:rsidP="00AB5A54">
      <w:pPr>
        <w:jc w:val="both"/>
        <w:rPr>
          <w:rFonts w:ascii="Arial" w:hAnsi="Arial" w:cs="Arial"/>
          <w:b/>
          <w:bCs/>
          <w:sz w:val="20"/>
          <w:szCs w:val="20"/>
        </w:rPr>
      </w:pPr>
      <w:r>
        <w:rPr>
          <w:rFonts w:ascii="Arial" w:hAnsi="Arial" w:cs="Arial"/>
          <w:sz w:val="20"/>
          <w:szCs w:val="20"/>
        </w:rPr>
        <w:t xml:space="preserve">5. </w:t>
      </w:r>
      <w:r w:rsidR="0030618D" w:rsidRPr="00AB5A54">
        <w:rPr>
          <w:rFonts w:ascii="Arial" w:hAnsi="Arial" w:cs="Arial"/>
          <w:b/>
          <w:bCs/>
          <w:sz w:val="20"/>
          <w:szCs w:val="20"/>
        </w:rPr>
        <w:t>Wymiana zwodów poziomych i pionowych   instalacji odgromowej min Ø 8 mm</w:t>
      </w:r>
    </w:p>
    <w:p w14:paraId="4AE38986" w14:textId="7520EF0C" w:rsidR="0030618D" w:rsidRPr="00AB5A54" w:rsidRDefault="00EA41C8" w:rsidP="00AB5A54">
      <w:pPr>
        <w:jc w:val="both"/>
        <w:rPr>
          <w:rFonts w:ascii="Arial" w:hAnsi="Arial" w:cs="Arial"/>
          <w:sz w:val="20"/>
          <w:szCs w:val="20"/>
        </w:rPr>
      </w:pPr>
      <w:r w:rsidRPr="00AB5A54">
        <w:rPr>
          <w:rFonts w:ascii="Arial" w:hAnsi="Arial" w:cs="Arial"/>
          <w:sz w:val="20"/>
          <w:szCs w:val="20"/>
        </w:rPr>
        <w:t>wszystkie wymieniane elementy powinny być z blachy ocynkowanej. Usługa obejmuje demontaż istniejącego drutu wraz ze  złączami i montaż nowego drutu i złączy.</w:t>
      </w:r>
    </w:p>
    <w:p w14:paraId="24D8AA28" w14:textId="55A09327" w:rsidR="00C50DD6" w:rsidRPr="00AB5A54" w:rsidRDefault="00C50DD6" w:rsidP="00AB5A54">
      <w:pPr>
        <w:pStyle w:val="Nagwek2"/>
        <w:jc w:val="both"/>
        <w:rPr>
          <w:rFonts w:ascii="Arial" w:hAnsi="Arial" w:cs="Arial"/>
          <w:szCs w:val="20"/>
        </w:rPr>
      </w:pPr>
      <w:r w:rsidRPr="00AB5A54">
        <w:rPr>
          <w:rFonts w:ascii="Arial" w:hAnsi="Arial" w:cs="Arial"/>
          <w:szCs w:val="20"/>
        </w:rPr>
        <w:t>Wszelkie elementy metalowe dachu nie podlegające wymianie należy pomalować dwukrotnie farbą antykorozyjną w kolorze ustalonym z Zamawiającym.</w:t>
      </w:r>
    </w:p>
    <w:p w14:paraId="27048072" w14:textId="77777777" w:rsidR="00C50DD6" w:rsidRPr="00AB5A54" w:rsidRDefault="00C50DD6" w:rsidP="00AB5A54">
      <w:pPr>
        <w:pStyle w:val="Nagwek2"/>
        <w:ind w:left="576"/>
        <w:jc w:val="both"/>
        <w:rPr>
          <w:rFonts w:ascii="Arial" w:hAnsi="Arial" w:cs="Arial"/>
          <w:szCs w:val="20"/>
        </w:rPr>
      </w:pPr>
    </w:p>
    <w:p w14:paraId="72C06CED" w14:textId="77777777" w:rsidR="00C50DD6" w:rsidRPr="00AB5A54" w:rsidRDefault="00C50DD6" w:rsidP="00AB5A54">
      <w:pPr>
        <w:jc w:val="both"/>
        <w:rPr>
          <w:rFonts w:ascii="Arial" w:hAnsi="Arial" w:cs="Arial"/>
          <w:sz w:val="20"/>
          <w:szCs w:val="20"/>
        </w:rPr>
      </w:pPr>
    </w:p>
    <w:p w14:paraId="5B1FC64B" w14:textId="7376C7F5" w:rsidR="00C50DD6" w:rsidRPr="00AB5A54" w:rsidRDefault="001B4124" w:rsidP="001B4124">
      <w:pPr>
        <w:pStyle w:val="Nagwek1"/>
        <w:numPr>
          <w:ilvl w:val="0"/>
          <w:numId w:val="0"/>
        </w:numPr>
        <w:jc w:val="both"/>
        <w:rPr>
          <w:rFonts w:ascii="Arial" w:hAnsi="Arial" w:cs="Arial"/>
          <w:szCs w:val="20"/>
        </w:rPr>
      </w:pPr>
      <w:r>
        <w:rPr>
          <w:rFonts w:ascii="Arial" w:hAnsi="Arial" w:cs="Arial"/>
          <w:szCs w:val="20"/>
        </w:rPr>
        <w:t xml:space="preserve">6. </w:t>
      </w:r>
      <w:r w:rsidR="00C50DD6" w:rsidRPr="00AB5A54">
        <w:rPr>
          <w:rFonts w:ascii="Arial" w:hAnsi="Arial" w:cs="Arial"/>
          <w:szCs w:val="20"/>
        </w:rPr>
        <w:t>Jednostka obmiarowa – obmiar według pozycji obmiarowych zawartych w kosztorysie ofertowym.</w:t>
      </w:r>
    </w:p>
    <w:p w14:paraId="5E9F137F" w14:textId="77777777" w:rsidR="00EB21FC" w:rsidRPr="00AB5A54" w:rsidRDefault="00EB21FC" w:rsidP="00AB5A54">
      <w:pPr>
        <w:jc w:val="both"/>
        <w:rPr>
          <w:rFonts w:ascii="Arial" w:hAnsi="Arial" w:cs="Arial"/>
          <w:sz w:val="20"/>
          <w:szCs w:val="20"/>
        </w:rPr>
      </w:pPr>
    </w:p>
    <w:p w14:paraId="6D07115F" w14:textId="77777777" w:rsidR="00C50DD6" w:rsidRPr="00AB5A54" w:rsidRDefault="00C50DD6" w:rsidP="00AB5A54">
      <w:pPr>
        <w:pStyle w:val="Nagwek1"/>
        <w:numPr>
          <w:ilvl w:val="0"/>
          <w:numId w:val="0"/>
        </w:numPr>
        <w:ind w:left="432" w:hanging="432"/>
        <w:jc w:val="both"/>
        <w:rPr>
          <w:rFonts w:ascii="Arial" w:hAnsi="Arial" w:cs="Arial"/>
          <w:szCs w:val="20"/>
        </w:rPr>
      </w:pPr>
      <w:r w:rsidRPr="00AB5A54">
        <w:rPr>
          <w:rFonts w:ascii="Arial" w:hAnsi="Arial" w:cs="Arial"/>
          <w:szCs w:val="20"/>
        </w:rPr>
        <w:t>Kontrola jakości:</w:t>
      </w:r>
    </w:p>
    <w:p w14:paraId="43325974" w14:textId="77777777" w:rsidR="00C50DD6" w:rsidRPr="00AB5A54" w:rsidRDefault="00C50DD6" w:rsidP="00AB5A54">
      <w:pPr>
        <w:pStyle w:val="Nagwek2"/>
        <w:ind w:left="576" w:hanging="576"/>
        <w:jc w:val="both"/>
        <w:rPr>
          <w:rFonts w:ascii="Arial" w:hAnsi="Arial" w:cs="Arial"/>
          <w:szCs w:val="20"/>
        </w:rPr>
      </w:pPr>
      <w:r w:rsidRPr="00AB5A54">
        <w:rPr>
          <w:rFonts w:ascii="Arial" w:hAnsi="Arial" w:cs="Arial"/>
          <w:szCs w:val="20"/>
        </w:rPr>
        <w:t>Kontrola jakości odbywać się będzie poprzez:</w:t>
      </w:r>
    </w:p>
    <w:p w14:paraId="7D9E9F5D" w14:textId="77777777" w:rsidR="00C50DD6" w:rsidRPr="00AB5A54" w:rsidRDefault="00C50DD6" w:rsidP="00AB5A54">
      <w:pPr>
        <w:pStyle w:val="Akapitzlist"/>
        <w:numPr>
          <w:ilvl w:val="0"/>
          <w:numId w:val="2"/>
        </w:numPr>
        <w:spacing w:after="0"/>
        <w:jc w:val="both"/>
        <w:rPr>
          <w:rFonts w:ascii="Arial" w:hAnsi="Arial" w:cs="Arial"/>
          <w:sz w:val="20"/>
          <w:szCs w:val="20"/>
        </w:rPr>
      </w:pPr>
      <w:r w:rsidRPr="00AB5A54">
        <w:rPr>
          <w:rFonts w:ascii="Arial" w:hAnsi="Arial" w:cs="Arial"/>
          <w:sz w:val="20"/>
          <w:szCs w:val="20"/>
        </w:rPr>
        <w:t>ocenę wizualną wykonanych prac,</w:t>
      </w:r>
    </w:p>
    <w:p w14:paraId="4954A606" w14:textId="77777777" w:rsidR="00C50DD6" w:rsidRPr="00AB5A54" w:rsidRDefault="00C50DD6" w:rsidP="00AB5A54">
      <w:pPr>
        <w:pStyle w:val="Akapitzlist"/>
        <w:numPr>
          <w:ilvl w:val="0"/>
          <w:numId w:val="2"/>
        </w:numPr>
        <w:spacing w:after="0"/>
        <w:jc w:val="both"/>
        <w:rPr>
          <w:rFonts w:ascii="Arial" w:hAnsi="Arial" w:cs="Arial"/>
          <w:sz w:val="20"/>
          <w:szCs w:val="20"/>
        </w:rPr>
      </w:pPr>
      <w:r w:rsidRPr="00AB5A54">
        <w:rPr>
          <w:rFonts w:ascii="Arial" w:hAnsi="Arial" w:cs="Arial"/>
          <w:sz w:val="20"/>
          <w:szCs w:val="20"/>
        </w:rPr>
        <w:t>ocenę ilościową (obmiarową) wykonanych prac;</w:t>
      </w:r>
    </w:p>
    <w:p w14:paraId="4F721C1B" w14:textId="64B344BC" w:rsidR="00C50DD6" w:rsidRPr="00AB5A54" w:rsidRDefault="00C50DD6" w:rsidP="00AB5A54">
      <w:pPr>
        <w:pStyle w:val="Akapitzlist"/>
        <w:numPr>
          <w:ilvl w:val="0"/>
          <w:numId w:val="2"/>
        </w:numPr>
        <w:spacing w:after="0"/>
        <w:jc w:val="both"/>
        <w:rPr>
          <w:rFonts w:ascii="Arial" w:hAnsi="Arial" w:cs="Arial"/>
          <w:sz w:val="20"/>
          <w:szCs w:val="20"/>
        </w:rPr>
      </w:pPr>
      <w:r w:rsidRPr="00AB5A54">
        <w:rPr>
          <w:rFonts w:ascii="Arial" w:hAnsi="Arial" w:cs="Arial"/>
          <w:sz w:val="20"/>
          <w:szCs w:val="20"/>
        </w:rPr>
        <w:t xml:space="preserve">zgodność użytych materiałów z zatwierdzeniem, o którym mowa w </w:t>
      </w:r>
      <w:r w:rsidR="00A03F1C">
        <w:rPr>
          <w:rFonts w:ascii="Arial" w:hAnsi="Arial" w:cs="Arial"/>
          <w:sz w:val="20"/>
          <w:szCs w:val="20"/>
        </w:rPr>
        <w:t>OPZ</w:t>
      </w:r>
    </w:p>
    <w:p w14:paraId="67AD0F2C" w14:textId="77777777" w:rsidR="00C50DD6" w:rsidRPr="00AB5A54" w:rsidRDefault="00C50DD6" w:rsidP="00AB5A54">
      <w:pPr>
        <w:pStyle w:val="Akapitzlist"/>
        <w:numPr>
          <w:ilvl w:val="0"/>
          <w:numId w:val="2"/>
        </w:numPr>
        <w:spacing w:after="0"/>
        <w:jc w:val="both"/>
        <w:rPr>
          <w:rFonts w:ascii="Arial" w:hAnsi="Arial" w:cs="Arial"/>
          <w:sz w:val="20"/>
          <w:szCs w:val="20"/>
        </w:rPr>
      </w:pPr>
      <w:r w:rsidRPr="00AB5A54">
        <w:rPr>
          <w:rFonts w:ascii="Arial" w:hAnsi="Arial" w:cs="Arial"/>
          <w:sz w:val="20"/>
          <w:szCs w:val="20"/>
        </w:rPr>
        <w:t>zgodność technologii z OPZ.</w:t>
      </w:r>
    </w:p>
    <w:p w14:paraId="752C033E" w14:textId="77777777" w:rsidR="00C50DD6" w:rsidRPr="00AB5A54" w:rsidRDefault="00C50DD6" w:rsidP="00AB5A54">
      <w:pPr>
        <w:pStyle w:val="Nagwek2"/>
        <w:ind w:left="576"/>
        <w:jc w:val="both"/>
        <w:rPr>
          <w:rFonts w:ascii="Arial" w:hAnsi="Arial" w:cs="Arial"/>
          <w:szCs w:val="20"/>
        </w:rPr>
      </w:pPr>
      <w:r w:rsidRPr="00AB5A54">
        <w:rPr>
          <w:rFonts w:ascii="Arial" w:hAnsi="Arial" w:cs="Arial"/>
          <w:szCs w:val="20"/>
        </w:rPr>
        <w:t>W czasie wykonywanych prac strony na bieżąco zgłaszają roboty co do których mają wątpliwości.</w:t>
      </w:r>
    </w:p>
    <w:p w14:paraId="34854FD2" w14:textId="77777777" w:rsidR="00C50DD6" w:rsidRPr="00AB5A54" w:rsidRDefault="00C50DD6" w:rsidP="00AB5A54">
      <w:pPr>
        <w:pStyle w:val="Nagwek2"/>
        <w:ind w:left="576"/>
        <w:jc w:val="both"/>
        <w:rPr>
          <w:rFonts w:ascii="Arial" w:hAnsi="Arial" w:cs="Arial"/>
          <w:szCs w:val="20"/>
        </w:rPr>
      </w:pPr>
      <w:r w:rsidRPr="00AB5A54">
        <w:rPr>
          <w:rFonts w:ascii="Arial" w:hAnsi="Arial" w:cs="Arial"/>
          <w:szCs w:val="20"/>
        </w:rPr>
        <w:t>Wykonawca na bieżąco zgłasza prace tzw.: zanikające (prace izolacyjne) celem bieżącej kontroli jakości ich wykonania.</w:t>
      </w:r>
    </w:p>
    <w:p w14:paraId="7953ED26" w14:textId="76715AB8" w:rsidR="00C50DD6" w:rsidRPr="00AB5A54" w:rsidRDefault="001B4124" w:rsidP="00AB5A54">
      <w:pPr>
        <w:pStyle w:val="Nagwek1"/>
        <w:numPr>
          <w:ilvl w:val="0"/>
          <w:numId w:val="0"/>
        </w:numPr>
        <w:ind w:left="432" w:hanging="432"/>
        <w:jc w:val="both"/>
        <w:rPr>
          <w:rFonts w:ascii="Arial" w:hAnsi="Arial" w:cs="Arial"/>
          <w:szCs w:val="20"/>
        </w:rPr>
      </w:pPr>
      <w:r>
        <w:rPr>
          <w:rFonts w:ascii="Arial" w:hAnsi="Arial" w:cs="Arial"/>
          <w:szCs w:val="20"/>
        </w:rPr>
        <w:t xml:space="preserve">7. </w:t>
      </w:r>
      <w:r w:rsidR="00C50DD6" w:rsidRPr="00AB5A54">
        <w:rPr>
          <w:rFonts w:ascii="Arial" w:hAnsi="Arial" w:cs="Arial"/>
          <w:szCs w:val="20"/>
        </w:rPr>
        <w:t>Podstawa płatności</w:t>
      </w:r>
    </w:p>
    <w:p w14:paraId="23BDBE0C" w14:textId="77777777" w:rsidR="00C50DD6" w:rsidRPr="00AB5A54" w:rsidRDefault="00C50DD6" w:rsidP="00AB5A54">
      <w:pPr>
        <w:spacing w:after="0"/>
        <w:ind w:left="426"/>
        <w:jc w:val="both"/>
        <w:rPr>
          <w:rFonts w:ascii="Arial" w:hAnsi="Arial" w:cs="Arial"/>
          <w:sz w:val="20"/>
          <w:szCs w:val="20"/>
        </w:rPr>
      </w:pPr>
      <w:r w:rsidRPr="00AB5A54">
        <w:rPr>
          <w:rFonts w:ascii="Arial" w:hAnsi="Arial" w:cs="Arial"/>
          <w:sz w:val="20"/>
          <w:szCs w:val="20"/>
        </w:rPr>
        <w:t>Cena jednostki obmiarowej obejmuje dostawy i wykonanie wszelkich prac opisanych w przedmiarze w tym w szczególności:</w:t>
      </w:r>
    </w:p>
    <w:p w14:paraId="413093EC" w14:textId="77777777" w:rsidR="00C50DD6" w:rsidRPr="00AB5A54" w:rsidRDefault="00C50DD6" w:rsidP="00AB5A54">
      <w:pPr>
        <w:pStyle w:val="Akapitzlist"/>
        <w:numPr>
          <w:ilvl w:val="0"/>
          <w:numId w:val="1"/>
        </w:numPr>
        <w:spacing w:after="0"/>
        <w:jc w:val="both"/>
        <w:rPr>
          <w:rFonts w:ascii="Arial" w:hAnsi="Arial" w:cs="Arial"/>
          <w:sz w:val="20"/>
          <w:szCs w:val="20"/>
        </w:rPr>
      </w:pPr>
      <w:r w:rsidRPr="00AB5A54">
        <w:rPr>
          <w:rFonts w:ascii="Arial" w:hAnsi="Arial" w:cs="Arial"/>
          <w:sz w:val="20"/>
          <w:szCs w:val="20"/>
        </w:rPr>
        <w:t>zabezpieczenie soli przed zanieczyszczeniem;</w:t>
      </w:r>
    </w:p>
    <w:p w14:paraId="7FA79C19" w14:textId="77777777" w:rsidR="00C50DD6" w:rsidRPr="00AB5A54" w:rsidRDefault="00C50DD6" w:rsidP="00AB5A54">
      <w:pPr>
        <w:pStyle w:val="Akapitzlist"/>
        <w:numPr>
          <w:ilvl w:val="0"/>
          <w:numId w:val="1"/>
        </w:numPr>
        <w:spacing w:after="0"/>
        <w:jc w:val="both"/>
        <w:rPr>
          <w:rFonts w:ascii="Arial" w:hAnsi="Arial" w:cs="Arial"/>
          <w:sz w:val="20"/>
          <w:szCs w:val="20"/>
        </w:rPr>
      </w:pPr>
      <w:r w:rsidRPr="00AB5A54">
        <w:rPr>
          <w:rFonts w:ascii="Arial" w:hAnsi="Arial" w:cs="Arial"/>
          <w:sz w:val="20"/>
          <w:szCs w:val="20"/>
        </w:rPr>
        <w:t>roboty rozbiórkowe;</w:t>
      </w:r>
    </w:p>
    <w:p w14:paraId="5C1C6357" w14:textId="77777777" w:rsidR="00C50DD6" w:rsidRPr="00AB5A54" w:rsidRDefault="00C50DD6" w:rsidP="00AB5A54">
      <w:pPr>
        <w:pStyle w:val="Akapitzlist"/>
        <w:numPr>
          <w:ilvl w:val="0"/>
          <w:numId w:val="1"/>
        </w:numPr>
        <w:spacing w:after="0"/>
        <w:jc w:val="both"/>
        <w:rPr>
          <w:rFonts w:ascii="Arial" w:hAnsi="Arial" w:cs="Arial"/>
          <w:sz w:val="20"/>
          <w:szCs w:val="20"/>
        </w:rPr>
      </w:pPr>
      <w:r w:rsidRPr="00AB5A54">
        <w:rPr>
          <w:rFonts w:ascii="Arial" w:hAnsi="Arial" w:cs="Arial"/>
          <w:sz w:val="20"/>
          <w:szCs w:val="20"/>
        </w:rPr>
        <w:t>przygotowanie powierzchni;</w:t>
      </w:r>
    </w:p>
    <w:p w14:paraId="481BEEFA" w14:textId="77777777" w:rsidR="00C50DD6" w:rsidRPr="00AB5A54" w:rsidRDefault="00C50DD6" w:rsidP="00AB5A54">
      <w:pPr>
        <w:pStyle w:val="Akapitzlist"/>
        <w:numPr>
          <w:ilvl w:val="0"/>
          <w:numId w:val="1"/>
        </w:numPr>
        <w:spacing w:after="0"/>
        <w:jc w:val="both"/>
        <w:rPr>
          <w:rFonts w:ascii="Arial" w:hAnsi="Arial" w:cs="Arial"/>
          <w:sz w:val="20"/>
          <w:szCs w:val="20"/>
        </w:rPr>
      </w:pPr>
      <w:r w:rsidRPr="00AB5A54">
        <w:rPr>
          <w:rFonts w:ascii="Arial" w:hAnsi="Arial" w:cs="Arial"/>
          <w:sz w:val="20"/>
          <w:szCs w:val="20"/>
        </w:rPr>
        <w:t>położenie powierzchni;</w:t>
      </w:r>
    </w:p>
    <w:p w14:paraId="72ABB5A6" w14:textId="77777777" w:rsidR="00C50DD6" w:rsidRPr="00AB5A54" w:rsidRDefault="00C50DD6" w:rsidP="00AB5A54">
      <w:pPr>
        <w:pStyle w:val="Akapitzlist"/>
        <w:numPr>
          <w:ilvl w:val="0"/>
          <w:numId w:val="1"/>
        </w:numPr>
        <w:spacing w:after="0"/>
        <w:jc w:val="both"/>
        <w:rPr>
          <w:rFonts w:ascii="Arial" w:hAnsi="Arial" w:cs="Arial"/>
          <w:sz w:val="20"/>
          <w:szCs w:val="20"/>
        </w:rPr>
      </w:pPr>
      <w:r w:rsidRPr="00AB5A54">
        <w:rPr>
          <w:rFonts w:ascii="Arial" w:hAnsi="Arial" w:cs="Arial"/>
          <w:sz w:val="20"/>
          <w:szCs w:val="20"/>
        </w:rPr>
        <w:t>wykonanie powłok z farby elewacyjnej silikonowej ;</w:t>
      </w:r>
    </w:p>
    <w:p w14:paraId="4064906C" w14:textId="77777777" w:rsidR="00C50DD6" w:rsidRPr="00AB5A54" w:rsidRDefault="00C50DD6" w:rsidP="00AB5A54">
      <w:pPr>
        <w:pStyle w:val="Akapitzlist"/>
        <w:numPr>
          <w:ilvl w:val="0"/>
          <w:numId w:val="1"/>
        </w:numPr>
        <w:spacing w:after="0"/>
        <w:jc w:val="both"/>
        <w:rPr>
          <w:rFonts w:ascii="Arial" w:hAnsi="Arial" w:cs="Arial"/>
          <w:sz w:val="20"/>
          <w:szCs w:val="20"/>
        </w:rPr>
      </w:pPr>
      <w:r w:rsidRPr="00AB5A54">
        <w:rPr>
          <w:rFonts w:ascii="Arial" w:hAnsi="Arial" w:cs="Arial"/>
          <w:sz w:val="20"/>
          <w:szCs w:val="20"/>
        </w:rPr>
        <w:t>zakup wszelkich materiałów niezbędnych dla prawidłowego wykonania remontu;</w:t>
      </w:r>
    </w:p>
    <w:p w14:paraId="6D056775" w14:textId="77777777" w:rsidR="00C50DD6" w:rsidRPr="00AB5A54" w:rsidRDefault="00C50DD6" w:rsidP="00AB5A54">
      <w:pPr>
        <w:pStyle w:val="Akapitzlist"/>
        <w:numPr>
          <w:ilvl w:val="0"/>
          <w:numId w:val="1"/>
        </w:numPr>
        <w:spacing w:after="0"/>
        <w:jc w:val="both"/>
        <w:rPr>
          <w:rFonts w:ascii="Arial" w:hAnsi="Arial" w:cs="Arial"/>
          <w:sz w:val="20"/>
          <w:szCs w:val="20"/>
        </w:rPr>
      </w:pPr>
      <w:r w:rsidRPr="00AB5A54">
        <w:rPr>
          <w:rFonts w:ascii="Arial" w:hAnsi="Arial" w:cs="Arial"/>
          <w:sz w:val="20"/>
          <w:szCs w:val="20"/>
        </w:rPr>
        <w:t>przeprowadzenie wszelkich zgodnie ze sztuką budowlaną oraz zasadami BHP</w:t>
      </w:r>
    </w:p>
    <w:p w14:paraId="035EE6BF" w14:textId="77777777" w:rsidR="00C50DD6" w:rsidRPr="00AB5A54" w:rsidRDefault="00C50DD6" w:rsidP="00AB5A54">
      <w:pPr>
        <w:pStyle w:val="Akapitzlist"/>
        <w:numPr>
          <w:ilvl w:val="0"/>
          <w:numId w:val="1"/>
        </w:numPr>
        <w:spacing w:after="0"/>
        <w:jc w:val="both"/>
        <w:rPr>
          <w:rFonts w:ascii="Arial" w:hAnsi="Arial" w:cs="Arial"/>
          <w:sz w:val="20"/>
          <w:szCs w:val="20"/>
        </w:rPr>
      </w:pPr>
      <w:r w:rsidRPr="00AB5A54">
        <w:rPr>
          <w:rFonts w:ascii="Arial" w:hAnsi="Arial" w:cs="Arial"/>
          <w:sz w:val="20"/>
          <w:szCs w:val="20"/>
        </w:rPr>
        <w:t>koszty transportu oraz utylizacji materiałów z rozbiórki;</w:t>
      </w:r>
    </w:p>
    <w:p w14:paraId="6AC6EEF2" w14:textId="77777777" w:rsidR="00C50DD6" w:rsidRPr="00AB5A54" w:rsidRDefault="00C50DD6" w:rsidP="00AB5A54">
      <w:pPr>
        <w:pStyle w:val="Akapitzlist"/>
        <w:numPr>
          <w:ilvl w:val="0"/>
          <w:numId w:val="1"/>
        </w:numPr>
        <w:spacing w:after="0"/>
        <w:jc w:val="both"/>
        <w:rPr>
          <w:rFonts w:ascii="Arial" w:hAnsi="Arial" w:cs="Arial"/>
          <w:sz w:val="20"/>
          <w:szCs w:val="20"/>
        </w:rPr>
      </w:pPr>
      <w:r w:rsidRPr="00AB5A54">
        <w:rPr>
          <w:rFonts w:ascii="Arial" w:hAnsi="Arial" w:cs="Arial"/>
          <w:sz w:val="20"/>
          <w:szCs w:val="20"/>
        </w:rPr>
        <w:t>sprzątnięcie terenu wokół terenu robót.</w:t>
      </w:r>
    </w:p>
    <w:p w14:paraId="6CC9B7A4" w14:textId="77777777" w:rsidR="00C50DD6" w:rsidRPr="00AB5A54" w:rsidRDefault="00C50DD6" w:rsidP="00AB5A54">
      <w:pPr>
        <w:spacing w:after="0"/>
        <w:jc w:val="both"/>
        <w:rPr>
          <w:rFonts w:ascii="Arial" w:hAnsi="Arial" w:cs="Arial"/>
          <w:sz w:val="20"/>
          <w:szCs w:val="20"/>
        </w:rPr>
      </w:pPr>
    </w:p>
    <w:p w14:paraId="119706FE" w14:textId="77777777" w:rsidR="00C50DD6" w:rsidRPr="00AB5A54" w:rsidRDefault="00C50DD6" w:rsidP="00AB5A54">
      <w:pPr>
        <w:spacing w:after="0"/>
        <w:jc w:val="both"/>
        <w:rPr>
          <w:rFonts w:ascii="Arial" w:hAnsi="Arial" w:cs="Arial"/>
          <w:sz w:val="20"/>
          <w:szCs w:val="20"/>
        </w:rPr>
      </w:pPr>
      <w:r w:rsidRPr="00AB5A54">
        <w:rPr>
          <w:rFonts w:ascii="Arial" w:hAnsi="Arial" w:cs="Arial"/>
          <w:sz w:val="20"/>
          <w:szCs w:val="20"/>
        </w:rPr>
        <w:t xml:space="preserve">Przed przystąpieniem do wyceny niniejszego zamówienia publicznego, konieczne jest dokonanie rzeczywistych obmiarów w w/w lokalizacji w celu zapoznania się wykonawcy z sytuacją dotyczącą realizacji przedmiotu zadania oraz możliwości dokonania wyceny wszystkich elementów niezbędnych do prawidłowego jego wykonania. Potwierdzeniem dokonania pomiarów w siedzibie tutejszego Urzędu będzie złożenie oferty. W związku z tym wyklucza się jakiekolwiek roszczenia Wykonawcy związane z </w:t>
      </w:r>
      <w:r w:rsidRPr="00AB5A54">
        <w:rPr>
          <w:rFonts w:ascii="Arial" w:hAnsi="Arial" w:cs="Arial"/>
          <w:sz w:val="20"/>
          <w:szCs w:val="20"/>
        </w:rPr>
        <w:lastRenderedPageBreak/>
        <w:t>nieprawidłowym skalkulowaniem ceny lub pominięcia pewnych elementów niezbędnych do prawidłowego wykonania niniejszego zamówienia.</w:t>
      </w:r>
    </w:p>
    <w:p w14:paraId="1CD61DE6" w14:textId="77777777" w:rsidR="003115AD" w:rsidRPr="00AB5A54" w:rsidRDefault="003115AD" w:rsidP="00AB5A54">
      <w:pPr>
        <w:jc w:val="both"/>
        <w:rPr>
          <w:rFonts w:ascii="Arial" w:hAnsi="Arial" w:cs="Arial"/>
          <w:sz w:val="20"/>
          <w:szCs w:val="20"/>
        </w:rPr>
      </w:pPr>
    </w:p>
    <w:sectPr w:rsidR="003115AD" w:rsidRPr="00AB5A54" w:rsidSect="00EB21FC">
      <w:footerReference w:type="default" r:id="rId17"/>
      <w:pgSz w:w="11906" w:h="16838"/>
      <w:pgMar w:top="709" w:right="1133" w:bottom="709" w:left="1417" w:header="708" w:footer="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31A68" w14:textId="77777777" w:rsidR="003B3424" w:rsidRDefault="003B3424">
      <w:pPr>
        <w:spacing w:after="0" w:line="240" w:lineRule="auto"/>
      </w:pPr>
      <w:r>
        <w:separator/>
      </w:r>
    </w:p>
  </w:endnote>
  <w:endnote w:type="continuationSeparator" w:id="0">
    <w:p w14:paraId="06945E30" w14:textId="77777777" w:rsidR="003B3424" w:rsidRDefault="003B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072859"/>
      <w:docPartObj>
        <w:docPartGallery w:val="Page Numbers (Bottom of Page)"/>
        <w:docPartUnique/>
      </w:docPartObj>
    </w:sdtPr>
    <w:sdtEndPr/>
    <w:sdtContent>
      <w:p w14:paraId="06152D44" w14:textId="77777777" w:rsidR="00515195" w:rsidRDefault="00C50DD6">
        <w:pPr>
          <w:pStyle w:val="Stopka"/>
          <w:jc w:val="center"/>
        </w:pPr>
        <w:r>
          <w:fldChar w:fldCharType="begin"/>
        </w:r>
        <w:r>
          <w:instrText>PAGE   \* MERGEFORMAT</w:instrText>
        </w:r>
        <w:r>
          <w:fldChar w:fldCharType="separate"/>
        </w:r>
        <w:r>
          <w:rPr>
            <w:noProof/>
          </w:rPr>
          <w:t>3</w:t>
        </w:r>
        <w:r>
          <w:fldChar w:fldCharType="end"/>
        </w:r>
      </w:p>
    </w:sdtContent>
  </w:sdt>
  <w:p w14:paraId="75762C9E" w14:textId="77777777" w:rsidR="00515195" w:rsidRDefault="003B34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869C2" w14:textId="77777777" w:rsidR="003B3424" w:rsidRDefault="003B3424">
      <w:pPr>
        <w:spacing w:after="0" w:line="240" w:lineRule="auto"/>
      </w:pPr>
      <w:r>
        <w:separator/>
      </w:r>
    </w:p>
  </w:footnote>
  <w:footnote w:type="continuationSeparator" w:id="0">
    <w:p w14:paraId="5817A07D" w14:textId="77777777" w:rsidR="003B3424" w:rsidRDefault="003B34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C321B"/>
    <w:multiLevelType w:val="hybridMultilevel"/>
    <w:tmpl w:val="F52AE82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3BFA281B"/>
    <w:multiLevelType w:val="hybridMultilevel"/>
    <w:tmpl w:val="BE043F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2CF702E"/>
    <w:multiLevelType w:val="multilevel"/>
    <w:tmpl w:val="E7C86D18"/>
    <w:lvl w:ilvl="0">
      <w:start w:val="1"/>
      <w:numFmt w:val="decimal"/>
      <w:pStyle w:val="Nagwek1"/>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 w15:restartNumberingAfterBreak="0">
    <w:nsid w:val="7D8E7DC2"/>
    <w:multiLevelType w:val="hybridMultilevel"/>
    <w:tmpl w:val="B9D8127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DD6"/>
    <w:rsid w:val="00053D14"/>
    <w:rsid w:val="001B4124"/>
    <w:rsid w:val="0030618D"/>
    <w:rsid w:val="003115AD"/>
    <w:rsid w:val="00372FBE"/>
    <w:rsid w:val="003B3424"/>
    <w:rsid w:val="00547232"/>
    <w:rsid w:val="006C1864"/>
    <w:rsid w:val="00767AEA"/>
    <w:rsid w:val="00A03F1C"/>
    <w:rsid w:val="00A37B22"/>
    <w:rsid w:val="00AB5A54"/>
    <w:rsid w:val="00BB49F9"/>
    <w:rsid w:val="00C50DD6"/>
    <w:rsid w:val="00D973F0"/>
    <w:rsid w:val="00DD3139"/>
    <w:rsid w:val="00EA41C8"/>
    <w:rsid w:val="00EB21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B234"/>
  <w15:chartTrackingRefBased/>
  <w15:docId w15:val="{018FCD6D-2158-4B23-975E-61A48C50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0DD6"/>
  </w:style>
  <w:style w:type="paragraph" w:styleId="Nagwek1">
    <w:name w:val="heading 1"/>
    <w:basedOn w:val="Normalny"/>
    <w:next w:val="Normalny"/>
    <w:link w:val="Nagwek1Znak"/>
    <w:uiPriority w:val="9"/>
    <w:qFormat/>
    <w:rsid w:val="00C50DD6"/>
    <w:pPr>
      <w:keepNext/>
      <w:keepLines/>
      <w:numPr>
        <w:numId w:val="3"/>
      </w:numPr>
      <w:spacing w:before="120" w:after="120" w:line="240" w:lineRule="auto"/>
      <w:outlineLvl w:val="0"/>
    </w:pPr>
    <w:rPr>
      <w:rFonts w:ascii="Verdana" w:eastAsiaTheme="majorEastAsia" w:hAnsi="Verdana" w:cstheme="majorBidi"/>
      <w:b/>
      <w:bCs/>
      <w:caps/>
      <w:sz w:val="20"/>
      <w:szCs w:val="28"/>
    </w:rPr>
  </w:style>
  <w:style w:type="paragraph" w:styleId="Nagwek2">
    <w:name w:val="heading 2"/>
    <w:basedOn w:val="Normalny"/>
    <w:next w:val="Normalny"/>
    <w:link w:val="Nagwek2Znak"/>
    <w:uiPriority w:val="9"/>
    <w:unhideWhenUsed/>
    <w:qFormat/>
    <w:rsid w:val="00C50DD6"/>
    <w:pPr>
      <w:keepNext/>
      <w:keepLines/>
      <w:spacing w:before="120" w:after="120"/>
      <w:outlineLvl w:val="1"/>
    </w:pPr>
    <w:rPr>
      <w:rFonts w:ascii="Verdana" w:eastAsiaTheme="majorEastAsia" w:hAnsi="Verdana" w:cstheme="majorBidi"/>
      <w:sz w:val="20"/>
      <w:szCs w:val="26"/>
    </w:rPr>
  </w:style>
  <w:style w:type="paragraph" w:styleId="Nagwek3">
    <w:name w:val="heading 3"/>
    <w:basedOn w:val="Normalny"/>
    <w:next w:val="Normalny"/>
    <w:link w:val="Nagwek3Znak"/>
    <w:uiPriority w:val="9"/>
    <w:unhideWhenUsed/>
    <w:qFormat/>
    <w:rsid w:val="00C50DD6"/>
    <w:pPr>
      <w:keepNext/>
      <w:keepLines/>
      <w:numPr>
        <w:ilvl w:val="2"/>
        <w:numId w:val="3"/>
      </w:numPr>
      <w:spacing w:before="120" w:after="120"/>
      <w:outlineLvl w:val="2"/>
    </w:pPr>
    <w:rPr>
      <w:rFonts w:ascii="Verdana" w:eastAsiaTheme="majorEastAsia" w:hAnsi="Verdana" w:cstheme="majorBidi"/>
      <w:sz w:val="20"/>
      <w:szCs w:val="24"/>
    </w:rPr>
  </w:style>
  <w:style w:type="paragraph" w:styleId="Nagwek4">
    <w:name w:val="heading 4"/>
    <w:basedOn w:val="Normalny"/>
    <w:next w:val="Normalny"/>
    <w:link w:val="Nagwek4Znak"/>
    <w:uiPriority w:val="9"/>
    <w:semiHidden/>
    <w:unhideWhenUsed/>
    <w:qFormat/>
    <w:rsid w:val="00C50DD6"/>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C50DD6"/>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C50DD6"/>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C50DD6"/>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C50DD6"/>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C50DD6"/>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50DD6"/>
    <w:rPr>
      <w:rFonts w:ascii="Verdana" w:eastAsiaTheme="majorEastAsia" w:hAnsi="Verdana" w:cstheme="majorBidi"/>
      <w:b/>
      <w:bCs/>
      <w:caps/>
      <w:sz w:val="20"/>
      <w:szCs w:val="28"/>
    </w:rPr>
  </w:style>
  <w:style w:type="character" w:customStyle="1" w:styleId="Nagwek2Znak">
    <w:name w:val="Nagłówek 2 Znak"/>
    <w:basedOn w:val="Domylnaczcionkaakapitu"/>
    <w:link w:val="Nagwek2"/>
    <w:uiPriority w:val="9"/>
    <w:rsid w:val="00C50DD6"/>
    <w:rPr>
      <w:rFonts w:ascii="Verdana" w:eastAsiaTheme="majorEastAsia" w:hAnsi="Verdana" w:cstheme="majorBidi"/>
      <w:sz w:val="20"/>
      <w:szCs w:val="26"/>
    </w:rPr>
  </w:style>
  <w:style w:type="character" w:customStyle="1" w:styleId="Nagwek3Znak">
    <w:name w:val="Nagłówek 3 Znak"/>
    <w:basedOn w:val="Domylnaczcionkaakapitu"/>
    <w:link w:val="Nagwek3"/>
    <w:uiPriority w:val="9"/>
    <w:rsid w:val="00C50DD6"/>
    <w:rPr>
      <w:rFonts w:ascii="Verdana" w:eastAsiaTheme="majorEastAsia" w:hAnsi="Verdana" w:cstheme="majorBidi"/>
      <w:sz w:val="20"/>
      <w:szCs w:val="24"/>
    </w:rPr>
  </w:style>
  <w:style w:type="character" w:customStyle="1" w:styleId="Nagwek4Znak">
    <w:name w:val="Nagłówek 4 Znak"/>
    <w:basedOn w:val="Domylnaczcionkaakapitu"/>
    <w:link w:val="Nagwek4"/>
    <w:uiPriority w:val="9"/>
    <w:semiHidden/>
    <w:rsid w:val="00C50DD6"/>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semiHidden/>
    <w:rsid w:val="00C50DD6"/>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semiHidden/>
    <w:rsid w:val="00C50DD6"/>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C50DD6"/>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C50DD6"/>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C50DD6"/>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C50DD6"/>
    <w:pPr>
      <w:ind w:left="720"/>
      <w:contextualSpacing/>
    </w:pPr>
  </w:style>
  <w:style w:type="paragraph" w:styleId="Stopka">
    <w:name w:val="footer"/>
    <w:basedOn w:val="Normalny"/>
    <w:link w:val="StopkaZnak"/>
    <w:uiPriority w:val="99"/>
    <w:unhideWhenUsed/>
    <w:rsid w:val="00C50D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0DD6"/>
  </w:style>
  <w:style w:type="paragraph" w:styleId="Bezodstpw">
    <w:name w:val="No Spacing"/>
    <w:uiPriority w:val="1"/>
    <w:qFormat/>
    <w:rsid w:val="005472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880160">
      <w:bodyDiv w:val="1"/>
      <w:marLeft w:val="0"/>
      <w:marRight w:val="0"/>
      <w:marTop w:val="0"/>
      <w:marBottom w:val="0"/>
      <w:divBdr>
        <w:top w:val="none" w:sz="0" w:space="0" w:color="auto"/>
        <w:left w:val="none" w:sz="0" w:space="0" w:color="auto"/>
        <w:bottom w:val="none" w:sz="0" w:space="0" w:color="auto"/>
        <w:right w:val="none" w:sz="0" w:space="0" w:color="auto"/>
      </w:divBdr>
    </w:div>
    <w:div w:id="1710183013">
      <w:bodyDiv w:val="1"/>
      <w:marLeft w:val="0"/>
      <w:marRight w:val="0"/>
      <w:marTop w:val="0"/>
      <w:marBottom w:val="0"/>
      <w:divBdr>
        <w:top w:val="none" w:sz="0" w:space="0" w:color="auto"/>
        <w:left w:val="none" w:sz="0" w:space="0" w:color="auto"/>
        <w:bottom w:val="none" w:sz="0" w:space="0" w:color="auto"/>
        <w:right w:val="none" w:sz="0" w:space="0" w:color="auto"/>
      </w:divBdr>
    </w:div>
    <w:div w:id="202119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Bazalt" TargetMode="External"/><Relationship Id="rId13" Type="http://schemas.openxmlformats.org/officeDocument/2006/relationships/hyperlink" Target="https://columen.pl/category/akcesoria-dachowe-kaleni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lumen.pl/category/akcesoria-dachowe-uszczelniacze-dekarski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lumen.pl/gwozdzie-do-gontow.html"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columen.pl/wentylacja-kalenicowa-ridgemaster.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l.wikipedia.org/wiki/OSB_(p%C5%82yta)" TargetMode="External"/><Relationship Id="rId14" Type="http://schemas.openxmlformats.org/officeDocument/2006/relationships/hyperlink" Target="https://columen.pl/promiennik-podczerwieni-term2000-glv.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70015-A459-4AC2-9573-5A12D9CF9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2902</Words>
  <Characters>17414</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Wielgucki Maciej</dc:creator>
  <cp:keywords/>
  <dc:description/>
  <cp:lastModifiedBy>Wielgucki Maciej</cp:lastModifiedBy>
  <cp:revision>13</cp:revision>
  <dcterms:created xsi:type="dcterms:W3CDTF">2023-05-16T06:16:00Z</dcterms:created>
  <dcterms:modified xsi:type="dcterms:W3CDTF">2023-05-18T06:01:00Z</dcterms:modified>
</cp:coreProperties>
</file>