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70B" w:rsidRPr="00BD537A" w:rsidRDefault="00A6070B" w:rsidP="00CB05A7">
      <w:pPr>
        <w:autoSpaceDE w:val="0"/>
        <w:autoSpaceDN w:val="0"/>
        <w:adjustRightInd w:val="0"/>
        <w:spacing w:after="0" w:line="240" w:lineRule="auto"/>
        <w:jc w:val="center"/>
        <w:rPr>
          <w:rFonts w:cs="Verdana"/>
          <w:b/>
          <w:bCs/>
          <w:sz w:val="24"/>
          <w:szCs w:val="24"/>
          <w:lang w:val="pl-PL"/>
        </w:rPr>
      </w:pPr>
      <w:bookmarkStart w:id="0" w:name="_Toc415257909"/>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A6070B" w:rsidRPr="00BD537A" w:rsidRDefault="00A6070B" w:rsidP="00CB05A7">
      <w:pPr>
        <w:autoSpaceDE w:val="0"/>
        <w:autoSpaceDN w:val="0"/>
        <w:adjustRightInd w:val="0"/>
        <w:spacing w:after="0" w:line="240" w:lineRule="auto"/>
        <w:jc w:val="center"/>
        <w:rPr>
          <w:rFonts w:cs="Verdana"/>
          <w:b/>
          <w:bCs/>
          <w:sz w:val="24"/>
          <w:szCs w:val="24"/>
          <w:lang w:val="pl-PL"/>
        </w:rPr>
      </w:pPr>
    </w:p>
    <w:p w:rsidR="00EC00CE" w:rsidRDefault="00EC00CE" w:rsidP="00EC00CE">
      <w:pPr>
        <w:pStyle w:val="Tytu"/>
        <w:spacing w:after="480"/>
        <w:ind w:right="-426"/>
        <w:rPr>
          <w:lang w:val="pl-PL"/>
        </w:rPr>
      </w:pPr>
      <w:r>
        <w:rPr>
          <w:lang w:val="pl-PL"/>
        </w:rPr>
        <w:t>Przegląd orzeczeń</w:t>
      </w:r>
      <w:r>
        <w:rPr>
          <w:lang w:val="pl-PL"/>
        </w:rPr>
        <w:br/>
        <w:t>Europejskiego Trybunału Praw Człowieka</w:t>
      </w:r>
      <w:r>
        <w:rPr>
          <w:lang w:val="pl-PL"/>
        </w:rPr>
        <w:br/>
        <w:t>wydanych w 201</w:t>
      </w:r>
      <w:r w:rsidR="005519F7">
        <w:rPr>
          <w:lang w:val="pl-PL"/>
        </w:rPr>
        <w:t>7</w:t>
      </w:r>
      <w:r>
        <w:rPr>
          <w:lang w:val="pl-PL"/>
        </w:rPr>
        <w:t xml:space="preserve"> r. </w:t>
      </w:r>
      <w:r w:rsidR="005519F7">
        <w:rPr>
          <w:lang w:val="pl-PL"/>
        </w:rPr>
        <w:t xml:space="preserve"> </w:t>
      </w:r>
      <w:r>
        <w:rPr>
          <w:lang w:val="pl-PL"/>
        </w:rPr>
        <w:t xml:space="preserve"> </w:t>
      </w:r>
    </w:p>
    <w:p w:rsidR="00EC00CE" w:rsidRDefault="00EC00CE" w:rsidP="00EC00CE">
      <w:pPr>
        <w:rPr>
          <w:lang w:val="pl-PL"/>
        </w:rPr>
      </w:pPr>
      <w:r>
        <w:rPr>
          <w:lang w:val="pl-PL"/>
        </w:rPr>
        <w:t xml:space="preserve"> </w:t>
      </w:r>
      <w:r>
        <w:rPr>
          <w:noProof/>
          <w:lang w:val="pl-PL" w:eastAsia="pl-PL"/>
        </w:rPr>
        <w:drawing>
          <wp:inline distT="0" distB="0" distL="0" distR="0" wp14:anchorId="47F80872" wp14:editId="1168DB4D">
            <wp:extent cx="5760720" cy="38404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EC00CE" w:rsidRDefault="00EC00CE" w:rsidP="00EC00CE">
      <w:pPr>
        <w:pStyle w:val="Tytu"/>
        <w:spacing w:after="480"/>
        <w:ind w:right="-426"/>
        <w:rPr>
          <w:sz w:val="46"/>
          <w:lang w:val="pl-PL"/>
        </w:rPr>
      </w:pPr>
      <w:r>
        <w:rPr>
          <w:sz w:val="46"/>
          <w:lang w:val="pl-PL"/>
        </w:rPr>
        <w:t>- wybrane sprawy z listy wiodących orzeczeń w</w:t>
      </w:r>
      <w:r w:rsidR="00AD0603">
        <w:rPr>
          <w:sz w:val="46"/>
          <w:lang w:val="pl-PL"/>
        </w:rPr>
        <w:t>skazanych</w:t>
      </w:r>
      <w:r>
        <w:rPr>
          <w:sz w:val="46"/>
          <w:lang w:val="pl-PL"/>
        </w:rPr>
        <w:t xml:space="preserve"> przez Trybunał</w:t>
      </w:r>
    </w:p>
    <w:p w:rsidR="00A6070B" w:rsidRPr="00ED0C6A" w:rsidRDefault="00EC00CE" w:rsidP="005519F7">
      <w:pPr>
        <w:jc w:val="center"/>
        <w:rPr>
          <w:rFonts w:cs="Verdana"/>
          <w:b/>
          <w:bCs/>
          <w:sz w:val="24"/>
          <w:szCs w:val="24"/>
          <w:lang w:val="pl-PL"/>
        </w:rPr>
      </w:pPr>
      <w:r>
        <w:rPr>
          <w:lang w:val="pl-PL"/>
        </w:rPr>
        <w:t>Warszawa, wrzesień 2018 r.</w:t>
      </w:r>
    </w:p>
    <w:p w:rsidR="00A6070B" w:rsidRDefault="00A6070B" w:rsidP="00E4323E">
      <w:pPr>
        <w:autoSpaceDE w:val="0"/>
        <w:autoSpaceDN w:val="0"/>
        <w:adjustRightInd w:val="0"/>
        <w:spacing w:after="60" w:line="240" w:lineRule="auto"/>
        <w:jc w:val="center"/>
        <w:rPr>
          <w:rFonts w:cs="Verdana"/>
          <w:b/>
          <w:bCs/>
          <w:sz w:val="24"/>
          <w:szCs w:val="24"/>
          <w:lang w:val="pl-PL"/>
        </w:rPr>
      </w:pPr>
      <w:r w:rsidRPr="00ED0C6A">
        <w:rPr>
          <w:rFonts w:cs="Verdana"/>
          <w:b/>
          <w:bCs/>
          <w:sz w:val="24"/>
          <w:szCs w:val="24"/>
          <w:lang w:val="pl-PL"/>
        </w:rPr>
        <w:t>SPIS TREŚCI</w:t>
      </w:r>
    </w:p>
    <w:p w:rsidR="005519F7" w:rsidRPr="00ED0C6A" w:rsidRDefault="005519F7" w:rsidP="00E4323E">
      <w:pPr>
        <w:autoSpaceDE w:val="0"/>
        <w:autoSpaceDN w:val="0"/>
        <w:adjustRightInd w:val="0"/>
        <w:spacing w:after="60" w:line="240" w:lineRule="auto"/>
        <w:jc w:val="center"/>
        <w:rPr>
          <w:rFonts w:cs="Verdana"/>
          <w:b/>
          <w:bCs/>
          <w:sz w:val="24"/>
          <w:szCs w:val="24"/>
          <w:lang w:val="pl-PL"/>
        </w:rPr>
      </w:pPr>
    </w:p>
    <w:p w:rsidR="00E57D35" w:rsidRDefault="00A6070B" w:rsidP="00E57D35">
      <w:pPr>
        <w:pStyle w:val="Spistreci2"/>
        <w:tabs>
          <w:tab w:val="left" w:pos="660"/>
          <w:tab w:val="right" w:leader="dot" w:pos="9062"/>
        </w:tabs>
        <w:spacing w:line="240" w:lineRule="auto"/>
        <w:rPr>
          <w:rFonts w:eastAsiaTheme="minorEastAsia"/>
          <w:noProof/>
          <w:lang w:val="pl-PL" w:eastAsia="pl-PL"/>
        </w:rPr>
      </w:pPr>
      <w:r w:rsidRPr="00ED0C6A">
        <w:rPr>
          <w:rFonts w:cs="Verdana"/>
          <w:b/>
          <w:bCs/>
          <w:sz w:val="20"/>
          <w:szCs w:val="20"/>
          <w:lang w:val="pl-PL"/>
        </w:rPr>
        <w:fldChar w:fldCharType="begin"/>
      </w:r>
      <w:r w:rsidRPr="00ED0C6A">
        <w:rPr>
          <w:rFonts w:cs="Verdana"/>
          <w:b/>
          <w:bCs/>
          <w:sz w:val="20"/>
          <w:szCs w:val="20"/>
          <w:lang w:val="pl-PL"/>
        </w:rPr>
        <w:instrText xml:space="preserve"> TOC \o "1-2" \h \z \u </w:instrText>
      </w:r>
      <w:r w:rsidRPr="00ED0C6A">
        <w:rPr>
          <w:rFonts w:cs="Verdana"/>
          <w:b/>
          <w:bCs/>
          <w:sz w:val="20"/>
          <w:szCs w:val="20"/>
          <w:lang w:val="pl-PL"/>
        </w:rPr>
        <w:fldChar w:fldCharType="separate"/>
      </w:r>
      <w:hyperlink w:anchor="_Toc524696722" w:history="1">
        <w:r w:rsidR="00E57D35" w:rsidRPr="00E4497B">
          <w:rPr>
            <w:rStyle w:val="Hipercze"/>
            <w:noProof/>
          </w:rPr>
          <w:t>1.</w:t>
        </w:r>
        <w:r w:rsidR="00E57D35">
          <w:rPr>
            <w:rFonts w:eastAsiaTheme="minorEastAsia"/>
            <w:noProof/>
            <w:lang w:val="pl-PL" w:eastAsia="pl-PL"/>
          </w:rPr>
          <w:tab/>
        </w:r>
        <w:r w:rsidR="00E57D35" w:rsidRPr="00E4497B">
          <w:rPr>
            <w:rStyle w:val="Hipercze"/>
            <w:noProof/>
          </w:rPr>
          <w:t>Adyan i Inni p. Armenii, skarga nr 75604/11, wyrok Izby z 12 października 2017 r., ostateczny</w:t>
        </w:r>
        <w:r w:rsidR="00E57D35">
          <w:rPr>
            <w:noProof/>
            <w:webHidden/>
          </w:rPr>
          <w:tab/>
        </w:r>
        <w:r w:rsidR="00E57D35">
          <w:rPr>
            <w:noProof/>
            <w:webHidden/>
          </w:rPr>
          <w:fldChar w:fldCharType="begin"/>
        </w:r>
        <w:r w:rsidR="00E57D35">
          <w:rPr>
            <w:noProof/>
            <w:webHidden/>
          </w:rPr>
          <w:instrText xml:space="preserve"> PAGEREF _Toc524696722 \h </w:instrText>
        </w:r>
        <w:r w:rsidR="00E57D35">
          <w:rPr>
            <w:noProof/>
            <w:webHidden/>
          </w:rPr>
        </w:r>
        <w:r w:rsidR="00E57D35">
          <w:rPr>
            <w:noProof/>
            <w:webHidden/>
          </w:rPr>
          <w:fldChar w:fldCharType="separate"/>
        </w:r>
        <w:r w:rsidR="00B01F3D">
          <w:rPr>
            <w:noProof/>
            <w:webHidden/>
          </w:rPr>
          <w:t>3</w:t>
        </w:r>
        <w:r w:rsidR="00E57D35">
          <w:rPr>
            <w:noProof/>
            <w:webHidden/>
          </w:rPr>
          <w:fldChar w:fldCharType="end"/>
        </w:r>
      </w:hyperlink>
    </w:p>
    <w:p w:rsidR="00E57D35" w:rsidRDefault="00E57D35" w:rsidP="00E57D35">
      <w:pPr>
        <w:pStyle w:val="Spistreci2"/>
        <w:tabs>
          <w:tab w:val="left" w:pos="660"/>
          <w:tab w:val="right" w:leader="dot" w:pos="9062"/>
        </w:tabs>
        <w:spacing w:line="240" w:lineRule="auto"/>
        <w:rPr>
          <w:rFonts w:eastAsiaTheme="minorEastAsia"/>
          <w:noProof/>
          <w:lang w:val="pl-PL" w:eastAsia="pl-PL"/>
        </w:rPr>
      </w:pPr>
      <w:hyperlink w:anchor="_Toc524696723" w:history="1">
        <w:r w:rsidRPr="00E4497B">
          <w:rPr>
            <w:rStyle w:val="Hipercze"/>
            <w:noProof/>
          </w:rPr>
          <w:t>2.</w:t>
        </w:r>
        <w:r>
          <w:rPr>
            <w:rFonts w:eastAsiaTheme="minorEastAsia"/>
            <w:noProof/>
            <w:lang w:val="pl-PL" w:eastAsia="pl-PL"/>
          </w:rPr>
          <w:tab/>
        </w:r>
        <w:r w:rsidRPr="00E4497B">
          <w:rPr>
            <w:rStyle w:val="Hipercze"/>
            <w:noProof/>
          </w:rPr>
          <w:t>Bărbulescu p. Rumunii, skarga nr 61496/08, wyrok Wielkiej Izby z 5 września 2017 r., ostateczny</w:t>
        </w:r>
        <w:r>
          <w:rPr>
            <w:noProof/>
            <w:webHidden/>
          </w:rPr>
          <w:tab/>
        </w:r>
        <w:r>
          <w:rPr>
            <w:noProof/>
            <w:webHidden/>
          </w:rPr>
          <w:fldChar w:fldCharType="begin"/>
        </w:r>
        <w:r>
          <w:rPr>
            <w:noProof/>
            <w:webHidden/>
          </w:rPr>
          <w:instrText xml:space="preserve"> PAGEREF _Toc524696723 \h </w:instrText>
        </w:r>
        <w:r>
          <w:rPr>
            <w:noProof/>
            <w:webHidden/>
          </w:rPr>
        </w:r>
        <w:r>
          <w:rPr>
            <w:noProof/>
            <w:webHidden/>
          </w:rPr>
          <w:fldChar w:fldCharType="separate"/>
        </w:r>
        <w:r w:rsidR="00B01F3D">
          <w:rPr>
            <w:noProof/>
            <w:webHidden/>
          </w:rPr>
          <w:t>5</w:t>
        </w:r>
        <w:r>
          <w:rPr>
            <w:noProof/>
            <w:webHidden/>
          </w:rPr>
          <w:fldChar w:fldCharType="end"/>
        </w:r>
      </w:hyperlink>
    </w:p>
    <w:p w:rsidR="00E57D35" w:rsidRDefault="00E57D35" w:rsidP="00E57D35">
      <w:pPr>
        <w:pStyle w:val="Spistreci2"/>
        <w:tabs>
          <w:tab w:val="left" w:pos="660"/>
          <w:tab w:val="right" w:leader="dot" w:pos="9062"/>
        </w:tabs>
        <w:spacing w:line="240" w:lineRule="auto"/>
        <w:rPr>
          <w:rFonts w:eastAsiaTheme="minorEastAsia"/>
          <w:noProof/>
          <w:lang w:val="pl-PL" w:eastAsia="pl-PL"/>
        </w:rPr>
      </w:pPr>
      <w:hyperlink w:anchor="_Toc524696724" w:history="1">
        <w:r w:rsidRPr="00E4497B">
          <w:rPr>
            <w:rStyle w:val="Hipercze"/>
            <w:noProof/>
          </w:rPr>
          <w:t>3.</w:t>
        </w:r>
        <w:r>
          <w:rPr>
            <w:rFonts w:eastAsiaTheme="minorEastAsia"/>
            <w:noProof/>
            <w:lang w:val="pl-PL" w:eastAsia="pl-PL"/>
          </w:rPr>
          <w:tab/>
        </w:r>
        <w:r w:rsidRPr="00E4497B">
          <w:rPr>
            <w:rStyle w:val="Hipercze"/>
            <w:noProof/>
          </w:rPr>
          <w:t>Becker p. Norwegii, skarga nr 21272/12, wyrok Izby z 5 października 2017 r., ostateczny</w:t>
        </w:r>
        <w:r>
          <w:rPr>
            <w:noProof/>
            <w:webHidden/>
          </w:rPr>
          <w:tab/>
        </w:r>
        <w:r>
          <w:rPr>
            <w:noProof/>
            <w:webHidden/>
          </w:rPr>
          <w:fldChar w:fldCharType="begin"/>
        </w:r>
        <w:r>
          <w:rPr>
            <w:noProof/>
            <w:webHidden/>
          </w:rPr>
          <w:instrText xml:space="preserve"> PAGEREF _Toc524696724 \h </w:instrText>
        </w:r>
        <w:r>
          <w:rPr>
            <w:noProof/>
            <w:webHidden/>
          </w:rPr>
        </w:r>
        <w:r>
          <w:rPr>
            <w:noProof/>
            <w:webHidden/>
          </w:rPr>
          <w:fldChar w:fldCharType="separate"/>
        </w:r>
        <w:r w:rsidR="00B01F3D">
          <w:rPr>
            <w:noProof/>
            <w:webHidden/>
          </w:rPr>
          <w:t>9</w:t>
        </w:r>
        <w:r>
          <w:rPr>
            <w:noProof/>
            <w:webHidden/>
          </w:rPr>
          <w:fldChar w:fldCharType="end"/>
        </w:r>
      </w:hyperlink>
    </w:p>
    <w:p w:rsidR="00E57D35" w:rsidRDefault="00E57D35" w:rsidP="00E57D35">
      <w:pPr>
        <w:pStyle w:val="Spistreci2"/>
        <w:tabs>
          <w:tab w:val="left" w:pos="660"/>
          <w:tab w:val="right" w:leader="dot" w:pos="9062"/>
        </w:tabs>
        <w:spacing w:line="240" w:lineRule="auto"/>
        <w:rPr>
          <w:rFonts w:eastAsiaTheme="minorEastAsia"/>
          <w:noProof/>
          <w:lang w:val="pl-PL" w:eastAsia="pl-PL"/>
        </w:rPr>
      </w:pPr>
      <w:hyperlink w:anchor="_Toc524696725" w:history="1">
        <w:r w:rsidRPr="00E4497B">
          <w:rPr>
            <w:rStyle w:val="Hipercze"/>
            <w:noProof/>
          </w:rPr>
          <w:t>4.</w:t>
        </w:r>
        <w:r>
          <w:rPr>
            <w:rFonts w:eastAsiaTheme="minorEastAsia"/>
            <w:noProof/>
            <w:lang w:val="pl-PL" w:eastAsia="pl-PL"/>
          </w:rPr>
          <w:tab/>
        </w:r>
        <w:r w:rsidRPr="00E4497B">
          <w:rPr>
            <w:rStyle w:val="Hipercze"/>
            <w:noProof/>
          </w:rPr>
          <w:t>Burmych i Inni p. Ukrainie, skargi nr 46852/13, 47786/13, 54125/13 i in., wyrok Wielkiej Izby z 12 października 2017 r. (skreślenie z listy spraw), ostateczny</w:t>
        </w:r>
        <w:r>
          <w:rPr>
            <w:noProof/>
            <w:webHidden/>
          </w:rPr>
          <w:tab/>
        </w:r>
        <w:r>
          <w:rPr>
            <w:noProof/>
            <w:webHidden/>
          </w:rPr>
          <w:fldChar w:fldCharType="begin"/>
        </w:r>
        <w:r>
          <w:rPr>
            <w:noProof/>
            <w:webHidden/>
          </w:rPr>
          <w:instrText xml:space="preserve"> PAGEREF _Toc524696725 \h </w:instrText>
        </w:r>
        <w:r>
          <w:rPr>
            <w:noProof/>
            <w:webHidden/>
          </w:rPr>
        </w:r>
        <w:r>
          <w:rPr>
            <w:noProof/>
            <w:webHidden/>
          </w:rPr>
          <w:fldChar w:fldCharType="separate"/>
        </w:r>
        <w:r w:rsidR="00B01F3D">
          <w:rPr>
            <w:noProof/>
            <w:webHidden/>
          </w:rPr>
          <w:t>12</w:t>
        </w:r>
        <w:r>
          <w:rPr>
            <w:noProof/>
            <w:webHidden/>
          </w:rPr>
          <w:fldChar w:fldCharType="end"/>
        </w:r>
      </w:hyperlink>
    </w:p>
    <w:p w:rsidR="00E57D35" w:rsidRDefault="00E57D35" w:rsidP="00E57D35">
      <w:pPr>
        <w:pStyle w:val="Spistreci2"/>
        <w:tabs>
          <w:tab w:val="left" w:pos="660"/>
          <w:tab w:val="right" w:leader="dot" w:pos="9062"/>
        </w:tabs>
        <w:spacing w:line="240" w:lineRule="auto"/>
        <w:rPr>
          <w:rFonts w:eastAsiaTheme="minorEastAsia"/>
          <w:noProof/>
          <w:lang w:val="pl-PL" w:eastAsia="pl-PL"/>
        </w:rPr>
      </w:pPr>
      <w:hyperlink w:anchor="_Toc524696726" w:history="1">
        <w:r w:rsidRPr="00E4497B">
          <w:rPr>
            <w:rStyle w:val="Hipercze"/>
            <w:noProof/>
          </w:rPr>
          <w:t>5.</w:t>
        </w:r>
        <w:r>
          <w:rPr>
            <w:rFonts w:eastAsiaTheme="minorEastAsia"/>
            <w:noProof/>
            <w:lang w:val="pl-PL" w:eastAsia="pl-PL"/>
          </w:rPr>
          <w:tab/>
        </w:r>
        <w:r w:rsidRPr="00E4497B">
          <w:rPr>
            <w:rStyle w:val="Hipercze"/>
            <w:noProof/>
          </w:rPr>
          <w:t>Carvalho Pinto de Sousa Morais p. Portugalii, skarga nr 17484/15, wyrok Izby z 25 lipca 2017 r., ostateczny</w:t>
        </w:r>
        <w:r>
          <w:rPr>
            <w:noProof/>
            <w:webHidden/>
          </w:rPr>
          <w:tab/>
        </w:r>
        <w:r>
          <w:rPr>
            <w:noProof/>
            <w:webHidden/>
          </w:rPr>
          <w:fldChar w:fldCharType="begin"/>
        </w:r>
        <w:r>
          <w:rPr>
            <w:noProof/>
            <w:webHidden/>
          </w:rPr>
          <w:instrText xml:space="preserve"> PAGEREF _Toc524696726 \h </w:instrText>
        </w:r>
        <w:r>
          <w:rPr>
            <w:noProof/>
            <w:webHidden/>
          </w:rPr>
        </w:r>
        <w:r>
          <w:rPr>
            <w:noProof/>
            <w:webHidden/>
          </w:rPr>
          <w:fldChar w:fldCharType="separate"/>
        </w:r>
        <w:r w:rsidR="00B01F3D">
          <w:rPr>
            <w:noProof/>
            <w:webHidden/>
          </w:rPr>
          <w:t>16</w:t>
        </w:r>
        <w:r>
          <w:rPr>
            <w:noProof/>
            <w:webHidden/>
          </w:rPr>
          <w:fldChar w:fldCharType="end"/>
        </w:r>
      </w:hyperlink>
    </w:p>
    <w:p w:rsidR="00E57D35" w:rsidRDefault="00E57D35" w:rsidP="00E57D35">
      <w:pPr>
        <w:pStyle w:val="Spistreci2"/>
        <w:tabs>
          <w:tab w:val="left" w:pos="660"/>
          <w:tab w:val="right" w:leader="dot" w:pos="9062"/>
        </w:tabs>
        <w:spacing w:line="240" w:lineRule="auto"/>
        <w:rPr>
          <w:rFonts w:eastAsiaTheme="minorEastAsia"/>
          <w:noProof/>
          <w:lang w:val="pl-PL" w:eastAsia="pl-PL"/>
        </w:rPr>
      </w:pPr>
      <w:hyperlink w:anchor="_Toc524696727" w:history="1">
        <w:r w:rsidRPr="00E4497B">
          <w:rPr>
            <w:rStyle w:val="Hipercze"/>
            <w:noProof/>
          </w:rPr>
          <w:t>6.</w:t>
        </w:r>
        <w:r>
          <w:rPr>
            <w:rFonts w:eastAsiaTheme="minorEastAsia"/>
            <w:noProof/>
            <w:lang w:val="pl-PL" w:eastAsia="pl-PL"/>
          </w:rPr>
          <w:tab/>
        </w:r>
        <w:r w:rsidRPr="00E4497B">
          <w:rPr>
            <w:rStyle w:val="Hipercze"/>
            <w:noProof/>
          </w:rPr>
          <w:t>Chowdury i Inni p. Grecji, skarga nr 21884/15, wyrok Izby z 30 marca 2017 r., ostateczny</w:t>
        </w:r>
        <w:r>
          <w:rPr>
            <w:noProof/>
            <w:webHidden/>
          </w:rPr>
          <w:tab/>
        </w:r>
        <w:r>
          <w:rPr>
            <w:noProof/>
            <w:webHidden/>
          </w:rPr>
          <w:fldChar w:fldCharType="begin"/>
        </w:r>
        <w:r>
          <w:rPr>
            <w:noProof/>
            <w:webHidden/>
          </w:rPr>
          <w:instrText xml:space="preserve"> PAGEREF _Toc524696727 \h </w:instrText>
        </w:r>
        <w:r>
          <w:rPr>
            <w:noProof/>
            <w:webHidden/>
          </w:rPr>
        </w:r>
        <w:r>
          <w:rPr>
            <w:noProof/>
            <w:webHidden/>
          </w:rPr>
          <w:fldChar w:fldCharType="separate"/>
        </w:r>
        <w:r w:rsidR="00B01F3D">
          <w:rPr>
            <w:noProof/>
            <w:webHidden/>
          </w:rPr>
          <w:t>18</w:t>
        </w:r>
        <w:r>
          <w:rPr>
            <w:noProof/>
            <w:webHidden/>
          </w:rPr>
          <w:fldChar w:fldCharType="end"/>
        </w:r>
      </w:hyperlink>
    </w:p>
    <w:p w:rsidR="00E57D35" w:rsidRDefault="00E57D35" w:rsidP="00E57D35">
      <w:pPr>
        <w:pStyle w:val="Spistreci2"/>
        <w:tabs>
          <w:tab w:val="left" w:pos="660"/>
          <w:tab w:val="right" w:leader="dot" w:pos="9062"/>
        </w:tabs>
        <w:spacing w:line="240" w:lineRule="auto"/>
        <w:rPr>
          <w:rFonts w:eastAsiaTheme="minorEastAsia"/>
          <w:noProof/>
          <w:lang w:val="pl-PL" w:eastAsia="pl-PL"/>
        </w:rPr>
      </w:pPr>
      <w:hyperlink w:anchor="_Toc524696728" w:history="1">
        <w:r w:rsidRPr="00E4497B">
          <w:rPr>
            <w:rStyle w:val="Hipercze"/>
            <w:noProof/>
          </w:rPr>
          <w:t>7.</w:t>
        </w:r>
        <w:r>
          <w:rPr>
            <w:rFonts w:eastAsiaTheme="minorEastAsia"/>
            <w:noProof/>
            <w:lang w:val="pl-PL" w:eastAsia="pl-PL"/>
          </w:rPr>
          <w:tab/>
        </w:r>
        <w:r w:rsidRPr="00E4497B">
          <w:rPr>
            <w:rStyle w:val="Hipercze"/>
            <w:noProof/>
          </w:rPr>
          <w:t>Davydov i Inni p. Rosji, skarga nr 75947/11, wyrok Izby z 30 maja 2017 r., ostateczny</w:t>
        </w:r>
        <w:r>
          <w:rPr>
            <w:noProof/>
            <w:webHidden/>
          </w:rPr>
          <w:tab/>
        </w:r>
        <w:r>
          <w:rPr>
            <w:noProof/>
            <w:webHidden/>
          </w:rPr>
          <w:fldChar w:fldCharType="begin"/>
        </w:r>
        <w:r>
          <w:rPr>
            <w:noProof/>
            <w:webHidden/>
          </w:rPr>
          <w:instrText xml:space="preserve"> PAGEREF _Toc524696728 \h </w:instrText>
        </w:r>
        <w:r>
          <w:rPr>
            <w:noProof/>
            <w:webHidden/>
          </w:rPr>
        </w:r>
        <w:r>
          <w:rPr>
            <w:noProof/>
            <w:webHidden/>
          </w:rPr>
          <w:fldChar w:fldCharType="separate"/>
        </w:r>
        <w:r w:rsidR="00B01F3D">
          <w:rPr>
            <w:noProof/>
            <w:webHidden/>
          </w:rPr>
          <w:t>23</w:t>
        </w:r>
        <w:r>
          <w:rPr>
            <w:noProof/>
            <w:webHidden/>
          </w:rPr>
          <w:fldChar w:fldCharType="end"/>
        </w:r>
      </w:hyperlink>
    </w:p>
    <w:p w:rsidR="00E57D35" w:rsidRDefault="00E57D35" w:rsidP="00E57D35">
      <w:pPr>
        <w:pStyle w:val="Spistreci2"/>
        <w:tabs>
          <w:tab w:val="left" w:pos="660"/>
          <w:tab w:val="right" w:leader="dot" w:pos="9062"/>
        </w:tabs>
        <w:spacing w:line="240" w:lineRule="auto"/>
        <w:rPr>
          <w:rFonts w:eastAsiaTheme="minorEastAsia"/>
          <w:noProof/>
          <w:lang w:val="pl-PL" w:eastAsia="pl-PL"/>
        </w:rPr>
      </w:pPr>
      <w:hyperlink w:anchor="_Toc524696729" w:history="1">
        <w:r w:rsidRPr="00E4497B">
          <w:rPr>
            <w:rStyle w:val="Hipercze"/>
            <w:noProof/>
          </w:rPr>
          <w:t>8.</w:t>
        </w:r>
        <w:r>
          <w:rPr>
            <w:rFonts w:eastAsiaTheme="minorEastAsia"/>
            <w:noProof/>
            <w:lang w:val="pl-PL" w:eastAsia="pl-PL"/>
          </w:rPr>
          <w:tab/>
        </w:r>
        <w:r w:rsidRPr="00E4497B">
          <w:rPr>
            <w:rStyle w:val="Hipercze"/>
            <w:noProof/>
          </w:rPr>
          <w:t>De Tommaso p. Włochom, skarga nr 43395/09, wyrok Wielkiej Izby z 23 lutego 2017 r., ostateczny</w:t>
        </w:r>
        <w:r>
          <w:rPr>
            <w:noProof/>
            <w:webHidden/>
          </w:rPr>
          <w:tab/>
        </w:r>
        <w:r>
          <w:rPr>
            <w:noProof/>
            <w:webHidden/>
          </w:rPr>
          <w:fldChar w:fldCharType="begin"/>
        </w:r>
        <w:r>
          <w:rPr>
            <w:noProof/>
            <w:webHidden/>
          </w:rPr>
          <w:instrText xml:space="preserve"> PAGEREF _Toc524696729 \h </w:instrText>
        </w:r>
        <w:r>
          <w:rPr>
            <w:noProof/>
            <w:webHidden/>
          </w:rPr>
        </w:r>
        <w:r>
          <w:rPr>
            <w:noProof/>
            <w:webHidden/>
          </w:rPr>
          <w:fldChar w:fldCharType="separate"/>
        </w:r>
        <w:r w:rsidR="00B01F3D">
          <w:rPr>
            <w:noProof/>
            <w:webHidden/>
          </w:rPr>
          <w:t>26</w:t>
        </w:r>
        <w:r>
          <w:rPr>
            <w:noProof/>
            <w:webHidden/>
          </w:rPr>
          <w:fldChar w:fldCharType="end"/>
        </w:r>
      </w:hyperlink>
    </w:p>
    <w:p w:rsidR="00E57D35" w:rsidRDefault="00E57D35" w:rsidP="00E57D35">
      <w:pPr>
        <w:pStyle w:val="Spistreci2"/>
        <w:tabs>
          <w:tab w:val="left" w:pos="660"/>
          <w:tab w:val="right" w:leader="dot" w:pos="9062"/>
        </w:tabs>
        <w:spacing w:line="240" w:lineRule="auto"/>
        <w:rPr>
          <w:rFonts w:eastAsiaTheme="minorEastAsia"/>
          <w:noProof/>
          <w:lang w:val="pl-PL" w:eastAsia="pl-PL"/>
        </w:rPr>
      </w:pPr>
      <w:hyperlink w:anchor="_Toc524696730" w:history="1">
        <w:r w:rsidRPr="00E4497B">
          <w:rPr>
            <w:rStyle w:val="Hipercze"/>
            <w:noProof/>
          </w:rPr>
          <w:t>9.</w:t>
        </w:r>
        <w:r>
          <w:rPr>
            <w:rFonts w:eastAsiaTheme="minorEastAsia"/>
            <w:noProof/>
            <w:lang w:val="pl-PL" w:eastAsia="pl-PL"/>
          </w:rPr>
          <w:tab/>
        </w:r>
        <w:r w:rsidRPr="00E4497B">
          <w:rPr>
            <w:rStyle w:val="Hipercze"/>
            <w:noProof/>
          </w:rPr>
          <w:t>Fábián p. Węgrom, skarga nr 78117/13, wyrok Wielkiej Izby z  5 września 2017 r., ostateczny</w:t>
        </w:r>
        <w:r>
          <w:rPr>
            <w:noProof/>
            <w:webHidden/>
          </w:rPr>
          <w:tab/>
        </w:r>
        <w:r>
          <w:rPr>
            <w:noProof/>
            <w:webHidden/>
          </w:rPr>
          <w:fldChar w:fldCharType="begin"/>
        </w:r>
        <w:r>
          <w:rPr>
            <w:noProof/>
            <w:webHidden/>
          </w:rPr>
          <w:instrText xml:space="preserve"> PAGEREF _Toc524696730 \h </w:instrText>
        </w:r>
        <w:r>
          <w:rPr>
            <w:noProof/>
            <w:webHidden/>
          </w:rPr>
        </w:r>
        <w:r>
          <w:rPr>
            <w:noProof/>
            <w:webHidden/>
          </w:rPr>
          <w:fldChar w:fldCharType="separate"/>
        </w:r>
        <w:r w:rsidR="00B01F3D">
          <w:rPr>
            <w:noProof/>
            <w:webHidden/>
          </w:rPr>
          <w:t>31</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1" w:history="1">
        <w:r w:rsidRPr="00E4497B">
          <w:rPr>
            <w:rStyle w:val="Hipercze"/>
            <w:noProof/>
          </w:rPr>
          <w:t>10.</w:t>
        </w:r>
        <w:r>
          <w:rPr>
            <w:rFonts w:eastAsiaTheme="minorEastAsia"/>
            <w:noProof/>
            <w:lang w:val="pl-PL" w:eastAsia="pl-PL"/>
          </w:rPr>
          <w:tab/>
        </w:r>
        <w:r w:rsidRPr="00E4497B">
          <w:rPr>
            <w:rStyle w:val="Hipercze"/>
            <w:noProof/>
          </w:rPr>
          <w:t>Hutchinson p. Zjednoczonemu Królestwu, skarga nr 57592/08, wyrok Wielkiej Izby z 17 stycznia 2017 r., ostateczny</w:t>
        </w:r>
        <w:r>
          <w:rPr>
            <w:noProof/>
            <w:webHidden/>
          </w:rPr>
          <w:tab/>
        </w:r>
        <w:r>
          <w:rPr>
            <w:noProof/>
            <w:webHidden/>
          </w:rPr>
          <w:fldChar w:fldCharType="begin"/>
        </w:r>
        <w:r>
          <w:rPr>
            <w:noProof/>
            <w:webHidden/>
          </w:rPr>
          <w:instrText xml:space="preserve"> PAGEREF _Toc524696731 \h </w:instrText>
        </w:r>
        <w:r>
          <w:rPr>
            <w:noProof/>
            <w:webHidden/>
          </w:rPr>
        </w:r>
        <w:r>
          <w:rPr>
            <w:noProof/>
            <w:webHidden/>
          </w:rPr>
          <w:fldChar w:fldCharType="separate"/>
        </w:r>
        <w:r w:rsidR="00B01F3D">
          <w:rPr>
            <w:noProof/>
            <w:webHidden/>
          </w:rPr>
          <w:t>34</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2" w:history="1">
        <w:r w:rsidRPr="00E4497B">
          <w:rPr>
            <w:rStyle w:val="Hipercze"/>
            <w:noProof/>
          </w:rPr>
          <w:t>11.</w:t>
        </w:r>
        <w:r>
          <w:rPr>
            <w:rFonts w:eastAsiaTheme="minorEastAsia"/>
            <w:noProof/>
            <w:lang w:val="pl-PL" w:eastAsia="pl-PL"/>
          </w:rPr>
          <w:tab/>
        </w:r>
        <w:r w:rsidRPr="00E4497B">
          <w:rPr>
            <w:rStyle w:val="Hipercze"/>
            <w:noProof/>
          </w:rPr>
          <w:t>J. i Inni p. Austrii, skarga nr 58216/12, wyrok Izby z 17 stycznia 2017 r., ostateczny</w:t>
        </w:r>
        <w:r>
          <w:rPr>
            <w:noProof/>
            <w:webHidden/>
          </w:rPr>
          <w:tab/>
        </w:r>
        <w:r>
          <w:rPr>
            <w:noProof/>
            <w:webHidden/>
          </w:rPr>
          <w:fldChar w:fldCharType="begin"/>
        </w:r>
        <w:r>
          <w:rPr>
            <w:noProof/>
            <w:webHidden/>
          </w:rPr>
          <w:instrText xml:space="preserve"> PAGEREF _Toc524696732 \h </w:instrText>
        </w:r>
        <w:r>
          <w:rPr>
            <w:noProof/>
            <w:webHidden/>
          </w:rPr>
        </w:r>
        <w:r>
          <w:rPr>
            <w:noProof/>
            <w:webHidden/>
          </w:rPr>
          <w:fldChar w:fldCharType="separate"/>
        </w:r>
        <w:r w:rsidR="00B01F3D">
          <w:rPr>
            <w:noProof/>
            <w:webHidden/>
          </w:rPr>
          <w:t>38</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3" w:history="1">
        <w:r w:rsidRPr="00E4497B">
          <w:rPr>
            <w:rStyle w:val="Hipercze"/>
            <w:noProof/>
          </w:rPr>
          <w:t>12.</w:t>
        </w:r>
        <w:r>
          <w:rPr>
            <w:rFonts w:eastAsiaTheme="minorEastAsia"/>
            <w:noProof/>
            <w:lang w:val="pl-PL" w:eastAsia="pl-PL"/>
          </w:rPr>
          <w:tab/>
        </w:r>
        <w:r w:rsidRPr="00E4497B">
          <w:rPr>
            <w:rStyle w:val="Hipercze"/>
            <w:noProof/>
          </w:rPr>
          <w:t>Károly Nagy p. Węgrom, skarga nr 56665/09, wyrok Wielkiej Izby z 14 września 2017 r., ostateczny</w:t>
        </w:r>
        <w:r>
          <w:rPr>
            <w:noProof/>
            <w:webHidden/>
          </w:rPr>
          <w:tab/>
        </w:r>
        <w:r>
          <w:rPr>
            <w:noProof/>
            <w:webHidden/>
          </w:rPr>
          <w:fldChar w:fldCharType="begin"/>
        </w:r>
        <w:r>
          <w:rPr>
            <w:noProof/>
            <w:webHidden/>
          </w:rPr>
          <w:instrText xml:space="preserve"> PAGEREF _Toc524696733 \h </w:instrText>
        </w:r>
        <w:r>
          <w:rPr>
            <w:noProof/>
            <w:webHidden/>
          </w:rPr>
        </w:r>
        <w:r>
          <w:rPr>
            <w:noProof/>
            <w:webHidden/>
          </w:rPr>
          <w:fldChar w:fldCharType="separate"/>
        </w:r>
        <w:r w:rsidR="00B01F3D">
          <w:rPr>
            <w:noProof/>
            <w:webHidden/>
          </w:rPr>
          <w:t>41</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4" w:history="1">
        <w:r w:rsidRPr="00E4497B">
          <w:rPr>
            <w:rStyle w:val="Hipercze"/>
            <w:noProof/>
          </w:rPr>
          <w:t>13.</w:t>
        </w:r>
        <w:r>
          <w:rPr>
            <w:rFonts w:eastAsiaTheme="minorEastAsia"/>
            <w:noProof/>
            <w:lang w:val="pl-PL" w:eastAsia="pl-PL"/>
          </w:rPr>
          <w:tab/>
        </w:r>
        <w:r w:rsidRPr="00E4497B">
          <w:rPr>
            <w:rStyle w:val="Hipercze"/>
            <w:noProof/>
          </w:rPr>
          <w:t>Khamtokhu i Aksenchik p. Rosji, skargi nr 60367/08 i 961/11, wyrok Wielkiej Izby z 24 stycznia 2017 r., ostateczny</w:t>
        </w:r>
        <w:r>
          <w:rPr>
            <w:noProof/>
            <w:webHidden/>
          </w:rPr>
          <w:tab/>
        </w:r>
        <w:r>
          <w:rPr>
            <w:noProof/>
            <w:webHidden/>
          </w:rPr>
          <w:fldChar w:fldCharType="begin"/>
        </w:r>
        <w:r>
          <w:rPr>
            <w:noProof/>
            <w:webHidden/>
          </w:rPr>
          <w:instrText xml:space="preserve"> PAGEREF _Toc524696734 \h </w:instrText>
        </w:r>
        <w:r>
          <w:rPr>
            <w:noProof/>
            <w:webHidden/>
          </w:rPr>
        </w:r>
        <w:r>
          <w:rPr>
            <w:noProof/>
            <w:webHidden/>
          </w:rPr>
          <w:fldChar w:fldCharType="separate"/>
        </w:r>
        <w:r w:rsidR="00B01F3D">
          <w:rPr>
            <w:noProof/>
            <w:webHidden/>
          </w:rPr>
          <w:t>44</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5" w:history="1">
        <w:r w:rsidRPr="00E4497B">
          <w:rPr>
            <w:rStyle w:val="Hipercze"/>
            <w:noProof/>
          </w:rPr>
          <w:t>14.</w:t>
        </w:r>
        <w:r>
          <w:rPr>
            <w:rFonts w:eastAsiaTheme="minorEastAsia"/>
            <w:noProof/>
            <w:lang w:val="pl-PL" w:eastAsia="pl-PL"/>
          </w:rPr>
          <w:tab/>
        </w:r>
        <w:r w:rsidRPr="00E4497B">
          <w:rPr>
            <w:rStyle w:val="Hipercze"/>
            <w:noProof/>
          </w:rPr>
          <w:t>Lopes de Sousa Fernandes p. Portugalii, skarga nr 56080/13, wyrok Wielkiej Izby z 19 grudnia 2017 r., ostateczny</w:t>
        </w:r>
        <w:r>
          <w:rPr>
            <w:noProof/>
            <w:webHidden/>
          </w:rPr>
          <w:tab/>
        </w:r>
        <w:r>
          <w:rPr>
            <w:noProof/>
            <w:webHidden/>
          </w:rPr>
          <w:fldChar w:fldCharType="begin"/>
        </w:r>
        <w:r>
          <w:rPr>
            <w:noProof/>
            <w:webHidden/>
          </w:rPr>
          <w:instrText xml:space="preserve"> PAGEREF _Toc524696735 \h </w:instrText>
        </w:r>
        <w:r>
          <w:rPr>
            <w:noProof/>
            <w:webHidden/>
          </w:rPr>
        </w:r>
        <w:r>
          <w:rPr>
            <w:noProof/>
            <w:webHidden/>
          </w:rPr>
          <w:fldChar w:fldCharType="separate"/>
        </w:r>
        <w:r w:rsidR="00B01F3D">
          <w:rPr>
            <w:noProof/>
            <w:webHidden/>
          </w:rPr>
          <w:t>48</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6" w:history="1">
        <w:r w:rsidRPr="00E4497B">
          <w:rPr>
            <w:rStyle w:val="Hipercze"/>
            <w:noProof/>
          </w:rPr>
          <w:t>15.</w:t>
        </w:r>
        <w:r>
          <w:rPr>
            <w:rFonts w:eastAsiaTheme="minorEastAsia"/>
            <w:noProof/>
            <w:lang w:val="pl-PL" w:eastAsia="pl-PL"/>
          </w:rPr>
          <w:tab/>
        </w:r>
        <w:r w:rsidRPr="00E4497B">
          <w:rPr>
            <w:rStyle w:val="Hipercze"/>
            <w:noProof/>
          </w:rPr>
          <w:t>M p. Holandii, skarga nr 2156/10, wyrok Izby z 25 lipca 2017 r., ostateczny</w:t>
        </w:r>
        <w:r>
          <w:rPr>
            <w:noProof/>
            <w:webHidden/>
          </w:rPr>
          <w:tab/>
        </w:r>
        <w:r>
          <w:rPr>
            <w:noProof/>
            <w:webHidden/>
          </w:rPr>
          <w:fldChar w:fldCharType="begin"/>
        </w:r>
        <w:r>
          <w:rPr>
            <w:noProof/>
            <w:webHidden/>
          </w:rPr>
          <w:instrText xml:space="preserve"> PAGEREF _Toc524696736 \h </w:instrText>
        </w:r>
        <w:r>
          <w:rPr>
            <w:noProof/>
            <w:webHidden/>
          </w:rPr>
        </w:r>
        <w:r>
          <w:rPr>
            <w:noProof/>
            <w:webHidden/>
          </w:rPr>
          <w:fldChar w:fldCharType="separate"/>
        </w:r>
        <w:r w:rsidR="00B01F3D">
          <w:rPr>
            <w:noProof/>
            <w:webHidden/>
          </w:rPr>
          <w:t>52</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7" w:history="1">
        <w:r w:rsidRPr="00E4497B">
          <w:rPr>
            <w:rStyle w:val="Hipercze"/>
            <w:noProof/>
          </w:rPr>
          <w:t>16.</w:t>
        </w:r>
        <w:r>
          <w:rPr>
            <w:rFonts w:eastAsiaTheme="minorEastAsia"/>
            <w:noProof/>
            <w:lang w:val="pl-PL" w:eastAsia="pl-PL"/>
          </w:rPr>
          <w:tab/>
        </w:r>
        <w:r w:rsidRPr="00E4497B">
          <w:rPr>
            <w:rStyle w:val="Hipercze"/>
            <w:noProof/>
          </w:rPr>
          <w:t>Medžlis Islamske Zajednice Brčko i Inni p. Bośni i Hercegowinie, skarga nr 17224/11, wyrok Wielkiej Izby z 27 czerwca 2017 r., ostateczny</w:t>
        </w:r>
        <w:r>
          <w:rPr>
            <w:noProof/>
            <w:webHidden/>
          </w:rPr>
          <w:tab/>
        </w:r>
        <w:r>
          <w:rPr>
            <w:noProof/>
            <w:webHidden/>
          </w:rPr>
          <w:fldChar w:fldCharType="begin"/>
        </w:r>
        <w:r>
          <w:rPr>
            <w:noProof/>
            <w:webHidden/>
          </w:rPr>
          <w:instrText xml:space="preserve"> PAGEREF _Toc524696737 \h </w:instrText>
        </w:r>
        <w:r>
          <w:rPr>
            <w:noProof/>
            <w:webHidden/>
          </w:rPr>
        </w:r>
        <w:r>
          <w:rPr>
            <w:noProof/>
            <w:webHidden/>
          </w:rPr>
          <w:fldChar w:fldCharType="separate"/>
        </w:r>
        <w:r w:rsidR="00B01F3D">
          <w:rPr>
            <w:noProof/>
            <w:webHidden/>
          </w:rPr>
          <w:t>56</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8" w:history="1">
        <w:r w:rsidRPr="00E4497B">
          <w:rPr>
            <w:rStyle w:val="Hipercze"/>
            <w:noProof/>
          </w:rPr>
          <w:t>17.</w:t>
        </w:r>
        <w:r>
          <w:rPr>
            <w:rFonts w:eastAsiaTheme="minorEastAsia"/>
            <w:noProof/>
            <w:lang w:val="pl-PL" w:eastAsia="pl-PL"/>
          </w:rPr>
          <w:tab/>
        </w:r>
        <w:r w:rsidRPr="00E4497B">
          <w:rPr>
            <w:rStyle w:val="Hipercze"/>
            <w:noProof/>
          </w:rPr>
          <w:t>Moohan i Gillon p. Zjednoczonemu Królestwu, skargi nr 22962/15 i 23345/15, decyzja Izby z 13 czerwca 2017 r., ostateczna</w:t>
        </w:r>
        <w:r>
          <w:rPr>
            <w:noProof/>
            <w:webHidden/>
          </w:rPr>
          <w:tab/>
        </w:r>
        <w:r>
          <w:rPr>
            <w:noProof/>
            <w:webHidden/>
          </w:rPr>
          <w:fldChar w:fldCharType="begin"/>
        </w:r>
        <w:r>
          <w:rPr>
            <w:noProof/>
            <w:webHidden/>
          </w:rPr>
          <w:instrText xml:space="preserve"> PAGEREF _Toc524696738 \h </w:instrText>
        </w:r>
        <w:r>
          <w:rPr>
            <w:noProof/>
            <w:webHidden/>
          </w:rPr>
        </w:r>
        <w:r>
          <w:rPr>
            <w:noProof/>
            <w:webHidden/>
          </w:rPr>
          <w:fldChar w:fldCharType="separate"/>
        </w:r>
        <w:r w:rsidR="00B01F3D">
          <w:rPr>
            <w:noProof/>
            <w:webHidden/>
          </w:rPr>
          <w:t>59</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39" w:history="1">
        <w:r w:rsidRPr="00E4497B">
          <w:rPr>
            <w:rStyle w:val="Hipercze"/>
            <w:noProof/>
          </w:rPr>
          <w:t>18.</w:t>
        </w:r>
        <w:r>
          <w:rPr>
            <w:rFonts w:eastAsiaTheme="minorEastAsia"/>
            <w:noProof/>
            <w:lang w:val="pl-PL" w:eastAsia="pl-PL"/>
          </w:rPr>
          <w:tab/>
        </w:r>
        <w:r w:rsidRPr="00E4497B">
          <w:rPr>
            <w:rStyle w:val="Hipercze"/>
            <w:noProof/>
          </w:rPr>
          <w:t>Moreira Ferreira p. Portugalii (nr 2), skarga nr 19867/12, wyrok Wielkiej Izby z 11 lipca 2017 r., ostateczny</w:t>
        </w:r>
        <w:r>
          <w:rPr>
            <w:noProof/>
            <w:webHidden/>
          </w:rPr>
          <w:tab/>
        </w:r>
        <w:r>
          <w:rPr>
            <w:noProof/>
            <w:webHidden/>
          </w:rPr>
          <w:fldChar w:fldCharType="begin"/>
        </w:r>
        <w:r>
          <w:rPr>
            <w:noProof/>
            <w:webHidden/>
          </w:rPr>
          <w:instrText xml:space="preserve"> PAGEREF _Toc524696739 \h </w:instrText>
        </w:r>
        <w:r>
          <w:rPr>
            <w:noProof/>
            <w:webHidden/>
          </w:rPr>
        </w:r>
        <w:r>
          <w:rPr>
            <w:noProof/>
            <w:webHidden/>
          </w:rPr>
          <w:fldChar w:fldCharType="separate"/>
        </w:r>
        <w:r w:rsidR="00B01F3D">
          <w:rPr>
            <w:noProof/>
            <w:webHidden/>
          </w:rPr>
          <w:t>61</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40" w:history="1">
        <w:r w:rsidRPr="00E4497B">
          <w:rPr>
            <w:rStyle w:val="Hipercze"/>
            <w:noProof/>
          </w:rPr>
          <w:t>19.</w:t>
        </w:r>
        <w:r>
          <w:rPr>
            <w:rFonts w:eastAsiaTheme="minorEastAsia"/>
            <w:noProof/>
            <w:lang w:val="pl-PL" w:eastAsia="pl-PL"/>
          </w:rPr>
          <w:tab/>
        </w:r>
        <w:r w:rsidRPr="00E4497B">
          <w:rPr>
            <w:rStyle w:val="Hipercze"/>
            <w:noProof/>
          </w:rPr>
          <w:t>Regner p. Republice Czeskiej, skarga nr 35289/11, wyrok Wielkiej Izby z 19 września 2017 r., ostateczny</w:t>
        </w:r>
        <w:r>
          <w:rPr>
            <w:noProof/>
            <w:webHidden/>
          </w:rPr>
          <w:tab/>
        </w:r>
        <w:r>
          <w:rPr>
            <w:noProof/>
            <w:webHidden/>
          </w:rPr>
          <w:fldChar w:fldCharType="begin"/>
        </w:r>
        <w:r>
          <w:rPr>
            <w:noProof/>
            <w:webHidden/>
          </w:rPr>
          <w:instrText xml:space="preserve"> PAGEREF _Toc524696740 \h </w:instrText>
        </w:r>
        <w:r>
          <w:rPr>
            <w:noProof/>
            <w:webHidden/>
          </w:rPr>
        </w:r>
        <w:r>
          <w:rPr>
            <w:noProof/>
            <w:webHidden/>
          </w:rPr>
          <w:fldChar w:fldCharType="separate"/>
        </w:r>
        <w:r w:rsidR="00B01F3D">
          <w:rPr>
            <w:noProof/>
            <w:webHidden/>
          </w:rPr>
          <w:t>64</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41" w:history="1">
        <w:r w:rsidRPr="00E4497B">
          <w:rPr>
            <w:rStyle w:val="Hipercze"/>
            <w:noProof/>
          </w:rPr>
          <w:t>20.</w:t>
        </w:r>
        <w:r>
          <w:rPr>
            <w:rFonts w:eastAsiaTheme="minorEastAsia"/>
            <w:noProof/>
            <w:lang w:val="pl-PL" w:eastAsia="pl-PL"/>
          </w:rPr>
          <w:tab/>
        </w:r>
        <w:r w:rsidRPr="00E4497B">
          <w:rPr>
            <w:rStyle w:val="Hipercze"/>
            <w:noProof/>
          </w:rPr>
          <w:t>Satakunnan Markkinapörssi Oy i Satamedia Oy p. Finlandii, skarga nr 931/13, wyrok Wielkiej Izby z 27 czerwca 2017 r., ostateczny</w:t>
        </w:r>
        <w:r>
          <w:rPr>
            <w:noProof/>
            <w:webHidden/>
          </w:rPr>
          <w:tab/>
        </w:r>
        <w:r>
          <w:rPr>
            <w:noProof/>
            <w:webHidden/>
          </w:rPr>
          <w:fldChar w:fldCharType="begin"/>
        </w:r>
        <w:r>
          <w:rPr>
            <w:noProof/>
            <w:webHidden/>
          </w:rPr>
          <w:instrText xml:space="preserve"> PAGEREF _Toc524696741 \h </w:instrText>
        </w:r>
        <w:r>
          <w:rPr>
            <w:noProof/>
            <w:webHidden/>
          </w:rPr>
        </w:r>
        <w:r>
          <w:rPr>
            <w:noProof/>
            <w:webHidden/>
          </w:rPr>
          <w:fldChar w:fldCharType="separate"/>
        </w:r>
        <w:r w:rsidR="00B01F3D">
          <w:rPr>
            <w:noProof/>
            <w:webHidden/>
          </w:rPr>
          <w:t>68</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42" w:history="1">
        <w:r w:rsidRPr="00E4497B">
          <w:rPr>
            <w:rStyle w:val="Hipercze"/>
            <w:noProof/>
          </w:rPr>
          <w:t>21.</w:t>
        </w:r>
        <w:r>
          <w:rPr>
            <w:rFonts w:eastAsiaTheme="minorEastAsia"/>
            <w:noProof/>
            <w:lang w:val="pl-PL" w:eastAsia="pl-PL"/>
          </w:rPr>
          <w:tab/>
        </w:r>
        <w:r w:rsidRPr="00E4497B">
          <w:rPr>
            <w:rStyle w:val="Hipercze"/>
            <w:noProof/>
          </w:rPr>
          <w:t>Simeonovi p. Bułgarii, skarga nr 21980/04, wyrok Wielkiej Izby z 12 maja 2017 r., ostateczny</w:t>
        </w:r>
        <w:r>
          <w:rPr>
            <w:noProof/>
            <w:webHidden/>
          </w:rPr>
          <w:tab/>
        </w:r>
        <w:r>
          <w:rPr>
            <w:noProof/>
            <w:webHidden/>
          </w:rPr>
          <w:fldChar w:fldCharType="begin"/>
        </w:r>
        <w:r>
          <w:rPr>
            <w:noProof/>
            <w:webHidden/>
          </w:rPr>
          <w:instrText xml:space="preserve"> PAGEREF _Toc524696742 \h </w:instrText>
        </w:r>
        <w:r>
          <w:rPr>
            <w:noProof/>
            <w:webHidden/>
          </w:rPr>
        </w:r>
        <w:r>
          <w:rPr>
            <w:noProof/>
            <w:webHidden/>
          </w:rPr>
          <w:fldChar w:fldCharType="separate"/>
        </w:r>
        <w:r w:rsidR="00B01F3D">
          <w:rPr>
            <w:noProof/>
            <w:webHidden/>
          </w:rPr>
          <w:t>73</w:t>
        </w:r>
        <w:r>
          <w:rPr>
            <w:noProof/>
            <w:webHidden/>
          </w:rPr>
          <w:fldChar w:fldCharType="end"/>
        </w:r>
      </w:hyperlink>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43" w:history="1">
        <w:r w:rsidRPr="00E4497B">
          <w:rPr>
            <w:rStyle w:val="Hipercze"/>
            <w:noProof/>
          </w:rPr>
          <w:t>22.</w:t>
        </w:r>
        <w:r>
          <w:rPr>
            <w:rFonts w:eastAsiaTheme="minorEastAsia"/>
            <w:noProof/>
            <w:lang w:val="pl-PL" w:eastAsia="pl-PL"/>
          </w:rPr>
          <w:tab/>
        </w:r>
        <w:r w:rsidRPr="00E4497B">
          <w:rPr>
            <w:rStyle w:val="Hipercze"/>
            <w:noProof/>
          </w:rPr>
          <w:t>Škorjanec p. Chorwacji, skarga nr 25536/14, wyrok Izby z 28 marca 2017 r., ostateczny</w:t>
        </w:r>
        <w:r>
          <w:rPr>
            <w:noProof/>
            <w:webHidden/>
          </w:rPr>
          <w:tab/>
        </w:r>
        <w:r>
          <w:rPr>
            <w:noProof/>
            <w:webHidden/>
          </w:rPr>
          <w:fldChar w:fldCharType="begin"/>
        </w:r>
        <w:r>
          <w:rPr>
            <w:noProof/>
            <w:webHidden/>
          </w:rPr>
          <w:instrText xml:space="preserve"> PAGEREF _Toc524696743 \h </w:instrText>
        </w:r>
        <w:r>
          <w:rPr>
            <w:noProof/>
            <w:webHidden/>
          </w:rPr>
        </w:r>
        <w:r>
          <w:rPr>
            <w:noProof/>
            <w:webHidden/>
          </w:rPr>
          <w:fldChar w:fldCharType="separate"/>
        </w:r>
        <w:r w:rsidR="00B01F3D">
          <w:rPr>
            <w:noProof/>
            <w:webHidden/>
          </w:rPr>
          <w:t>76</w:t>
        </w:r>
        <w:r>
          <w:rPr>
            <w:noProof/>
            <w:webHidden/>
          </w:rPr>
          <w:fldChar w:fldCharType="end"/>
        </w:r>
      </w:hyperlink>
      <w:bookmarkStart w:id="1" w:name="_GoBack"/>
      <w:bookmarkEnd w:id="1"/>
    </w:p>
    <w:p w:rsidR="00E57D35" w:rsidRDefault="00E57D35" w:rsidP="00E57D35">
      <w:pPr>
        <w:pStyle w:val="Spistreci2"/>
        <w:tabs>
          <w:tab w:val="left" w:pos="880"/>
          <w:tab w:val="right" w:leader="dot" w:pos="9062"/>
        </w:tabs>
        <w:spacing w:line="240" w:lineRule="auto"/>
        <w:rPr>
          <w:rFonts w:eastAsiaTheme="minorEastAsia"/>
          <w:noProof/>
          <w:lang w:val="pl-PL" w:eastAsia="pl-PL"/>
        </w:rPr>
      </w:pPr>
      <w:hyperlink w:anchor="_Toc524696744" w:history="1">
        <w:r w:rsidRPr="00E4497B">
          <w:rPr>
            <w:rStyle w:val="Hipercze"/>
            <w:noProof/>
          </w:rPr>
          <w:t>23.</w:t>
        </w:r>
        <w:r>
          <w:rPr>
            <w:rFonts w:eastAsiaTheme="minorEastAsia"/>
            <w:noProof/>
            <w:lang w:val="pl-PL" w:eastAsia="pl-PL"/>
          </w:rPr>
          <w:tab/>
        </w:r>
        <w:r w:rsidRPr="00E4497B">
          <w:rPr>
            <w:rStyle w:val="Hipercze"/>
            <w:noProof/>
          </w:rPr>
          <w:t>Tagayeva i Inni p. Rosji, skargi nr 26562/07, 14755/08, 49339/08 i in., wyrok Izby z 13 kwietnia 2017 r., ostateczny</w:t>
        </w:r>
        <w:r>
          <w:rPr>
            <w:noProof/>
            <w:webHidden/>
          </w:rPr>
          <w:tab/>
        </w:r>
        <w:r>
          <w:rPr>
            <w:noProof/>
            <w:webHidden/>
          </w:rPr>
          <w:fldChar w:fldCharType="begin"/>
        </w:r>
        <w:r>
          <w:rPr>
            <w:noProof/>
            <w:webHidden/>
          </w:rPr>
          <w:instrText xml:space="preserve"> PAGEREF _Toc524696744 \h </w:instrText>
        </w:r>
        <w:r>
          <w:rPr>
            <w:noProof/>
            <w:webHidden/>
          </w:rPr>
        </w:r>
        <w:r>
          <w:rPr>
            <w:noProof/>
            <w:webHidden/>
          </w:rPr>
          <w:fldChar w:fldCharType="separate"/>
        </w:r>
        <w:r w:rsidR="00B01F3D">
          <w:rPr>
            <w:noProof/>
            <w:webHidden/>
          </w:rPr>
          <w:t>77</w:t>
        </w:r>
        <w:r>
          <w:rPr>
            <w:noProof/>
            <w:webHidden/>
          </w:rPr>
          <w:fldChar w:fldCharType="end"/>
        </w:r>
      </w:hyperlink>
    </w:p>
    <w:p w:rsidR="005F7FDE" w:rsidRPr="00ED0C6A" w:rsidRDefault="00A6070B" w:rsidP="00E57D35">
      <w:pPr>
        <w:autoSpaceDE w:val="0"/>
        <w:autoSpaceDN w:val="0"/>
        <w:adjustRightInd w:val="0"/>
        <w:spacing w:after="60" w:line="240" w:lineRule="auto"/>
        <w:jc w:val="both"/>
        <w:rPr>
          <w:rFonts w:cs="Verdana"/>
          <w:b/>
          <w:bCs/>
          <w:sz w:val="24"/>
          <w:szCs w:val="24"/>
          <w:lang w:val="pl-PL"/>
        </w:rPr>
      </w:pPr>
      <w:r w:rsidRPr="00ED0C6A">
        <w:rPr>
          <w:rFonts w:cs="Verdana"/>
          <w:b/>
          <w:bCs/>
          <w:sz w:val="20"/>
          <w:szCs w:val="20"/>
          <w:lang w:val="pl-PL"/>
        </w:rPr>
        <w:fldChar w:fldCharType="end"/>
      </w:r>
    </w:p>
    <w:bookmarkEnd w:id="0"/>
    <w:p w:rsidR="00A840C6" w:rsidRPr="00ED0C6A" w:rsidRDefault="00A840C6" w:rsidP="00F11942">
      <w:pPr>
        <w:pStyle w:val="Akapitzlist"/>
        <w:autoSpaceDE w:val="0"/>
        <w:autoSpaceDN w:val="0"/>
        <w:adjustRightInd w:val="0"/>
        <w:spacing w:after="0" w:line="240" w:lineRule="auto"/>
        <w:ind w:left="0"/>
        <w:contextualSpacing w:val="0"/>
        <w:jc w:val="both"/>
        <w:rPr>
          <w:rFonts w:cs="Verdana"/>
          <w:bCs/>
          <w:sz w:val="24"/>
          <w:szCs w:val="24"/>
          <w:lang w:val="pl-PL"/>
        </w:rPr>
      </w:pPr>
    </w:p>
    <w:p w:rsidR="0038119F" w:rsidRDefault="0038119F" w:rsidP="00F11942">
      <w:pPr>
        <w:pStyle w:val="Akapitzlist"/>
        <w:autoSpaceDE w:val="0"/>
        <w:autoSpaceDN w:val="0"/>
        <w:adjustRightInd w:val="0"/>
        <w:spacing w:after="0" w:line="240" w:lineRule="auto"/>
        <w:ind w:left="0"/>
        <w:contextualSpacing w:val="0"/>
        <w:jc w:val="both"/>
        <w:rPr>
          <w:rFonts w:cs="Verdana"/>
          <w:bCs/>
          <w:sz w:val="24"/>
          <w:szCs w:val="24"/>
          <w:lang w:val="pl-PL"/>
        </w:rPr>
      </w:pPr>
    </w:p>
    <w:p w:rsidR="00A81794" w:rsidRPr="00A81794" w:rsidRDefault="00A81794" w:rsidP="00A81794">
      <w:pPr>
        <w:pStyle w:val="Akapitzlist"/>
        <w:autoSpaceDE w:val="0"/>
        <w:autoSpaceDN w:val="0"/>
        <w:adjustRightInd w:val="0"/>
        <w:spacing w:after="0" w:line="240" w:lineRule="auto"/>
        <w:ind w:left="0"/>
        <w:jc w:val="both"/>
        <w:rPr>
          <w:rFonts w:cs="Verdana"/>
          <w:bCs/>
          <w:i/>
          <w:sz w:val="24"/>
          <w:szCs w:val="24"/>
          <w:lang w:val="pl-PL"/>
        </w:rPr>
      </w:pPr>
      <w:r w:rsidRPr="00A81794">
        <w:rPr>
          <w:rFonts w:cs="Verdana"/>
          <w:bCs/>
          <w:i/>
          <w:sz w:val="24"/>
          <w:szCs w:val="24"/>
          <w:lang w:val="pl-PL"/>
        </w:rPr>
        <w:t>W ramach działań mających na celu zapobieganie stwierdzaniu przez Europejski Trybunał Praw Człowieka („Trybunał”) naruszenia Konwencji o ochronie praw człowieka i</w:t>
      </w:r>
      <w:r w:rsidR="00827554">
        <w:rPr>
          <w:rFonts w:cs="Verdana"/>
          <w:bCs/>
          <w:i/>
          <w:sz w:val="24"/>
          <w:szCs w:val="24"/>
          <w:lang w:val="pl-PL"/>
        </w:rPr>
        <w:t> </w:t>
      </w:r>
      <w:r w:rsidRPr="00A81794">
        <w:rPr>
          <w:rFonts w:cs="Verdana"/>
          <w:bCs/>
          <w:i/>
          <w:sz w:val="24"/>
          <w:szCs w:val="24"/>
          <w:lang w:val="pl-PL"/>
        </w:rPr>
        <w:t>podstawowych wolności („Konwencji”)</w:t>
      </w:r>
      <w:r w:rsidRPr="00A81794">
        <w:rPr>
          <w:rStyle w:val="Odwoanieprzypisudolnego"/>
          <w:rFonts w:cs="Verdana"/>
          <w:bCs/>
          <w:i/>
          <w:sz w:val="24"/>
          <w:szCs w:val="24"/>
          <w:lang w:val="pl-PL"/>
        </w:rPr>
        <w:footnoteReference w:id="2"/>
      </w:r>
      <w:r w:rsidRPr="00A81794">
        <w:rPr>
          <w:rFonts w:cs="Verdana"/>
          <w:bCs/>
          <w:i/>
          <w:sz w:val="24"/>
          <w:szCs w:val="24"/>
          <w:lang w:val="pl-PL"/>
        </w:rPr>
        <w:t xml:space="preserve"> przez Polskę, istotne jest nie tylko usuwanie stwierdzonych nieprawidłowości w prawie lub praktyce jego stosowania, ale także podejmowanie działań prewencyjnych na przyszłość. Choć na mocy art. 46 ust. 1 Konwencji Państwa są formalnie zobowiązane do przestrzegania ostatecznych wyroków Trybunału w sprawach, których są stronami, w Radzie Europy zachęca się Państwa do śledzenia również orzecznictwa Trybunału wobec innych Państw Rady Europy. </w:t>
      </w:r>
    </w:p>
    <w:p w:rsidR="00A81794" w:rsidRPr="00A81794" w:rsidRDefault="00A81794" w:rsidP="00A81794">
      <w:pPr>
        <w:pStyle w:val="Akapitzlist"/>
        <w:autoSpaceDE w:val="0"/>
        <w:autoSpaceDN w:val="0"/>
        <w:adjustRightInd w:val="0"/>
        <w:spacing w:after="0" w:line="240" w:lineRule="auto"/>
        <w:ind w:left="0"/>
        <w:jc w:val="both"/>
        <w:rPr>
          <w:rFonts w:cs="Verdana"/>
          <w:bCs/>
          <w:i/>
          <w:sz w:val="24"/>
          <w:szCs w:val="24"/>
          <w:lang w:val="pl-PL"/>
        </w:rPr>
      </w:pPr>
    </w:p>
    <w:p w:rsidR="00A81794" w:rsidRPr="00A81794" w:rsidRDefault="00A81794" w:rsidP="00A81794">
      <w:pPr>
        <w:pStyle w:val="Akapitzlist"/>
        <w:autoSpaceDE w:val="0"/>
        <w:autoSpaceDN w:val="0"/>
        <w:adjustRightInd w:val="0"/>
        <w:spacing w:after="0" w:line="240" w:lineRule="auto"/>
        <w:ind w:left="0"/>
        <w:jc w:val="both"/>
        <w:rPr>
          <w:rFonts w:cs="Verdana"/>
          <w:bCs/>
          <w:i/>
          <w:sz w:val="24"/>
          <w:szCs w:val="24"/>
          <w:lang w:val="pl-PL"/>
        </w:rPr>
      </w:pPr>
      <w:r w:rsidRPr="00A81794">
        <w:rPr>
          <w:rFonts w:cs="Verdana"/>
          <w:bCs/>
          <w:i/>
          <w:sz w:val="24"/>
          <w:szCs w:val="24"/>
          <w:lang w:val="pl-PL"/>
        </w:rPr>
        <w:t>Z tego względu Pełnomocnik Ministra Spraw Zagranicznych ds. postępowań przed</w:t>
      </w:r>
      <w:r w:rsidR="00827554">
        <w:rPr>
          <w:rFonts w:cs="Verdana"/>
          <w:bCs/>
          <w:i/>
          <w:sz w:val="24"/>
          <w:szCs w:val="24"/>
          <w:lang w:val="pl-PL"/>
        </w:rPr>
        <w:t> </w:t>
      </w:r>
      <w:r w:rsidRPr="00A81794">
        <w:rPr>
          <w:rFonts w:cs="Verdana"/>
          <w:bCs/>
          <w:i/>
          <w:sz w:val="24"/>
          <w:szCs w:val="24"/>
          <w:lang w:val="pl-PL"/>
        </w:rPr>
        <w:t xml:space="preserve">Europejskim Trybunałem Praw Człowieka przedstawia poniżej przegląd orzeczeń Trybunału wydanych w 2017 r. wobec innych Państw Stron, wybranych z listy najważniejszych orzeczeń Trybunału za ten  rok.  </w:t>
      </w:r>
    </w:p>
    <w:p w:rsidR="00A81794" w:rsidRDefault="00A81794" w:rsidP="00A81794">
      <w:pPr>
        <w:pStyle w:val="Akapitzlist"/>
        <w:autoSpaceDE w:val="0"/>
        <w:autoSpaceDN w:val="0"/>
        <w:adjustRightInd w:val="0"/>
        <w:spacing w:after="0" w:line="240" w:lineRule="auto"/>
        <w:ind w:left="0"/>
        <w:jc w:val="both"/>
        <w:rPr>
          <w:rFonts w:cs="Verdana"/>
          <w:bCs/>
          <w:sz w:val="24"/>
          <w:szCs w:val="24"/>
          <w:lang w:val="pl-PL"/>
        </w:rPr>
      </w:pPr>
    </w:p>
    <w:p w:rsidR="00EF41FA" w:rsidRPr="0038119F" w:rsidRDefault="00EF41FA" w:rsidP="00F11942">
      <w:pPr>
        <w:pStyle w:val="Akapitzlist"/>
        <w:autoSpaceDE w:val="0"/>
        <w:autoSpaceDN w:val="0"/>
        <w:adjustRightInd w:val="0"/>
        <w:spacing w:after="0" w:line="240" w:lineRule="auto"/>
        <w:ind w:left="0"/>
        <w:contextualSpacing w:val="0"/>
        <w:jc w:val="both"/>
        <w:rPr>
          <w:rFonts w:cs="Verdana"/>
          <w:bCs/>
          <w:i/>
          <w:sz w:val="24"/>
          <w:szCs w:val="24"/>
          <w:lang w:val="pl-PL"/>
        </w:rPr>
      </w:pPr>
      <w:r w:rsidRPr="0038119F">
        <w:rPr>
          <w:rFonts w:cs="Verdana"/>
          <w:bCs/>
          <w:i/>
          <w:sz w:val="24"/>
          <w:szCs w:val="24"/>
          <w:lang w:val="pl-PL"/>
        </w:rPr>
        <w:t>Podane poniżej informacje</w:t>
      </w:r>
      <w:r w:rsidR="00DE4D30" w:rsidRPr="0038119F">
        <w:rPr>
          <w:rFonts w:cs="Verdana"/>
          <w:bCs/>
          <w:i/>
          <w:sz w:val="24"/>
          <w:szCs w:val="24"/>
          <w:lang w:val="pl-PL"/>
        </w:rPr>
        <w:t xml:space="preserve">, przygotowane </w:t>
      </w:r>
      <w:r w:rsidR="00A25C08" w:rsidRPr="0038119F">
        <w:rPr>
          <w:rFonts w:cs="Verdana"/>
          <w:bCs/>
          <w:i/>
          <w:sz w:val="24"/>
          <w:szCs w:val="24"/>
          <w:lang w:val="pl-PL"/>
        </w:rPr>
        <w:t>z wykorzystaniem opracowań</w:t>
      </w:r>
      <w:r w:rsidR="00DE4D30" w:rsidRPr="0038119F">
        <w:rPr>
          <w:rFonts w:cs="Verdana"/>
          <w:bCs/>
          <w:i/>
          <w:sz w:val="24"/>
          <w:szCs w:val="24"/>
          <w:lang w:val="pl-PL"/>
        </w:rPr>
        <w:t xml:space="preserve"> Kancelarii Trybun</w:t>
      </w:r>
      <w:r w:rsidR="00F205D4" w:rsidRPr="0038119F">
        <w:rPr>
          <w:rFonts w:cs="Verdana"/>
          <w:bCs/>
          <w:i/>
          <w:sz w:val="24"/>
          <w:szCs w:val="24"/>
          <w:lang w:val="pl-PL"/>
        </w:rPr>
        <w:t>a</w:t>
      </w:r>
      <w:r w:rsidR="00DE4D30" w:rsidRPr="0038119F">
        <w:rPr>
          <w:rFonts w:cs="Verdana"/>
          <w:bCs/>
          <w:i/>
          <w:sz w:val="24"/>
          <w:szCs w:val="24"/>
          <w:lang w:val="pl-PL"/>
        </w:rPr>
        <w:t>łu</w:t>
      </w:r>
      <w:r w:rsidR="00A840C6" w:rsidRPr="0038119F">
        <w:rPr>
          <w:rFonts w:cs="Verdana"/>
          <w:bCs/>
          <w:i/>
          <w:sz w:val="24"/>
          <w:szCs w:val="24"/>
          <w:lang w:val="pl-PL"/>
        </w:rPr>
        <w:t xml:space="preserve"> tłumaczonych przez Ministerstwo Spraw Zagranicznych</w:t>
      </w:r>
      <w:r w:rsidR="00DE4D30" w:rsidRPr="0038119F">
        <w:rPr>
          <w:rFonts w:cs="Verdana"/>
          <w:bCs/>
          <w:i/>
          <w:sz w:val="24"/>
          <w:szCs w:val="24"/>
          <w:lang w:val="pl-PL"/>
        </w:rPr>
        <w:t>,</w:t>
      </w:r>
      <w:r w:rsidRPr="0038119F">
        <w:rPr>
          <w:rFonts w:cs="Verdana"/>
          <w:bCs/>
          <w:i/>
          <w:sz w:val="24"/>
          <w:szCs w:val="24"/>
          <w:lang w:val="pl-PL"/>
        </w:rPr>
        <w:t xml:space="preserve"> należy traktować jako jedynie </w:t>
      </w:r>
      <w:r w:rsidRPr="0038119F">
        <w:rPr>
          <w:rFonts w:cs="Verdana"/>
          <w:b/>
          <w:bCs/>
          <w:i/>
          <w:sz w:val="24"/>
          <w:szCs w:val="24"/>
          <w:lang w:val="pl-PL"/>
        </w:rPr>
        <w:t>wstępnie sygnalizujące</w:t>
      </w:r>
      <w:r w:rsidRPr="0038119F">
        <w:rPr>
          <w:rFonts w:cs="Verdana"/>
          <w:bCs/>
          <w:i/>
          <w:sz w:val="24"/>
          <w:szCs w:val="24"/>
          <w:lang w:val="pl-PL"/>
        </w:rPr>
        <w:t xml:space="preserve"> problematykę danego orzeczenia, nie zaś jako pełny opis faktów sprawy, argumentacji Europejskiego Trybunału Praw Człowieka i stwierdzonego naruszenia</w:t>
      </w:r>
      <w:r w:rsidR="00496FD8" w:rsidRPr="0038119F">
        <w:rPr>
          <w:rFonts w:cs="Verdana"/>
          <w:bCs/>
          <w:i/>
          <w:sz w:val="24"/>
          <w:szCs w:val="24"/>
          <w:lang w:val="pl-PL"/>
        </w:rPr>
        <w:t xml:space="preserve"> bądź braku naruszenia</w:t>
      </w:r>
      <w:r w:rsidRPr="0038119F">
        <w:rPr>
          <w:rFonts w:cs="Verdana"/>
          <w:bCs/>
          <w:i/>
          <w:sz w:val="24"/>
          <w:szCs w:val="24"/>
          <w:lang w:val="pl-PL"/>
        </w:rPr>
        <w:t xml:space="preserve"> Konwencji o ochronie praw człowieka i podstawowych wolności.</w:t>
      </w:r>
      <w:r w:rsidR="00BF555E" w:rsidRPr="0038119F">
        <w:rPr>
          <w:rFonts w:cs="Verdana"/>
          <w:bCs/>
          <w:i/>
          <w:sz w:val="24"/>
          <w:szCs w:val="24"/>
          <w:lang w:val="pl-PL"/>
        </w:rPr>
        <w:t xml:space="preserve"> </w:t>
      </w:r>
      <w:r w:rsidRPr="0038119F">
        <w:rPr>
          <w:rFonts w:cs="Verdana"/>
          <w:bCs/>
          <w:i/>
          <w:sz w:val="24"/>
          <w:szCs w:val="24"/>
          <w:lang w:val="pl-PL"/>
        </w:rPr>
        <w:t>Nie</w:t>
      </w:r>
      <w:r w:rsidR="00827554">
        <w:rPr>
          <w:rFonts w:cs="Verdana"/>
          <w:bCs/>
          <w:i/>
          <w:sz w:val="24"/>
          <w:szCs w:val="24"/>
          <w:lang w:val="pl-PL"/>
        </w:rPr>
        <w:t> </w:t>
      </w:r>
      <w:r w:rsidRPr="0038119F">
        <w:rPr>
          <w:rFonts w:cs="Verdana"/>
          <w:bCs/>
          <w:i/>
          <w:sz w:val="24"/>
          <w:szCs w:val="24"/>
          <w:lang w:val="pl-PL"/>
        </w:rPr>
        <w:t xml:space="preserve">odzwierciedlają </w:t>
      </w:r>
      <w:r w:rsidR="006B1ECB" w:rsidRPr="0038119F">
        <w:rPr>
          <w:rFonts w:cs="Verdana"/>
          <w:bCs/>
          <w:i/>
          <w:sz w:val="24"/>
          <w:szCs w:val="24"/>
          <w:lang w:val="pl-PL"/>
        </w:rPr>
        <w:t xml:space="preserve">one </w:t>
      </w:r>
      <w:r w:rsidRPr="0038119F">
        <w:rPr>
          <w:rFonts w:cs="Verdana"/>
          <w:bCs/>
          <w:i/>
          <w:sz w:val="24"/>
          <w:szCs w:val="24"/>
          <w:lang w:val="pl-PL"/>
        </w:rPr>
        <w:t>oficjalnego stanowiska Trybunału ani Rządu Rzeczypospolitej Polskiej. Również wskazanie</w:t>
      </w:r>
      <w:r w:rsidR="00496FD8" w:rsidRPr="0038119F">
        <w:rPr>
          <w:rFonts w:cs="Verdana"/>
          <w:bCs/>
          <w:i/>
          <w:sz w:val="24"/>
          <w:szCs w:val="24"/>
          <w:lang w:val="pl-PL"/>
        </w:rPr>
        <w:t xml:space="preserve"> potencjalnego</w:t>
      </w:r>
      <w:r w:rsidRPr="0038119F">
        <w:rPr>
          <w:rFonts w:cs="Verdana"/>
          <w:bCs/>
          <w:i/>
          <w:sz w:val="24"/>
          <w:szCs w:val="24"/>
          <w:lang w:val="pl-PL"/>
        </w:rPr>
        <w:t xml:space="preserve"> znaczenia wyroku dla systemu prawa polskiego ma charakter wstępny – niezbędne jest przeprowadzenie dalszej p</w:t>
      </w:r>
      <w:r w:rsidR="00842C55">
        <w:rPr>
          <w:rFonts w:cs="Verdana"/>
          <w:bCs/>
          <w:i/>
          <w:sz w:val="24"/>
          <w:szCs w:val="24"/>
          <w:lang w:val="pl-PL"/>
        </w:rPr>
        <w:t>ogłębionej</w:t>
      </w:r>
      <w:r w:rsidRPr="0038119F">
        <w:rPr>
          <w:rFonts w:cs="Verdana"/>
          <w:bCs/>
          <w:i/>
          <w:sz w:val="24"/>
          <w:szCs w:val="24"/>
          <w:lang w:val="pl-PL"/>
        </w:rPr>
        <w:t xml:space="preserve"> analizy </w:t>
      </w:r>
      <w:r w:rsidR="006B1ECB" w:rsidRPr="0038119F">
        <w:rPr>
          <w:rFonts w:cs="Verdana"/>
          <w:bCs/>
          <w:i/>
          <w:sz w:val="24"/>
          <w:szCs w:val="24"/>
          <w:lang w:val="pl-PL"/>
        </w:rPr>
        <w:t xml:space="preserve">pełnego tekstu wyroku </w:t>
      </w:r>
      <w:r w:rsidRPr="0038119F">
        <w:rPr>
          <w:rFonts w:cs="Verdana"/>
          <w:bCs/>
          <w:i/>
          <w:sz w:val="24"/>
          <w:szCs w:val="24"/>
          <w:lang w:val="pl-PL"/>
        </w:rPr>
        <w:t xml:space="preserve">przez właściwe organy. </w:t>
      </w:r>
      <w:r w:rsidR="00392B4E" w:rsidRPr="0038119F">
        <w:rPr>
          <w:rFonts w:cs="Verdana"/>
          <w:bCs/>
          <w:i/>
          <w:sz w:val="24"/>
          <w:szCs w:val="24"/>
          <w:lang w:val="pl-PL"/>
        </w:rPr>
        <w:t>Należy tu mieć na uwadze, że większość z</w:t>
      </w:r>
      <w:r w:rsidR="00827554">
        <w:rPr>
          <w:rFonts w:cs="Verdana"/>
          <w:bCs/>
          <w:i/>
          <w:sz w:val="24"/>
          <w:szCs w:val="24"/>
          <w:lang w:val="pl-PL"/>
        </w:rPr>
        <w:t> </w:t>
      </w:r>
      <w:r w:rsidR="00392B4E" w:rsidRPr="0038119F">
        <w:rPr>
          <w:rFonts w:cs="Verdana"/>
          <w:bCs/>
          <w:i/>
          <w:sz w:val="24"/>
          <w:szCs w:val="24"/>
          <w:lang w:val="pl-PL"/>
        </w:rPr>
        <w:t>prezentowanych tu orzeczeń Trybunału jest bardzo rozbudowana i szczegółowa, siłą rzeczy niemożliwe jest</w:t>
      </w:r>
      <w:r w:rsidR="00022D2B" w:rsidRPr="0038119F">
        <w:rPr>
          <w:rFonts w:cs="Verdana"/>
          <w:bCs/>
          <w:i/>
          <w:sz w:val="24"/>
          <w:szCs w:val="24"/>
          <w:lang w:val="pl-PL"/>
        </w:rPr>
        <w:t xml:space="preserve"> pełne </w:t>
      </w:r>
      <w:r w:rsidR="00392B4E" w:rsidRPr="0038119F">
        <w:rPr>
          <w:rFonts w:cs="Verdana"/>
          <w:bCs/>
          <w:i/>
          <w:sz w:val="24"/>
          <w:szCs w:val="24"/>
          <w:lang w:val="pl-PL"/>
        </w:rPr>
        <w:t>zaprezentowanie w obecnym skrótowym przeglądzie wszystkich istotnych aspektów i niuansów rozstrzygnięć Trybunału.</w:t>
      </w:r>
    </w:p>
    <w:p w:rsidR="00EF41FA" w:rsidRDefault="00EF41FA" w:rsidP="00CB05A7">
      <w:pPr>
        <w:pStyle w:val="Akapitzlist"/>
        <w:autoSpaceDE w:val="0"/>
        <w:autoSpaceDN w:val="0"/>
        <w:adjustRightInd w:val="0"/>
        <w:spacing w:after="120" w:line="240" w:lineRule="auto"/>
        <w:ind w:left="0"/>
        <w:contextualSpacing w:val="0"/>
        <w:jc w:val="both"/>
        <w:rPr>
          <w:rFonts w:cs="Verdana"/>
          <w:bCs/>
          <w:sz w:val="24"/>
          <w:szCs w:val="24"/>
          <w:lang w:val="pl-PL"/>
        </w:rPr>
      </w:pPr>
    </w:p>
    <w:p w:rsidR="00AB1DE2" w:rsidRPr="00ED0C6A" w:rsidRDefault="00AB1DE2" w:rsidP="009333A7">
      <w:pPr>
        <w:pStyle w:val="Nagwek2"/>
        <w:spacing w:before="480"/>
        <w:rPr>
          <w:rFonts w:asciiTheme="minorHAnsi" w:hAnsiTheme="minorHAnsi"/>
          <w:color w:val="auto"/>
          <w:sz w:val="24"/>
          <w:szCs w:val="24"/>
        </w:rPr>
      </w:pPr>
      <w:bookmarkStart w:id="2" w:name="To"/>
      <w:bookmarkStart w:id="3" w:name="_Toc524696722"/>
      <w:bookmarkEnd w:id="2"/>
      <w:proofErr w:type="spellStart"/>
      <w:r w:rsidRPr="00ED0C6A">
        <w:rPr>
          <w:rFonts w:asciiTheme="minorHAnsi" w:hAnsiTheme="minorHAnsi"/>
          <w:color w:val="auto"/>
          <w:sz w:val="24"/>
          <w:szCs w:val="24"/>
        </w:rPr>
        <w:t>Adyan</w:t>
      </w:r>
      <w:proofErr w:type="spellEnd"/>
      <w:r w:rsidRPr="00ED0C6A">
        <w:rPr>
          <w:rFonts w:asciiTheme="minorHAnsi" w:hAnsiTheme="minorHAnsi"/>
          <w:color w:val="auto"/>
          <w:sz w:val="24"/>
          <w:szCs w:val="24"/>
        </w:rPr>
        <w:t xml:space="preserve"> i Inni p. Armenii</w:t>
      </w:r>
      <w:r w:rsidR="00094458" w:rsidRPr="00ED0C6A">
        <w:rPr>
          <w:rFonts w:asciiTheme="minorHAnsi" w:hAnsiTheme="minorHAnsi"/>
          <w:color w:val="auto"/>
          <w:sz w:val="24"/>
          <w:szCs w:val="24"/>
        </w:rPr>
        <w:t>,</w:t>
      </w:r>
      <w:r w:rsidRPr="00ED0C6A">
        <w:rPr>
          <w:rFonts w:asciiTheme="minorHAnsi" w:hAnsiTheme="minorHAnsi"/>
          <w:color w:val="auto"/>
          <w:sz w:val="24"/>
          <w:szCs w:val="24"/>
        </w:rPr>
        <w:t xml:space="preserve"> skarga nr 75604/11</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094458" w:rsidRPr="00ED0C6A">
        <w:rPr>
          <w:rFonts w:asciiTheme="minorHAnsi" w:hAnsiTheme="minorHAnsi"/>
          <w:color w:val="auto"/>
          <w:sz w:val="24"/>
          <w:szCs w:val="24"/>
        </w:rPr>
        <w:t xml:space="preserve">Izby </w:t>
      </w:r>
      <w:r w:rsidRPr="00ED0C6A">
        <w:rPr>
          <w:rFonts w:asciiTheme="minorHAnsi" w:hAnsiTheme="minorHAnsi"/>
          <w:color w:val="auto"/>
          <w:sz w:val="24"/>
          <w:szCs w:val="24"/>
        </w:rPr>
        <w:t>z 12</w:t>
      </w:r>
      <w:r w:rsidR="00B4260D" w:rsidRPr="00ED0C6A">
        <w:rPr>
          <w:rFonts w:asciiTheme="minorHAnsi" w:hAnsiTheme="minorHAnsi"/>
          <w:color w:val="auto"/>
          <w:sz w:val="24"/>
          <w:szCs w:val="24"/>
        </w:rPr>
        <w:t xml:space="preserve"> października </w:t>
      </w:r>
      <w:r w:rsidRPr="00ED0C6A">
        <w:rPr>
          <w:rFonts w:asciiTheme="minorHAnsi" w:hAnsiTheme="minorHAnsi"/>
          <w:color w:val="auto"/>
          <w:sz w:val="24"/>
          <w:szCs w:val="24"/>
        </w:rPr>
        <w:t>2017 r.</w:t>
      </w:r>
      <w:r w:rsidR="00DB5295" w:rsidRPr="00ED0C6A">
        <w:rPr>
          <w:rFonts w:asciiTheme="minorHAnsi" w:hAnsiTheme="minorHAnsi"/>
          <w:color w:val="auto"/>
          <w:sz w:val="24"/>
          <w:szCs w:val="24"/>
        </w:rPr>
        <w:t>, ostateczny</w:t>
      </w:r>
      <w:bookmarkEnd w:id="3"/>
      <w:r w:rsidRPr="00ED0C6A">
        <w:rPr>
          <w:rFonts w:asciiTheme="minorHAnsi" w:hAnsiTheme="minorHAnsi"/>
          <w:color w:val="auto"/>
          <w:sz w:val="24"/>
          <w:szCs w:val="24"/>
        </w:rPr>
        <w:t xml:space="preserve"> </w:t>
      </w:r>
    </w:p>
    <w:p w:rsidR="00AB1DE2" w:rsidRPr="00ED0C6A" w:rsidRDefault="00AB1DE2"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252865" w:rsidRPr="00ED0C6A">
        <w:rPr>
          <w:b/>
          <w:color w:val="000000" w:themeColor="text1"/>
          <w:sz w:val="24"/>
          <w:szCs w:val="24"/>
          <w:lang w:val="pl-PL"/>
        </w:rPr>
        <w:t xml:space="preserve"> art. 9 Konwencji (wolność myśli, sumienia i wyznania) w odniesieniu do</w:t>
      </w:r>
      <w:r w:rsidR="00E57D35">
        <w:rPr>
          <w:b/>
          <w:color w:val="000000" w:themeColor="text1"/>
          <w:sz w:val="24"/>
          <w:szCs w:val="24"/>
          <w:lang w:val="pl-PL"/>
        </w:rPr>
        <w:t> </w:t>
      </w:r>
      <w:r w:rsidR="00252865" w:rsidRPr="00ED0C6A">
        <w:rPr>
          <w:b/>
          <w:color w:val="000000" w:themeColor="text1"/>
          <w:sz w:val="24"/>
          <w:szCs w:val="24"/>
          <w:lang w:val="pl-PL"/>
        </w:rPr>
        <w:t>skazani</w:t>
      </w:r>
      <w:r w:rsidR="005F20C8" w:rsidRPr="00ED0C6A">
        <w:rPr>
          <w:b/>
          <w:color w:val="000000" w:themeColor="text1"/>
          <w:sz w:val="24"/>
          <w:szCs w:val="24"/>
          <w:lang w:val="pl-PL"/>
        </w:rPr>
        <w:t>a</w:t>
      </w:r>
      <w:r w:rsidR="00252865" w:rsidRPr="00ED0C6A">
        <w:rPr>
          <w:b/>
          <w:color w:val="000000" w:themeColor="text1"/>
          <w:sz w:val="24"/>
          <w:szCs w:val="24"/>
          <w:lang w:val="pl-PL"/>
        </w:rPr>
        <w:t xml:space="preserve"> </w:t>
      </w:r>
      <w:r w:rsidR="005F20C8" w:rsidRPr="00ED0C6A">
        <w:rPr>
          <w:b/>
          <w:color w:val="000000" w:themeColor="text1"/>
          <w:sz w:val="24"/>
          <w:szCs w:val="24"/>
          <w:lang w:val="pl-PL"/>
        </w:rPr>
        <w:t xml:space="preserve">za odmowę służby wojskowej lub służby zastępczej </w:t>
      </w:r>
      <w:r w:rsidR="00252865" w:rsidRPr="00ED0C6A">
        <w:rPr>
          <w:b/>
          <w:color w:val="000000" w:themeColor="text1"/>
          <w:sz w:val="24"/>
          <w:szCs w:val="24"/>
          <w:lang w:val="pl-PL"/>
        </w:rPr>
        <w:t>osób powołujących się</w:t>
      </w:r>
      <w:r w:rsidR="00E57D35">
        <w:rPr>
          <w:b/>
          <w:color w:val="000000" w:themeColor="text1"/>
          <w:sz w:val="24"/>
          <w:szCs w:val="24"/>
          <w:lang w:val="pl-PL"/>
        </w:rPr>
        <w:t> </w:t>
      </w:r>
      <w:r w:rsidR="00252865" w:rsidRPr="00ED0C6A">
        <w:rPr>
          <w:b/>
          <w:color w:val="000000" w:themeColor="text1"/>
          <w:sz w:val="24"/>
          <w:szCs w:val="24"/>
          <w:lang w:val="pl-PL"/>
        </w:rPr>
        <w:t xml:space="preserve">na przekonania </w:t>
      </w: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Czterej skarżący są Świadkami Jehowy oraz osobami, które odmówiły służby wojskowej ze</w:t>
      </w:r>
      <w:r w:rsidR="00827554">
        <w:rPr>
          <w:rFonts w:asciiTheme="minorHAnsi" w:hAnsiTheme="minorHAnsi"/>
          <w:sz w:val="24"/>
          <w:lang w:val="pl-PL"/>
        </w:rPr>
        <w:t> </w:t>
      </w:r>
      <w:r w:rsidRPr="00ED0C6A">
        <w:rPr>
          <w:rFonts w:asciiTheme="minorHAnsi" w:hAnsiTheme="minorHAnsi"/>
          <w:sz w:val="24"/>
          <w:lang w:val="pl-PL"/>
        </w:rPr>
        <w:t>w</w:t>
      </w:r>
      <w:r w:rsidRPr="00ED0C6A">
        <w:rPr>
          <w:rStyle w:val="ClinConclusions"/>
          <w:rFonts w:asciiTheme="minorHAnsi" w:hAnsiTheme="minorHAnsi"/>
          <w:sz w:val="24"/>
          <w:lang w:val="pl-PL"/>
        </w:rPr>
        <w:t>z</w:t>
      </w:r>
      <w:r w:rsidRPr="00ED0C6A">
        <w:rPr>
          <w:rStyle w:val="ClinConclusions"/>
          <w:rFonts w:asciiTheme="minorHAnsi" w:hAnsiTheme="minorHAnsi"/>
          <w:i w:val="0"/>
          <w:sz w:val="24"/>
          <w:lang w:val="pl-PL"/>
        </w:rPr>
        <w:t>ględu na przekonania</w:t>
      </w:r>
      <w:r w:rsidRPr="00ED0C6A">
        <w:rPr>
          <w:rFonts w:asciiTheme="minorHAnsi" w:hAnsiTheme="minorHAnsi"/>
          <w:i/>
          <w:sz w:val="24"/>
          <w:lang w:val="pl-PL"/>
        </w:rPr>
        <w:t>.</w:t>
      </w:r>
      <w:r w:rsidRPr="00ED0C6A">
        <w:rPr>
          <w:rFonts w:asciiTheme="minorHAnsi" w:hAnsiTheme="minorHAnsi"/>
          <w:sz w:val="24"/>
          <w:lang w:val="pl-PL"/>
        </w:rPr>
        <w:t xml:space="preserve"> W lipcu 2011 r. zostali skazani za unikanie poboru do wojska i</w:t>
      </w:r>
      <w:r w:rsidR="00827554">
        <w:rPr>
          <w:rFonts w:asciiTheme="minorHAnsi" w:hAnsiTheme="minorHAnsi"/>
          <w:sz w:val="24"/>
          <w:lang w:val="pl-PL"/>
        </w:rPr>
        <w:t> </w:t>
      </w:r>
      <w:r w:rsidRPr="00ED0C6A">
        <w:rPr>
          <w:rFonts w:asciiTheme="minorHAnsi" w:hAnsiTheme="minorHAnsi"/>
          <w:sz w:val="24"/>
          <w:lang w:val="pl-PL"/>
        </w:rPr>
        <w:t>do</w:t>
      </w:r>
      <w:r w:rsidR="00827554">
        <w:rPr>
          <w:rFonts w:asciiTheme="minorHAnsi" w:hAnsiTheme="minorHAnsi"/>
          <w:sz w:val="24"/>
          <w:lang w:val="pl-PL"/>
        </w:rPr>
        <w:t> </w:t>
      </w:r>
      <w:r w:rsidRPr="00ED0C6A">
        <w:rPr>
          <w:rFonts w:asciiTheme="minorHAnsi" w:hAnsiTheme="minorHAnsi"/>
          <w:sz w:val="24"/>
          <w:lang w:val="pl-PL"/>
        </w:rPr>
        <w:t>służby zastępczej i wymierzono im kary dwóch i pół roku pozbawienia wolności. Na</w:t>
      </w:r>
      <w:r w:rsidR="00827554">
        <w:rPr>
          <w:rFonts w:asciiTheme="minorHAnsi" w:hAnsiTheme="minorHAnsi"/>
          <w:sz w:val="24"/>
          <w:lang w:val="pl-PL"/>
        </w:rPr>
        <w:t> </w:t>
      </w:r>
      <w:r w:rsidRPr="00ED0C6A">
        <w:rPr>
          <w:rFonts w:asciiTheme="minorHAnsi" w:hAnsiTheme="minorHAnsi"/>
          <w:sz w:val="24"/>
          <w:lang w:val="pl-PL"/>
        </w:rPr>
        <w:t>swą</w:t>
      </w:r>
      <w:r w:rsidR="00827554">
        <w:rPr>
          <w:rFonts w:asciiTheme="minorHAnsi" w:hAnsiTheme="minorHAnsi"/>
          <w:sz w:val="24"/>
          <w:lang w:val="pl-PL"/>
        </w:rPr>
        <w:t> </w:t>
      </w:r>
      <w:r w:rsidRPr="00ED0C6A">
        <w:rPr>
          <w:rFonts w:asciiTheme="minorHAnsi" w:hAnsiTheme="minorHAnsi"/>
          <w:sz w:val="24"/>
          <w:lang w:val="pl-PL"/>
        </w:rPr>
        <w:t>obronę powoływali się na fakt, że służba zastępcza przewidziana prawem krajowym nie miała prawdziwie cywilnego charakteru, jako że była nadzorowana przez władze wojskowe i w swej istocie miała charakter represyjny, trwała bowiem 42 miesiące, podczas</w:t>
      </w:r>
      <w:r w:rsidR="00E57D35">
        <w:rPr>
          <w:rFonts w:asciiTheme="minorHAnsi" w:hAnsiTheme="minorHAnsi"/>
          <w:sz w:val="24"/>
          <w:lang w:val="pl-PL"/>
        </w:rPr>
        <w:t> </w:t>
      </w:r>
      <w:r w:rsidRPr="00ED0C6A">
        <w:rPr>
          <w:rFonts w:asciiTheme="minorHAnsi" w:hAnsiTheme="minorHAnsi"/>
          <w:sz w:val="24"/>
          <w:lang w:val="pl-PL"/>
        </w:rPr>
        <w:t xml:space="preserve">gdy służba wojskowa – 24 miesiące. </w:t>
      </w:r>
    </w:p>
    <w:p w:rsidR="004C32BF" w:rsidRPr="00ED0C6A" w:rsidRDefault="004C32BF" w:rsidP="00F11942">
      <w:pPr>
        <w:pStyle w:val="ClinContent"/>
        <w:spacing w:before="0"/>
        <w:rPr>
          <w:rFonts w:asciiTheme="minorHAnsi" w:hAnsiTheme="minorHAnsi"/>
          <w:sz w:val="24"/>
          <w:lang w:val="pl-PL"/>
        </w:rPr>
      </w:pPr>
    </w:p>
    <w:p w:rsidR="00AB1DE2" w:rsidRPr="00ED0C6A" w:rsidRDefault="00A7680C"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Przed Trybunałem </w:t>
      </w:r>
      <w:r w:rsidR="00AB1DE2" w:rsidRPr="00ED0C6A">
        <w:rPr>
          <w:rFonts w:asciiTheme="minorHAnsi" w:hAnsiTheme="minorHAnsi"/>
          <w:sz w:val="24"/>
          <w:lang w:val="pl-PL"/>
        </w:rPr>
        <w:t xml:space="preserve">skarżący zarzucali naruszenie ich praw gwarantowanych przez art. 9 </w:t>
      </w:r>
      <w:r w:rsidR="00D32B3C" w:rsidRPr="00ED0C6A">
        <w:rPr>
          <w:rFonts w:asciiTheme="minorHAnsi" w:hAnsiTheme="minorHAnsi"/>
          <w:sz w:val="24"/>
          <w:lang w:val="pl-PL"/>
        </w:rPr>
        <w:t xml:space="preserve">Konwencji </w:t>
      </w:r>
      <w:r w:rsidR="00AB1DE2" w:rsidRPr="00ED0C6A">
        <w:rPr>
          <w:rFonts w:asciiTheme="minorHAnsi" w:hAnsiTheme="minorHAnsi"/>
          <w:sz w:val="24"/>
          <w:lang w:val="pl-PL"/>
        </w:rPr>
        <w:t xml:space="preserve">(wolność myśli, sumienia i wyznania). </w:t>
      </w:r>
    </w:p>
    <w:p w:rsidR="004C32BF" w:rsidRPr="00ED0C6A" w:rsidRDefault="004C32BF" w:rsidP="00F11942">
      <w:pPr>
        <w:pStyle w:val="ClinContent"/>
        <w:spacing w:before="0"/>
        <w:rPr>
          <w:rFonts w:asciiTheme="minorHAnsi" w:hAnsiTheme="minorHAnsi"/>
          <w:sz w:val="24"/>
          <w:lang w:val="pl-PL"/>
        </w:rPr>
      </w:pPr>
    </w:p>
    <w:p w:rsidR="00AB1DE2" w:rsidRPr="00ED0C6A" w:rsidRDefault="00A7680C" w:rsidP="00F11942">
      <w:pPr>
        <w:pStyle w:val="ClinContent"/>
        <w:spacing w:before="0"/>
        <w:rPr>
          <w:rFonts w:asciiTheme="minorHAnsi" w:hAnsiTheme="minorHAnsi"/>
          <w:sz w:val="24"/>
          <w:lang w:val="pl-PL"/>
        </w:rPr>
      </w:pPr>
      <w:r w:rsidRPr="00ED0C6A">
        <w:rPr>
          <w:rFonts w:asciiTheme="minorHAnsi" w:hAnsiTheme="minorHAnsi"/>
          <w:sz w:val="24"/>
          <w:lang w:val="pl-PL"/>
        </w:rPr>
        <w:t>Trybunał uznał, że o</w:t>
      </w:r>
      <w:r w:rsidR="00AB1DE2" w:rsidRPr="00ED0C6A">
        <w:rPr>
          <w:rFonts w:asciiTheme="minorHAnsi" w:hAnsiTheme="minorHAnsi"/>
          <w:sz w:val="24"/>
          <w:lang w:val="pl-PL"/>
        </w:rPr>
        <w:t xml:space="preserve">dmowa skarżących </w:t>
      </w:r>
      <w:proofErr w:type="spellStart"/>
      <w:r w:rsidRPr="00ED0C6A">
        <w:rPr>
          <w:rFonts w:asciiTheme="minorHAnsi" w:hAnsiTheme="minorHAnsi"/>
          <w:sz w:val="24"/>
          <w:lang w:val="pl-PL"/>
        </w:rPr>
        <w:t>ws</w:t>
      </w:r>
      <w:proofErr w:type="spellEnd"/>
      <w:r w:rsidRPr="00ED0C6A">
        <w:rPr>
          <w:rFonts w:asciiTheme="minorHAnsi" w:hAnsiTheme="minorHAnsi"/>
          <w:sz w:val="24"/>
          <w:lang w:val="pl-PL"/>
        </w:rPr>
        <w:t xml:space="preserve">. </w:t>
      </w:r>
      <w:r w:rsidR="00AB1DE2" w:rsidRPr="00ED0C6A">
        <w:rPr>
          <w:rFonts w:asciiTheme="minorHAnsi" w:hAnsiTheme="minorHAnsi"/>
          <w:sz w:val="24"/>
          <w:lang w:val="pl-PL"/>
        </w:rPr>
        <w:t xml:space="preserve">powołania do wojska i służby zastępczej stanowiła uzewnętrznienie ich przekonań religijnych, a ich skazanie za unikanie poboru stanowiło zatem ingerencję w ich wolność uzewnętrzniania wyznania. </w:t>
      </w:r>
    </w:p>
    <w:p w:rsidR="004C32BF" w:rsidRPr="00ED0C6A" w:rsidRDefault="004C32BF" w:rsidP="00F11942">
      <w:pPr>
        <w:pStyle w:val="ClinContent"/>
        <w:spacing w:before="0"/>
        <w:rPr>
          <w:rFonts w:asciiTheme="minorHAnsi" w:hAnsiTheme="minorHAnsi"/>
          <w:sz w:val="24"/>
          <w:lang w:val="pl-PL"/>
        </w:rPr>
      </w:pPr>
    </w:p>
    <w:p w:rsidR="00A7680C" w:rsidRPr="00ED0C6A" w:rsidRDefault="00A7680C" w:rsidP="00F11942">
      <w:pPr>
        <w:pStyle w:val="ClinContent"/>
        <w:spacing w:before="0"/>
        <w:rPr>
          <w:rFonts w:asciiTheme="minorHAnsi" w:hAnsiTheme="minorHAnsi"/>
          <w:sz w:val="24"/>
          <w:lang w:val="pl-PL"/>
        </w:rPr>
      </w:pPr>
      <w:r w:rsidRPr="00ED0C6A">
        <w:rPr>
          <w:rFonts w:asciiTheme="minorHAnsi" w:hAnsiTheme="minorHAnsi"/>
          <w:sz w:val="24"/>
          <w:lang w:val="pl-PL"/>
        </w:rPr>
        <w:t>Trybunał odnotował również, że o</w:t>
      </w:r>
      <w:r w:rsidR="00AB1DE2" w:rsidRPr="00ED0C6A">
        <w:rPr>
          <w:rFonts w:asciiTheme="minorHAnsi" w:hAnsiTheme="minorHAnsi"/>
          <w:sz w:val="24"/>
          <w:lang w:val="pl-PL"/>
        </w:rPr>
        <w:t xml:space="preserve">dmiennie niż w sprawie </w:t>
      </w:r>
      <w:proofErr w:type="spellStart"/>
      <w:r w:rsidR="00AB1DE2" w:rsidRPr="00ED0C6A">
        <w:rPr>
          <w:rFonts w:asciiTheme="minorHAnsi" w:hAnsiTheme="minorHAnsi"/>
          <w:i/>
          <w:sz w:val="24"/>
          <w:lang w:val="pl-PL"/>
        </w:rPr>
        <w:t>Bayatyan</w:t>
      </w:r>
      <w:proofErr w:type="spellEnd"/>
      <w:r w:rsidR="00AB1DE2" w:rsidRPr="00ED0C6A">
        <w:rPr>
          <w:rFonts w:asciiTheme="minorHAnsi" w:hAnsiTheme="minorHAnsi"/>
          <w:i/>
          <w:sz w:val="24"/>
          <w:lang w:val="pl-PL"/>
        </w:rPr>
        <w:t xml:space="preserve">, </w:t>
      </w:r>
      <w:r w:rsidR="00AB1DE2" w:rsidRPr="00ED0C6A">
        <w:rPr>
          <w:rFonts w:asciiTheme="minorHAnsi" w:hAnsiTheme="minorHAnsi"/>
          <w:sz w:val="24"/>
          <w:lang w:val="pl-PL"/>
        </w:rPr>
        <w:t xml:space="preserve">skarżący w obecnej sprawie mieli możliwość odmowy obowiązkowej służby wojskowej ze względów sumienia i wykonywania zamiast niej „zastępczej służby pracy”, zgodnie z art. 2 i 3 ustawy o służbie zastępczej, ponieważ służba taka została wprowadzona w Armenii od 2004 r. i była realizowana poza siłami zbrojnymi Armenii. Jednakże sama ta okoliczność nie </w:t>
      </w:r>
      <w:r w:rsidRPr="00ED0C6A">
        <w:rPr>
          <w:rFonts w:asciiTheme="minorHAnsi" w:hAnsiTheme="minorHAnsi"/>
          <w:sz w:val="24"/>
          <w:lang w:val="pl-PL"/>
        </w:rPr>
        <w:t xml:space="preserve">była w opinii Trybunału </w:t>
      </w:r>
      <w:r w:rsidR="00AB1DE2" w:rsidRPr="00ED0C6A">
        <w:rPr>
          <w:rFonts w:asciiTheme="minorHAnsi" w:hAnsiTheme="minorHAnsi"/>
          <w:sz w:val="24"/>
          <w:lang w:val="pl-PL"/>
        </w:rPr>
        <w:t xml:space="preserve">wystarczająca do uznania, że władze wypełniły swe obowiązki na podstawie art. 9 </w:t>
      </w:r>
      <w:r w:rsidR="00AB1DE2" w:rsidRPr="00ED0C6A">
        <w:rPr>
          <w:rFonts w:asciiTheme="minorHAnsi" w:hAnsiTheme="minorHAnsi"/>
          <w:sz w:val="24"/>
          <w:lang w:val="pl-PL"/>
        </w:rPr>
        <w:lastRenderedPageBreak/>
        <w:t>Konwencji. Trybunał musi</w:t>
      </w:r>
      <w:r w:rsidRPr="00ED0C6A">
        <w:rPr>
          <w:rFonts w:asciiTheme="minorHAnsi" w:hAnsiTheme="minorHAnsi"/>
          <w:sz w:val="24"/>
          <w:lang w:val="pl-PL"/>
        </w:rPr>
        <w:t>ał</w:t>
      </w:r>
      <w:r w:rsidR="00AB1DE2" w:rsidRPr="00ED0C6A">
        <w:rPr>
          <w:rFonts w:asciiTheme="minorHAnsi" w:hAnsiTheme="minorHAnsi"/>
          <w:sz w:val="24"/>
          <w:lang w:val="pl-PL"/>
        </w:rPr>
        <w:t xml:space="preserve"> również zweryfikować, czy odpowiednio uwzględniono wymogi odnoszące się do sumienia i przekonań jednostki. </w:t>
      </w:r>
      <w:r w:rsidRPr="00ED0C6A">
        <w:rPr>
          <w:rFonts w:asciiTheme="minorHAnsi" w:hAnsiTheme="minorHAnsi"/>
          <w:sz w:val="24"/>
          <w:lang w:val="pl-PL"/>
        </w:rPr>
        <w:t>Podkreślił, że c</w:t>
      </w:r>
      <w:r w:rsidR="00AB1DE2" w:rsidRPr="00ED0C6A">
        <w:rPr>
          <w:rFonts w:asciiTheme="minorHAnsi" w:hAnsiTheme="minorHAnsi"/>
          <w:sz w:val="24"/>
          <w:lang w:val="pl-PL"/>
        </w:rPr>
        <w:t xml:space="preserve">hociaż Państwom przysługuje pewien margines oceny w odniesieniu do sposobu zorganizowania i wdrażania systemów służby zastępczej, prawo do sprzeciwu sumienia gwarantowane przez art. 9 byłoby iluzoryczne, jeśliby </w:t>
      </w:r>
      <w:r w:rsidR="00721A8D" w:rsidRPr="00ED0C6A">
        <w:rPr>
          <w:rFonts w:asciiTheme="minorHAnsi" w:hAnsiTheme="minorHAnsi"/>
          <w:sz w:val="24"/>
          <w:lang w:val="pl-PL"/>
        </w:rPr>
        <w:t xml:space="preserve">Państwu </w:t>
      </w:r>
      <w:r w:rsidR="00AB1DE2" w:rsidRPr="00ED0C6A">
        <w:rPr>
          <w:rFonts w:asciiTheme="minorHAnsi" w:hAnsiTheme="minorHAnsi"/>
          <w:sz w:val="24"/>
          <w:lang w:val="pl-PL"/>
        </w:rPr>
        <w:t xml:space="preserve">zezwolić na </w:t>
      </w:r>
      <w:r w:rsidRPr="00ED0C6A">
        <w:rPr>
          <w:rFonts w:asciiTheme="minorHAnsi" w:hAnsiTheme="minorHAnsi"/>
          <w:sz w:val="24"/>
          <w:lang w:val="pl-PL"/>
        </w:rPr>
        <w:t xml:space="preserve">takie </w:t>
      </w:r>
      <w:r w:rsidR="00AB1DE2" w:rsidRPr="00ED0C6A">
        <w:rPr>
          <w:rFonts w:asciiTheme="minorHAnsi" w:hAnsiTheme="minorHAnsi"/>
          <w:sz w:val="24"/>
          <w:lang w:val="pl-PL"/>
        </w:rPr>
        <w:t xml:space="preserve">zorganizowanie i wdrażanie swojego systemu służby zastępczej, że nie oferowałby on – czy to na gruncie prawa, czy praktyki – </w:t>
      </w:r>
      <w:r w:rsidRPr="00ED0C6A">
        <w:rPr>
          <w:rFonts w:asciiTheme="minorHAnsi" w:hAnsiTheme="minorHAnsi"/>
          <w:sz w:val="24"/>
          <w:lang w:val="pl-PL"/>
        </w:rPr>
        <w:t xml:space="preserve">rzeczywistej </w:t>
      </w:r>
      <w:r w:rsidR="00AB1DE2" w:rsidRPr="00ED0C6A">
        <w:rPr>
          <w:rFonts w:asciiTheme="minorHAnsi" w:hAnsiTheme="minorHAnsi"/>
          <w:sz w:val="24"/>
          <w:lang w:val="pl-PL"/>
        </w:rPr>
        <w:t xml:space="preserve">alternatywy wobec służby wojskowej mającej prawdziwie cywilny charakter i pozbawionej charakteru odstraszającego lub represyjnego. </w:t>
      </w:r>
    </w:p>
    <w:p w:rsidR="004C32BF" w:rsidRPr="00ED0C6A" w:rsidRDefault="004C32BF" w:rsidP="00F11942">
      <w:pPr>
        <w:pStyle w:val="ClinContent"/>
        <w:spacing w:before="0"/>
        <w:rPr>
          <w:rFonts w:asciiTheme="minorHAnsi" w:hAnsiTheme="minorHAnsi"/>
          <w:sz w:val="24"/>
          <w:lang w:val="pl-PL"/>
        </w:rPr>
      </w:pPr>
    </w:p>
    <w:p w:rsidR="00D32B3C" w:rsidRPr="00ED0C6A" w:rsidRDefault="00A7680C"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zbadał następujące aspekty służby </w:t>
      </w:r>
      <w:r w:rsidR="00D32B3C" w:rsidRPr="00ED0C6A">
        <w:rPr>
          <w:rFonts w:asciiTheme="minorHAnsi" w:hAnsiTheme="minorHAnsi"/>
          <w:sz w:val="24"/>
          <w:lang w:val="pl-PL"/>
        </w:rPr>
        <w:t xml:space="preserve">zastępczej </w:t>
      </w:r>
      <w:r w:rsidRPr="00ED0C6A">
        <w:rPr>
          <w:rFonts w:asciiTheme="minorHAnsi" w:hAnsiTheme="minorHAnsi"/>
          <w:sz w:val="24"/>
          <w:lang w:val="pl-PL"/>
        </w:rPr>
        <w:t>oferowanej skarżącym:</w:t>
      </w:r>
    </w:p>
    <w:p w:rsidR="00D32B3C" w:rsidRPr="00ED0C6A" w:rsidRDefault="00D32B3C" w:rsidP="00F11942">
      <w:pPr>
        <w:pStyle w:val="ClinContent"/>
        <w:spacing w:before="0"/>
        <w:rPr>
          <w:rFonts w:asciiTheme="minorHAnsi" w:hAnsiTheme="minorHAnsi"/>
          <w:sz w:val="24"/>
          <w:lang w:val="pl-PL"/>
        </w:rPr>
      </w:pPr>
    </w:p>
    <w:p w:rsidR="00D32B3C"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(a) </w:t>
      </w:r>
      <w:r w:rsidRPr="00ED0C6A">
        <w:rPr>
          <w:rFonts w:asciiTheme="minorHAnsi" w:hAnsiTheme="minorHAnsi"/>
          <w:i/>
          <w:sz w:val="24"/>
          <w:u w:val="single"/>
          <w:lang w:val="pl-PL"/>
        </w:rPr>
        <w:t xml:space="preserve">Czy służba </w:t>
      </w:r>
      <w:r w:rsidR="00D32B3C" w:rsidRPr="00ED0C6A">
        <w:rPr>
          <w:rFonts w:asciiTheme="minorHAnsi" w:hAnsiTheme="minorHAnsi"/>
          <w:i/>
          <w:sz w:val="24"/>
          <w:u w:val="single"/>
          <w:lang w:val="pl-PL"/>
        </w:rPr>
        <w:t xml:space="preserve">zastępcza </w:t>
      </w:r>
      <w:r w:rsidRPr="00ED0C6A">
        <w:rPr>
          <w:rFonts w:asciiTheme="minorHAnsi" w:hAnsiTheme="minorHAnsi"/>
          <w:i/>
          <w:sz w:val="24"/>
          <w:u w:val="single"/>
          <w:lang w:val="pl-PL"/>
        </w:rPr>
        <w:t>miała prawdziwie cywilny charakter</w:t>
      </w:r>
      <w:r w:rsidRPr="00ED0C6A">
        <w:rPr>
          <w:rFonts w:asciiTheme="minorHAnsi" w:hAnsiTheme="minorHAnsi"/>
          <w:i/>
          <w:sz w:val="24"/>
          <w:lang w:val="pl-PL"/>
        </w:rPr>
        <w:t xml:space="preserve"> </w:t>
      </w:r>
      <w:r w:rsidRPr="00ED0C6A">
        <w:rPr>
          <w:rFonts w:asciiTheme="minorHAnsi" w:hAnsiTheme="minorHAnsi"/>
          <w:sz w:val="24"/>
          <w:lang w:val="pl-PL"/>
        </w:rPr>
        <w:t>– Trybunał uznał, że zastępcza służba pracy, dostępna dla skarżących w przedmiotowym czasie, nie miała charakteru prawdziwie cywilnego. Chociaż nie kwestionowano, że miała ona charakter cywilny (osoby</w:t>
      </w:r>
      <w:r w:rsidR="00E57D35">
        <w:rPr>
          <w:rFonts w:asciiTheme="minorHAnsi" w:hAnsiTheme="minorHAnsi"/>
          <w:sz w:val="24"/>
          <w:lang w:val="pl-PL"/>
        </w:rPr>
        <w:t> </w:t>
      </w:r>
      <w:r w:rsidRPr="00ED0C6A">
        <w:rPr>
          <w:rFonts w:asciiTheme="minorHAnsi" w:hAnsiTheme="minorHAnsi"/>
          <w:sz w:val="24"/>
          <w:lang w:val="pl-PL"/>
        </w:rPr>
        <w:t xml:space="preserve">wykonujące służbę były przydzielane jako pomocnicy do różnych instytucji cywilnych, takich jak sierocińce czy domy spokojnej starości), przy rozstrzyganiu, czy służba zastępcza miała prawdziwie cywilny charakter, należy wziąć pod uwagę </w:t>
      </w:r>
      <w:r w:rsidR="00D32B3C" w:rsidRPr="00ED0C6A">
        <w:rPr>
          <w:rFonts w:asciiTheme="minorHAnsi" w:hAnsiTheme="minorHAnsi"/>
          <w:sz w:val="24"/>
          <w:lang w:val="pl-PL"/>
        </w:rPr>
        <w:t xml:space="preserve">również </w:t>
      </w:r>
      <w:r w:rsidRPr="00ED0C6A">
        <w:rPr>
          <w:rFonts w:asciiTheme="minorHAnsi" w:hAnsiTheme="minorHAnsi"/>
          <w:sz w:val="24"/>
          <w:lang w:val="pl-PL"/>
        </w:rPr>
        <w:t>inne czynniki – takie</w:t>
      </w:r>
      <w:r w:rsidR="00E57D35">
        <w:rPr>
          <w:rFonts w:asciiTheme="minorHAnsi" w:hAnsiTheme="minorHAnsi"/>
          <w:sz w:val="24"/>
          <w:lang w:val="pl-PL"/>
        </w:rPr>
        <w:t> </w:t>
      </w:r>
      <w:r w:rsidRPr="00ED0C6A">
        <w:rPr>
          <w:rFonts w:asciiTheme="minorHAnsi" w:hAnsiTheme="minorHAnsi"/>
          <w:sz w:val="24"/>
          <w:lang w:val="pl-PL"/>
        </w:rPr>
        <w:t xml:space="preserve">jak władza, kontrola, mające zastosowanie reguły oraz kwestia postrzegania. </w:t>
      </w:r>
    </w:p>
    <w:p w:rsidR="00D32B3C" w:rsidRPr="00ED0C6A" w:rsidRDefault="00D32B3C"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W sprawie skarżących Trybunał zauważył, że władze wojskowe były aktywnie włączone do</w:t>
      </w:r>
      <w:r w:rsidR="00E57D35">
        <w:rPr>
          <w:rFonts w:asciiTheme="minorHAnsi" w:hAnsiTheme="minorHAnsi"/>
          <w:sz w:val="24"/>
          <w:lang w:val="pl-PL"/>
        </w:rPr>
        <w:t> </w:t>
      </w:r>
      <w:r w:rsidRPr="00ED0C6A">
        <w:rPr>
          <w:rFonts w:asciiTheme="minorHAnsi" w:hAnsiTheme="minorHAnsi"/>
          <w:sz w:val="24"/>
          <w:lang w:val="pl-PL"/>
        </w:rPr>
        <w:t>nadzorowania ich służby oraz były uprawnione do wpływania na ich służbę poprzez nakazywanie przeniesienia ich do innej instytucji lub miejsca służby; pewne aspekty zastępczej służby pracy były zorganizowane zgodnie z regułami wojskowymi; w</w:t>
      </w:r>
      <w:r w:rsidR="00827554">
        <w:rPr>
          <w:rFonts w:asciiTheme="minorHAnsi" w:hAnsiTheme="minorHAnsi"/>
          <w:sz w:val="24"/>
          <w:lang w:val="pl-PL"/>
        </w:rPr>
        <w:t> </w:t>
      </w:r>
      <w:r w:rsidRPr="00ED0C6A">
        <w:rPr>
          <w:rFonts w:asciiTheme="minorHAnsi" w:hAnsiTheme="minorHAnsi"/>
          <w:sz w:val="24"/>
          <w:lang w:val="pl-PL"/>
        </w:rPr>
        <w:t xml:space="preserve">przedmiotowym czasie służba zastępcza nie była wystarczająco wyodrębniona hierarchicznie i instytucjonalnie z systemu wojskowego; </w:t>
      </w:r>
      <w:r w:rsidR="00D32B3C" w:rsidRPr="00ED0C6A">
        <w:rPr>
          <w:rFonts w:asciiTheme="minorHAnsi" w:hAnsiTheme="minorHAnsi"/>
          <w:sz w:val="24"/>
          <w:lang w:val="pl-PL"/>
        </w:rPr>
        <w:t xml:space="preserve">natomiast </w:t>
      </w:r>
      <w:r w:rsidRPr="00ED0C6A">
        <w:rPr>
          <w:rFonts w:asciiTheme="minorHAnsi" w:hAnsiTheme="minorHAnsi"/>
          <w:sz w:val="24"/>
          <w:lang w:val="pl-PL"/>
        </w:rPr>
        <w:t>w odniesieniu do kwestii postrzegania – osoby wykonujące służbę zastępczą były zobowiązane do noszenia munduru i</w:t>
      </w:r>
      <w:r w:rsidR="00E57D35">
        <w:rPr>
          <w:rFonts w:asciiTheme="minorHAnsi" w:hAnsiTheme="minorHAnsi"/>
          <w:sz w:val="24"/>
          <w:lang w:val="pl-PL"/>
        </w:rPr>
        <w:t> </w:t>
      </w:r>
      <w:r w:rsidRPr="00ED0C6A">
        <w:rPr>
          <w:rFonts w:asciiTheme="minorHAnsi" w:hAnsiTheme="minorHAnsi"/>
          <w:sz w:val="24"/>
          <w:lang w:val="pl-PL"/>
        </w:rPr>
        <w:t>pozostawania w miejscu swej służby.</w:t>
      </w:r>
    </w:p>
    <w:p w:rsidR="004C32BF" w:rsidRPr="00ED0C6A" w:rsidRDefault="004C32BF"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(b) </w:t>
      </w:r>
      <w:r w:rsidRPr="00ED0C6A">
        <w:rPr>
          <w:rFonts w:asciiTheme="minorHAnsi" w:hAnsiTheme="minorHAnsi"/>
          <w:i/>
          <w:sz w:val="24"/>
          <w:u w:val="single"/>
          <w:lang w:val="pl-PL"/>
        </w:rPr>
        <w:t>Czy zastępcza służba pracy mogła być postrzegana jako mająca charakter odstraszający lub represyjny?</w:t>
      </w:r>
      <w:r w:rsidRPr="00ED0C6A">
        <w:rPr>
          <w:rFonts w:asciiTheme="minorHAnsi" w:hAnsiTheme="minorHAnsi"/>
          <w:sz w:val="24"/>
          <w:lang w:val="pl-PL"/>
        </w:rPr>
        <w:t xml:space="preserve"> </w:t>
      </w:r>
      <w:r w:rsidR="00D32B3C" w:rsidRPr="00ED0C6A">
        <w:rPr>
          <w:rFonts w:asciiTheme="minorHAnsi" w:hAnsiTheme="minorHAnsi"/>
          <w:sz w:val="24"/>
          <w:lang w:val="pl-PL"/>
        </w:rPr>
        <w:t xml:space="preserve"> </w:t>
      </w:r>
      <w:r w:rsidRPr="00ED0C6A">
        <w:rPr>
          <w:rFonts w:asciiTheme="minorHAnsi" w:hAnsiTheme="minorHAnsi"/>
          <w:sz w:val="24"/>
          <w:lang w:val="pl-PL"/>
        </w:rPr>
        <w:t xml:space="preserve">– </w:t>
      </w:r>
      <w:r w:rsidR="00A7680C" w:rsidRPr="00ED0C6A">
        <w:rPr>
          <w:rFonts w:asciiTheme="minorHAnsi" w:hAnsiTheme="minorHAnsi"/>
          <w:sz w:val="24"/>
          <w:lang w:val="pl-PL"/>
        </w:rPr>
        <w:t>Trybunał zauważył, że z</w:t>
      </w:r>
      <w:r w:rsidRPr="00ED0C6A">
        <w:rPr>
          <w:rFonts w:asciiTheme="minorHAnsi" w:hAnsiTheme="minorHAnsi"/>
          <w:sz w:val="24"/>
          <w:lang w:val="pl-PL"/>
        </w:rPr>
        <w:t xml:space="preserve">astępcza służba pracy mogła trwać </w:t>
      </w:r>
      <w:r w:rsidR="005F20C8" w:rsidRPr="00ED0C6A">
        <w:rPr>
          <w:rFonts w:asciiTheme="minorHAnsi" w:hAnsiTheme="minorHAnsi"/>
          <w:sz w:val="24"/>
          <w:lang w:val="pl-PL"/>
        </w:rPr>
        <w:t xml:space="preserve">w sprawie skarżących </w:t>
      </w:r>
      <w:r w:rsidRPr="00ED0C6A">
        <w:rPr>
          <w:rFonts w:asciiTheme="minorHAnsi" w:hAnsiTheme="minorHAnsi"/>
          <w:sz w:val="24"/>
          <w:lang w:val="pl-PL"/>
        </w:rPr>
        <w:t>42 miesiące w porównaniu do 24 miesięcy służby wojskowej. Długość zastępczej służby pracy była zatem dużo dłuższa niż określony przez Europejski Komitet Praw Społecznych maksymalny okres stanowiący półtorakrotność długości służby wojskowej</w:t>
      </w:r>
      <w:r w:rsidR="007B4302" w:rsidRPr="00ED0C6A">
        <w:rPr>
          <w:rStyle w:val="Odwoanieprzypisudolnego"/>
          <w:rFonts w:asciiTheme="minorHAnsi" w:hAnsiTheme="minorHAnsi"/>
          <w:sz w:val="24"/>
          <w:lang w:val="pl-PL"/>
        </w:rPr>
        <w:footnoteReference w:id="3"/>
      </w:r>
      <w:r w:rsidRPr="00ED0C6A">
        <w:rPr>
          <w:rFonts w:asciiTheme="minorHAnsi" w:hAnsiTheme="minorHAnsi"/>
          <w:sz w:val="24"/>
          <w:lang w:val="pl-PL"/>
        </w:rPr>
        <w:t xml:space="preserve">. </w:t>
      </w:r>
      <w:r w:rsidR="00A7680C" w:rsidRPr="00ED0C6A">
        <w:rPr>
          <w:rFonts w:asciiTheme="minorHAnsi" w:hAnsiTheme="minorHAnsi"/>
          <w:sz w:val="24"/>
          <w:lang w:val="pl-PL"/>
        </w:rPr>
        <w:t>Zdaniem Trybunału, t</w:t>
      </w:r>
      <w:r w:rsidRPr="00ED0C6A">
        <w:rPr>
          <w:rFonts w:asciiTheme="minorHAnsi" w:hAnsiTheme="minorHAnsi"/>
          <w:sz w:val="24"/>
          <w:lang w:val="pl-PL"/>
        </w:rPr>
        <w:t xml:space="preserve">ak znacząca różnica w długości trwania służby musiała wywierać skutek odstraszający i można stwierdzić, że zawierała w sobie element represyjny. </w:t>
      </w:r>
    </w:p>
    <w:p w:rsidR="004C32BF" w:rsidRPr="00ED0C6A" w:rsidRDefault="004C32BF" w:rsidP="00F11942">
      <w:pPr>
        <w:pStyle w:val="ClinContent"/>
        <w:spacing w:before="0"/>
        <w:rPr>
          <w:rFonts w:asciiTheme="minorHAnsi" w:hAnsiTheme="minorHAnsi"/>
          <w:sz w:val="24"/>
          <w:lang w:val="pl-PL"/>
        </w:rPr>
      </w:pPr>
    </w:p>
    <w:p w:rsidR="00AB1DE2" w:rsidRPr="00ED0C6A" w:rsidRDefault="00A7680C" w:rsidP="00F11942">
      <w:pPr>
        <w:pStyle w:val="ClinContent"/>
        <w:spacing w:before="0"/>
        <w:rPr>
          <w:rFonts w:asciiTheme="minorHAnsi" w:hAnsiTheme="minorHAnsi"/>
          <w:sz w:val="24"/>
          <w:lang w:val="pl-PL"/>
        </w:rPr>
      </w:pPr>
      <w:r w:rsidRPr="00ED0C6A">
        <w:rPr>
          <w:rFonts w:asciiTheme="minorHAnsi" w:hAnsiTheme="minorHAnsi"/>
          <w:sz w:val="24"/>
          <w:lang w:val="pl-PL"/>
        </w:rPr>
        <w:t>Z powyższych względów Trybunał orzekł, że</w:t>
      </w:r>
      <w:r w:rsidR="00AB1DE2" w:rsidRPr="00ED0C6A">
        <w:rPr>
          <w:rFonts w:asciiTheme="minorHAnsi" w:hAnsiTheme="minorHAnsi"/>
          <w:sz w:val="24"/>
          <w:lang w:val="pl-PL"/>
        </w:rPr>
        <w:t xml:space="preserve"> w </w:t>
      </w:r>
      <w:r w:rsidRPr="00ED0C6A">
        <w:rPr>
          <w:rFonts w:asciiTheme="minorHAnsi" w:hAnsiTheme="minorHAnsi"/>
          <w:sz w:val="24"/>
          <w:lang w:val="pl-PL"/>
        </w:rPr>
        <w:t xml:space="preserve">odniesieniu do skarżących </w:t>
      </w:r>
      <w:r w:rsidR="00AB1DE2" w:rsidRPr="00ED0C6A">
        <w:rPr>
          <w:rFonts w:asciiTheme="minorHAnsi" w:hAnsiTheme="minorHAnsi"/>
          <w:sz w:val="24"/>
          <w:lang w:val="pl-PL"/>
        </w:rPr>
        <w:t>władze nie</w:t>
      </w:r>
      <w:r w:rsidR="00E57D35">
        <w:rPr>
          <w:rFonts w:asciiTheme="minorHAnsi" w:hAnsiTheme="minorHAnsi"/>
          <w:sz w:val="24"/>
          <w:lang w:val="pl-PL"/>
        </w:rPr>
        <w:t> </w:t>
      </w:r>
      <w:r w:rsidR="00AB1DE2" w:rsidRPr="00ED0C6A">
        <w:rPr>
          <w:rFonts w:asciiTheme="minorHAnsi" w:hAnsiTheme="minorHAnsi"/>
          <w:sz w:val="24"/>
          <w:lang w:val="pl-PL"/>
        </w:rPr>
        <w:t>uwzględniły odpowiednio wymogów dotyczących sumienia i przekonań skarżących i</w:t>
      </w:r>
      <w:r w:rsidR="00E57D35">
        <w:rPr>
          <w:rFonts w:asciiTheme="minorHAnsi" w:hAnsiTheme="minorHAnsi"/>
          <w:sz w:val="24"/>
          <w:lang w:val="pl-PL"/>
        </w:rPr>
        <w:t> </w:t>
      </w:r>
      <w:r w:rsidR="00AB1DE2" w:rsidRPr="00ED0C6A">
        <w:rPr>
          <w:rFonts w:asciiTheme="minorHAnsi" w:hAnsiTheme="minorHAnsi"/>
          <w:sz w:val="24"/>
          <w:lang w:val="pl-PL"/>
        </w:rPr>
        <w:t>nie</w:t>
      </w:r>
      <w:r w:rsidR="00E57D35">
        <w:rPr>
          <w:rFonts w:asciiTheme="minorHAnsi" w:hAnsiTheme="minorHAnsi"/>
          <w:sz w:val="24"/>
          <w:lang w:val="pl-PL"/>
        </w:rPr>
        <w:t> </w:t>
      </w:r>
      <w:r w:rsidR="00AB1DE2" w:rsidRPr="00ED0C6A">
        <w:rPr>
          <w:rFonts w:asciiTheme="minorHAnsi" w:hAnsiTheme="minorHAnsi"/>
          <w:sz w:val="24"/>
          <w:lang w:val="pl-PL"/>
        </w:rPr>
        <w:t xml:space="preserve">zagwarantowały </w:t>
      </w:r>
      <w:r w:rsidRPr="00ED0C6A">
        <w:rPr>
          <w:rFonts w:asciiTheme="minorHAnsi" w:hAnsiTheme="minorHAnsi"/>
          <w:sz w:val="24"/>
          <w:lang w:val="pl-PL"/>
        </w:rPr>
        <w:t xml:space="preserve">im </w:t>
      </w:r>
      <w:r w:rsidR="00AB1DE2" w:rsidRPr="00ED0C6A">
        <w:rPr>
          <w:rFonts w:asciiTheme="minorHAnsi" w:hAnsiTheme="minorHAnsi"/>
          <w:sz w:val="24"/>
          <w:lang w:val="pl-PL"/>
        </w:rPr>
        <w:t xml:space="preserve">systemu służby zastępczej, który zachowałby sprawiedliwą równowagę między interesami całego społeczeństwa a interesami skarżących. </w:t>
      </w:r>
      <w:r w:rsidRPr="00ED0C6A">
        <w:rPr>
          <w:rFonts w:asciiTheme="minorHAnsi" w:hAnsiTheme="minorHAnsi"/>
          <w:sz w:val="24"/>
          <w:lang w:val="pl-PL"/>
        </w:rPr>
        <w:t>Trybunał stwierdził zatem, jednomyślnie, naruszenie art. 9 Konwencji (wolność myśli, sumienia i</w:t>
      </w:r>
      <w:r w:rsidR="00E57D35">
        <w:rPr>
          <w:rFonts w:asciiTheme="minorHAnsi" w:hAnsiTheme="minorHAnsi"/>
          <w:sz w:val="24"/>
          <w:lang w:val="pl-PL"/>
        </w:rPr>
        <w:t> </w:t>
      </w:r>
      <w:r w:rsidRPr="00ED0C6A">
        <w:rPr>
          <w:rFonts w:asciiTheme="minorHAnsi" w:hAnsiTheme="minorHAnsi"/>
          <w:sz w:val="24"/>
          <w:lang w:val="pl-PL"/>
        </w:rPr>
        <w:t>wyznania) i zasądził</w:t>
      </w:r>
      <w:r w:rsidR="00AB1DE2" w:rsidRPr="00ED0C6A">
        <w:rPr>
          <w:rFonts w:asciiTheme="minorHAnsi" w:hAnsiTheme="minorHAnsi"/>
          <w:sz w:val="24"/>
          <w:lang w:val="pl-PL"/>
        </w:rPr>
        <w:t xml:space="preserve"> 12</w:t>
      </w:r>
      <w:r w:rsidR="00827554">
        <w:rPr>
          <w:rFonts w:asciiTheme="minorHAnsi" w:hAnsiTheme="minorHAnsi"/>
          <w:sz w:val="24"/>
          <w:lang w:val="pl-PL"/>
        </w:rPr>
        <w:t> </w:t>
      </w:r>
      <w:r w:rsidR="00AB1DE2" w:rsidRPr="00ED0C6A">
        <w:rPr>
          <w:rFonts w:asciiTheme="minorHAnsi" w:hAnsiTheme="minorHAnsi"/>
          <w:sz w:val="24"/>
          <w:lang w:val="pl-PL"/>
        </w:rPr>
        <w:t xml:space="preserve">000 EUR dla każdego skarżącego tytułem szkody niemajątkowej.  </w:t>
      </w:r>
    </w:p>
    <w:p w:rsidR="004C32BF" w:rsidRPr="00ED0C6A" w:rsidRDefault="004C32BF" w:rsidP="00CD21D4">
      <w:pPr>
        <w:autoSpaceDE w:val="0"/>
        <w:autoSpaceDN w:val="0"/>
        <w:adjustRightInd w:val="0"/>
        <w:spacing w:after="120" w:line="240" w:lineRule="auto"/>
        <w:jc w:val="both"/>
        <w:rPr>
          <w:rFonts w:cs="Verdana"/>
          <w:bCs/>
          <w:sz w:val="24"/>
          <w:szCs w:val="24"/>
          <w:u w:val="single"/>
          <w:lang w:val="pl-PL"/>
        </w:rPr>
      </w:pPr>
    </w:p>
    <w:p w:rsidR="004B42A0" w:rsidRPr="00ED0C6A" w:rsidRDefault="004C32BF" w:rsidP="00CD21D4">
      <w:pPr>
        <w:autoSpaceDE w:val="0"/>
        <w:autoSpaceDN w:val="0"/>
        <w:adjustRightInd w:val="0"/>
        <w:spacing w:after="120" w:line="240" w:lineRule="auto"/>
        <w:jc w:val="both"/>
        <w:rPr>
          <w:rFonts w:cs="Verdana"/>
          <w:bCs/>
          <w:sz w:val="24"/>
          <w:szCs w:val="24"/>
          <w:lang w:val="pl-PL"/>
        </w:rPr>
      </w:pPr>
      <w:r w:rsidRPr="00ED0C6A">
        <w:rPr>
          <w:rFonts w:cs="Verdana"/>
          <w:bCs/>
          <w:sz w:val="24"/>
          <w:szCs w:val="24"/>
          <w:u w:val="single"/>
          <w:lang w:val="pl-PL"/>
        </w:rPr>
        <w:lastRenderedPageBreak/>
        <w:t>Znaczenie wyroku dla Polski</w:t>
      </w:r>
      <w:r w:rsidRPr="00ED0C6A">
        <w:rPr>
          <w:rFonts w:cs="Verdana"/>
          <w:bCs/>
          <w:sz w:val="24"/>
          <w:szCs w:val="24"/>
          <w:lang w:val="pl-PL"/>
        </w:rPr>
        <w:t xml:space="preserve"> – wyrok stanowi rozwinięcie wcześniejszego orzecznictwa Trybunału dotyczącego sprzeciwu sumienia w sprawie służby wojskowej. We wcześniejszej sprawie </w:t>
      </w:r>
      <w:proofErr w:type="spellStart"/>
      <w:r w:rsidRPr="00ED0C6A">
        <w:rPr>
          <w:rFonts w:cs="Verdana"/>
          <w:bCs/>
          <w:i/>
          <w:sz w:val="24"/>
          <w:szCs w:val="24"/>
          <w:lang w:val="pl-PL"/>
        </w:rPr>
        <w:t>Bayatyan</w:t>
      </w:r>
      <w:proofErr w:type="spellEnd"/>
      <w:r w:rsidRPr="00ED0C6A">
        <w:rPr>
          <w:rFonts w:cs="Verdana"/>
          <w:bCs/>
          <w:i/>
          <w:sz w:val="24"/>
          <w:szCs w:val="24"/>
          <w:lang w:val="pl-PL"/>
        </w:rPr>
        <w:t xml:space="preserve"> p. Armenii</w:t>
      </w:r>
      <w:r w:rsidRPr="00ED0C6A">
        <w:rPr>
          <w:rFonts w:cs="Verdana"/>
          <w:bCs/>
          <w:sz w:val="24"/>
          <w:szCs w:val="24"/>
          <w:lang w:val="pl-PL"/>
        </w:rPr>
        <w:t xml:space="preserve"> ([Wielka Izba], skarga nr 23459/03, 7 lipca 2011 r</w:t>
      </w:r>
      <w:r w:rsidR="00D32B3C" w:rsidRPr="00ED0C6A">
        <w:rPr>
          <w:rFonts w:cs="Verdana"/>
          <w:bCs/>
          <w:sz w:val="24"/>
          <w:szCs w:val="24"/>
          <w:vertAlign w:val="superscript"/>
          <w:lang w:val="pl-PL"/>
        </w:rPr>
        <w:footnoteReference w:id="4"/>
      </w:r>
      <w:r w:rsidRPr="00ED0C6A">
        <w:rPr>
          <w:rFonts w:cs="Verdana"/>
          <w:bCs/>
          <w:sz w:val="24"/>
          <w:szCs w:val="24"/>
          <w:lang w:val="pl-PL"/>
        </w:rPr>
        <w:t>.) Trybunał uznał, że</w:t>
      </w:r>
      <w:r w:rsidR="00D32B3C" w:rsidRPr="00ED0C6A">
        <w:rPr>
          <w:rFonts w:cs="Verdana"/>
          <w:bCs/>
          <w:sz w:val="24"/>
          <w:szCs w:val="24"/>
          <w:lang w:val="pl-PL"/>
        </w:rPr>
        <w:t xml:space="preserve"> skazanie skarżącego za odmowę służby wojskowej stanowiło ingerencję, która nie</w:t>
      </w:r>
      <w:r w:rsidR="00827554">
        <w:rPr>
          <w:rFonts w:cs="Verdana"/>
          <w:bCs/>
          <w:sz w:val="24"/>
          <w:szCs w:val="24"/>
          <w:lang w:val="pl-PL"/>
        </w:rPr>
        <w:t> </w:t>
      </w:r>
      <w:r w:rsidR="00D32B3C" w:rsidRPr="00ED0C6A">
        <w:rPr>
          <w:rFonts w:cs="Verdana"/>
          <w:bCs/>
          <w:sz w:val="24"/>
          <w:szCs w:val="24"/>
          <w:lang w:val="pl-PL"/>
        </w:rPr>
        <w:t>była konieczna w społeczeństwie demokratycznym w rozumieniu art. 9 Konwencji. Obecnie Trybunał w</w:t>
      </w:r>
      <w:r w:rsidRPr="00ED0C6A">
        <w:rPr>
          <w:rFonts w:cs="Verdana"/>
          <w:bCs/>
          <w:sz w:val="24"/>
          <w:szCs w:val="24"/>
          <w:lang w:val="pl-PL"/>
        </w:rPr>
        <w:t>skaz</w:t>
      </w:r>
      <w:r w:rsidR="00D32B3C" w:rsidRPr="00ED0C6A">
        <w:rPr>
          <w:rFonts w:cs="Verdana"/>
          <w:bCs/>
          <w:sz w:val="24"/>
          <w:szCs w:val="24"/>
          <w:lang w:val="pl-PL"/>
        </w:rPr>
        <w:t>ał</w:t>
      </w:r>
      <w:r w:rsidRPr="00ED0C6A">
        <w:rPr>
          <w:rFonts w:cs="Verdana"/>
          <w:bCs/>
          <w:sz w:val="24"/>
          <w:szCs w:val="24"/>
          <w:lang w:val="pl-PL"/>
        </w:rPr>
        <w:t xml:space="preserve"> kryteria, jakimi się należy kierować przy ocenie, czy zastępcza służba wojskowa może być uznana za rzeczywistą i zgodną z art. 9 Konwencji alternatywę dla</w:t>
      </w:r>
      <w:r w:rsidR="00E57D35">
        <w:rPr>
          <w:rFonts w:cs="Verdana"/>
          <w:bCs/>
          <w:sz w:val="24"/>
          <w:szCs w:val="24"/>
          <w:lang w:val="pl-PL"/>
        </w:rPr>
        <w:t> </w:t>
      </w:r>
      <w:r w:rsidRPr="00ED0C6A">
        <w:rPr>
          <w:rFonts w:cs="Verdana"/>
          <w:bCs/>
          <w:sz w:val="24"/>
          <w:szCs w:val="24"/>
          <w:lang w:val="pl-PL"/>
        </w:rPr>
        <w:t xml:space="preserve">osób powołujących się na sprzeciw sumienia. </w:t>
      </w:r>
    </w:p>
    <w:p w:rsidR="00AB1DE2" w:rsidRPr="00ED0C6A" w:rsidRDefault="004C32BF" w:rsidP="00CD21D4">
      <w:pPr>
        <w:autoSpaceDE w:val="0"/>
        <w:autoSpaceDN w:val="0"/>
        <w:adjustRightInd w:val="0"/>
        <w:spacing w:after="120" w:line="240" w:lineRule="auto"/>
        <w:jc w:val="both"/>
        <w:rPr>
          <w:rFonts w:cs="Verdana"/>
          <w:bCs/>
          <w:sz w:val="24"/>
          <w:szCs w:val="24"/>
          <w:lang w:val="pl-PL"/>
        </w:rPr>
      </w:pPr>
      <w:r w:rsidRPr="00ED0C6A">
        <w:rPr>
          <w:rFonts w:cs="Verdana"/>
          <w:bCs/>
          <w:sz w:val="24"/>
          <w:szCs w:val="24"/>
          <w:lang w:val="pl-PL"/>
        </w:rPr>
        <w:t xml:space="preserve">Wyrok </w:t>
      </w:r>
      <w:r w:rsidR="004B42A0" w:rsidRPr="00ED0C6A">
        <w:rPr>
          <w:rFonts w:cs="Verdana"/>
          <w:bCs/>
          <w:sz w:val="24"/>
          <w:szCs w:val="24"/>
          <w:lang w:val="pl-PL"/>
        </w:rPr>
        <w:t xml:space="preserve">może mieć znaczenie dla </w:t>
      </w:r>
      <w:r w:rsidR="006A39F2" w:rsidRPr="00ED0C6A">
        <w:rPr>
          <w:rFonts w:cs="Verdana"/>
          <w:bCs/>
          <w:sz w:val="24"/>
          <w:szCs w:val="24"/>
          <w:lang w:val="pl-PL"/>
        </w:rPr>
        <w:t>organów właściwych ds. regulowania</w:t>
      </w:r>
      <w:r w:rsidR="00652C89" w:rsidRPr="00ED0C6A">
        <w:rPr>
          <w:rFonts w:cs="Verdana"/>
          <w:bCs/>
          <w:sz w:val="24"/>
          <w:szCs w:val="24"/>
          <w:lang w:val="pl-PL"/>
        </w:rPr>
        <w:t>, organizacji i</w:t>
      </w:r>
      <w:r w:rsidR="00827554">
        <w:rPr>
          <w:rFonts w:cs="Verdana"/>
          <w:bCs/>
          <w:sz w:val="24"/>
          <w:szCs w:val="24"/>
          <w:lang w:val="pl-PL"/>
        </w:rPr>
        <w:t> </w:t>
      </w:r>
      <w:r w:rsidR="00652C89" w:rsidRPr="00ED0C6A">
        <w:rPr>
          <w:rFonts w:cs="Verdana"/>
          <w:bCs/>
          <w:sz w:val="24"/>
          <w:szCs w:val="24"/>
          <w:lang w:val="pl-PL"/>
        </w:rPr>
        <w:t>stosowania zastępczej służby wojskowej</w:t>
      </w:r>
      <w:r w:rsidR="004B42A0" w:rsidRPr="00ED0C6A">
        <w:rPr>
          <w:rFonts w:cs="Verdana"/>
          <w:bCs/>
          <w:sz w:val="24"/>
          <w:szCs w:val="24"/>
          <w:lang w:val="pl-PL"/>
        </w:rPr>
        <w:t xml:space="preserve">, ale także </w:t>
      </w:r>
      <w:r w:rsidR="00652C89" w:rsidRPr="00ED0C6A">
        <w:rPr>
          <w:rFonts w:cs="Verdana"/>
          <w:bCs/>
          <w:sz w:val="24"/>
          <w:szCs w:val="24"/>
          <w:lang w:val="pl-PL"/>
        </w:rPr>
        <w:t xml:space="preserve">dla innych organów </w:t>
      </w:r>
      <w:r w:rsidR="004B42A0" w:rsidRPr="00ED0C6A">
        <w:rPr>
          <w:rFonts w:cs="Verdana"/>
          <w:bCs/>
          <w:sz w:val="24"/>
          <w:szCs w:val="24"/>
          <w:lang w:val="pl-PL"/>
        </w:rPr>
        <w:t xml:space="preserve">w szerszym kontekście dotyczącym </w:t>
      </w:r>
      <w:r w:rsidR="00652C89" w:rsidRPr="00ED0C6A">
        <w:rPr>
          <w:rFonts w:cs="Verdana"/>
          <w:bCs/>
          <w:sz w:val="24"/>
          <w:szCs w:val="24"/>
          <w:lang w:val="pl-PL"/>
        </w:rPr>
        <w:t xml:space="preserve">gwarancji </w:t>
      </w:r>
      <w:r w:rsidR="004B42A0" w:rsidRPr="00ED0C6A">
        <w:rPr>
          <w:rFonts w:cs="Verdana"/>
          <w:bCs/>
          <w:sz w:val="24"/>
          <w:szCs w:val="24"/>
          <w:lang w:val="pl-PL"/>
        </w:rPr>
        <w:t>ochrony wolności myśli, sumienia i wyznania</w:t>
      </w:r>
      <w:r w:rsidR="00652C89" w:rsidRPr="00ED0C6A">
        <w:rPr>
          <w:rFonts w:cs="Verdana"/>
          <w:bCs/>
          <w:sz w:val="24"/>
          <w:szCs w:val="24"/>
          <w:lang w:val="pl-PL"/>
        </w:rPr>
        <w:t xml:space="preserve"> w prawie i</w:t>
      </w:r>
      <w:r w:rsidR="00E57D35">
        <w:rPr>
          <w:rFonts w:cs="Verdana"/>
          <w:bCs/>
          <w:sz w:val="24"/>
          <w:szCs w:val="24"/>
          <w:lang w:val="pl-PL"/>
        </w:rPr>
        <w:t> </w:t>
      </w:r>
      <w:r w:rsidR="00652C89" w:rsidRPr="00ED0C6A">
        <w:rPr>
          <w:rFonts w:cs="Verdana"/>
          <w:bCs/>
          <w:sz w:val="24"/>
          <w:szCs w:val="24"/>
          <w:lang w:val="pl-PL"/>
        </w:rPr>
        <w:t>praktyce</w:t>
      </w:r>
      <w:r w:rsidR="005E6D93" w:rsidRPr="00ED0C6A">
        <w:rPr>
          <w:rFonts w:cs="Verdana"/>
          <w:bCs/>
          <w:sz w:val="24"/>
          <w:szCs w:val="24"/>
          <w:lang w:val="pl-PL"/>
        </w:rPr>
        <w:t>.</w:t>
      </w:r>
      <w:r w:rsidR="00D32B3C" w:rsidRPr="00ED0C6A">
        <w:rPr>
          <w:rFonts w:cs="Verdana"/>
          <w:bCs/>
          <w:sz w:val="24"/>
          <w:szCs w:val="24"/>
          <w:lang w:val="pl-PL"/>
        </w:rPr>
        <w:t xml:space="preserve"> </w:t>
      </w:r>
    </w:p>
    <w:p w:rsidR="00AB1DE2" w:rsidRPr="00ED0C6A" w:rsidRDefault="00AB1DE2" w:rsidP="009333A7">
      <w:pPr>
        <w:pStyle w:val="Nagwek2"/>
        <w:spacing w:before="480"/>
        <w:rPr>
          <w:rFonts w:asciiTheme="minorHAnsi" w:hAnsiTheme="minorHAnsi"/>
          <w:color w:val="auto"/>
          <w:sz w:val="24"/>
          <w:szCs w:val="24"/>
        </w:rPr>
      </w:pPr>
      <w:bookmarkStart w:id="4" w:name="_Toc524696723"/>
      <w:proofErr w:type="spellStart"/>
      <w:r w:rsidRPr="00ED0C6A">
        <w:rPr>
          <w:rFonts w:asciiTheme="minorHAnsi" w:hAnsiTheme="minorHAnsi"/>
          <w:color w:val="auto"/>
          <w:sz w:val="24"/>
          <w:szCs w:val="24"/>
        </w:rPr>
        <w:t>Bărbulescu</w:t>
      </w:r>
      <w:proofErr w:type="spellEnd"/>
      <w:r w:rsidRPr="00ED0C6A">
        <w:rPr>
          <w:rFonts w:asciiTheme="minorHAnsi" w:hAnsiTheme="minorHAnsi"/>
          <w:color w:val="auto"/>
          <w:sz w:val="24"/>
          <w:szCs w:val="24"/>
        </w:rPr>
        <w:t xml:space="preserve"> p. Rumunii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61496/08</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094458"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 xml:space="preserve">z </w:t>
      </w:r>
      <w:r w:rsidR="00B4260D" w:rsidRPr="00ED0C6A">
        <w:rPr>
          <w:rFonts w:asciiTheme="minorHAnsi" w:hAnsiTheme="minorHAnsi"/>
          <w:color w:val="auto"/>
          <w:sz w:val="24"/>
          <w:szCs w:val="24"/>
        </w:rPr>
        <w:t xml:space="preserve">5 września </w:t>
      </w:r>
      <w:r w:rsidRPr="00ED0C6A">
        <w:rPr>
          <w:rFonts w:asciiTheme="minorHAnsi" w:hAnsiTheme="minorHAnsi"/>
          <w:color w:val="auto"/>
          <w:sz w:val="24"/>
          <w:szCs w:val="24"/>
        </w:rPr>
        <w:t>2017 r.</w:t>
      </w:r>
      <w:r w:rsidR="00DB5295" w:rsidRPr="00ED0C6A">
        <w:rPr>
          <w:rFonts w:asciiTheme="minorHAnsi" w:hAnsiTheme="minorHAnsi"/>
          <w:color w:val="auto"/>
          <w:sz w:val="24"/>
          <w:szCs w:val="24"/>
        </w:rPr>
        <w:t>, ostateczny</w:t>
      </w:r>
      <w:bookmarkEnd w:id="4"/>
    </w:p>
    <w:p w:rsidR="00AB1DE2" w:rsidRPr="00ED0C6A" w:rsidRDefault="00AB1DE2"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090E80" w:rsidRPr="00ED0C6A">
        <w:rPr>
          <w:b/>
          <w:color w:val="000000" w:themeColor="text1"/>
          <w:sz w:val="24"/>
          <w:szCs w:val="24"/>
          <w:lang w:val="pl-PL"/>
        </w:rPr>
        <w:t xml:space="preserve"> art. 8 Konwencji (prawo do poszanowania życia prywatnego i rodzinnego – aspekty poszanowania życia prywatnego i korespondencji) w odniesieniu do</w:t>
      </w:r>
      <w:r w:rsidR="00827554">
        <w:rPr>
          <w:b/>
          <w:color w:val="000000" w:themeColor="text1"/>
          <w:sz w:val="24"/>
          <w:szCs w:val="24"/>
          <w:lang w:val="pl-PL"/>
        </w:rPr>
        <w:t> </w:t>
      </w:r>
      <w:r w:rsidR="00090E80" w:rsidRPr="00ED0C6A">
        <w:rPr>
          <w:b/>
          <w:color w:val="000000" w:themeColor="text1"/>
          <w:sz w:val="24"/>
          <w:szCs w:val="24"/>
          <w:lang w:val="pl-PL"/>
        </w:rPr>
        <w:t>monitorowania wykorzystania internetu przez pracownika w miejscu pracy i</w:t>
      </w:r>
      <w:r w:rsidR="00827554">
        <w:rPr>
          <w:b/>
          <w:color w:val="000000" w:themeColor="text1"/>
          <w:sz w:val="24"/>
          <w:szCs w:val="24"/>
          <w:lang w:val="pl-PL"/>
        </w:rPr>
        <w:t> </w:t>
      </w:r>
      <w:r w:rsidR="00090E80" w:rsidRPr="00ED0C6A">
        <w:rPr>
          <w:b/>
          <w:color w:val="000000" w:themeColor="text1"/>
          <w:sz w:val="24"/>
          <w:szCs w:val="24"/>
          <w:lang w:val="pl-PL"/>
        </w:rPr>
        <w:t>wykorzystania zgromadzonych danych w celu uzasadnienia jego zwolnienia</w:t>
      </w: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Skarżący</w:t>
      </w:r>
      <w:r w:rsidRPr="00ED0C6A">
        <w:rPr>
          <w:rFonts w:asciiTheme="minorHAnsi" w:hAnsiTheme="minorHAnsi"/>
          <w:i/>
          <w:sz w:val="24"/>
          <w:lang w:val="pl-PL"/>
        </w:rPr>
        <w:t xml:space="preserve"> </w:t>
      </w:r>
      <w:r w:rsidRPr="00ED0C6A">
        <w:rPr>
          <w:rFonts w:asciiTheme="minorHAnsi" w:hAnsiTheme="minorHAnsi"/>
          <w:sz w:val="24"/>
          <w:lang w:val="pl-PL"/>
        </w:rPr>
        <w:t>został zwolniony przez swojego pracodawcę, prywatną firmę, za to, że</w:t>
      </w:r>
      <w:r w:rsidR="00827554">
        <w:rPr>
          <w:rFonts w:asciiTheme="minorHAnsi" w:hAnsiTheme="minorHAnsi"/>
          <w:sz w:val="24"/>
          <w:lang w:val="pl-PL"/>
        </w:rPr>
        <w:t> </w:t>
      </w:r>
      <w:r w:rsidRPr="00ED0C6A">
        <w:rPr>
          <w:rFonts w:asciiTheme="minorHAnsi" w:hAnsiTheme="minorHAnsi"/>
          <w:sz w:val="24"/>
          <w:lang w:val="pl-PL"/>
        </w:rPr>
        <w:t>wykorzystywał sieć internet swojego przedsiębiorstwa w godzinach pracy z naruszeniem wewnętrznego regulaminu, który zabraniał wykorzystywania komputerów przedsiębiorstwa w celach prywatnych. Jego pracodawca monitorował przez pewien czas jego połączenia na</w:t>
      </w:r>
      <w:r w:rsidR="00827554">
        <w:rPr>
          <w:rFonts w:asciiTheme="minorHAnsi" w:hAnsiTheme="minorHAnsi"/>
          <w:sz w:val="24"/>
          <w:lang w:val="pl-PL"/>
        </w:rPr>
        <w:t> </w:t>
      </w:r>
      <w:r w:rsidRPr="00ED0C6A">
        <w:rPr>
          <w:rFonts w:asciiTheme="minorHAnsi" w:hAnsiTheme="minorHAnsi"/>
          <w:sz w:val="24"/>
          <w:lang w:val="pl-PL"/>
        </w:rPr>
        <w:t xml:space="preserve">koncie Yahoo Messenger, o którego założenie zainteresowany został poproszony w celu odpowiadania na prośby o informacje ze strony klientów. Zapisy sporządzone w trakcie wewnętrznych procedur wykazały, że wymieniał on wiadomości o charakterze ściśle osobistym z osobami trzecimi. </w:t>
      </w:r>
    </w:p>
    <w:p w:rsidR="005E6D93" w:rsidRPr="00ED0C6A" w:rsidRDefault="005E6D93" w:rsidP="00F11942">
      <w:pPr>
        <w:pStyle w:val="ClinContent"/>
        <w:spacing w:before="0"/>
        <w:rPr>
          <w:rFonts w:asciiTheme="minorHAnsi" w:hAnsiTheme="minorHAnsi"/>
          <w:sz w:val="24"/>
          <w:lang w:val="pl-PL"/>
        </w:rPr>
      </w:pPr>
    </w:p>
    <w:p w:rsidR="00AB1DE2" w:rsidRPr="00ED0C6A" w:rsidRDefault="005E6D93" w:rsidP="00F11942">
      <w:pPr>
        <w:pStyle w:val="ClinContent"/>
        <w:spacing w:before="0"/>
        <w:rPr>
          <w:rFonts w:asciiTheme="minorHAnsi" w:hAnsiTheme="minorHAnsi"/>
          <w:sz w:val="24"/>
          <w:lang w:val="pl-PL"/>
        </w:rPr>
      </w:pPr>
      <w:r w:rsidRPr="00ED0C6A">
        <w:rPr>
          <w:rFonts w:asciiTheme="minorHAnsi" w:hAnsiTheme="minorHAnsi"/>
          <w:sz w:val="24"/>
          <w:lang w:val="pl-PL"/>
        </w:rPr>
        <w:t>Przed Trybunałem</w:t>
      </w:r>
      <w:r w:rsidR="00AB1DE2" w:rsidRPr="00ED0C6A">
        <w:rPr>
          <w:rFonts w:asciiTheme="minorHAnsi" w:hAnsiTheme="minorHAnsi"/>
          <w:sz w:val="24"/>
          <w:lang w:val="pl-PL"/>
        </w:rPr>
        <w:t xml:space="preserve"> skarżący zarzucał, że zerwanie z nim umowy oparte było na naruszeniu jego prawa do poszanowania życia prywatnego i korespondencji,</w:t>
      </w:r>
      <w:r w:rsidRPr="00ED0C6A">
        <w:rPr>
          <w:rFonts w:asciiTheme="minorHAnsi" w:hAnsiTheme="minorHAnsi"/>
          <w:sz w:val="24"/>
          <w:lang w:val="pl-PL"/>
        </w:rPr>
        <w:t xml:space="preserve"> chronionego art. 8 Konwencji,</w:t>
      </w:r>
      <w:r w:rsidR="00AB1DE2" w:rsidRPr="00ED0C6A">
        <w:rPr>
          <w:rFonts w:asciiTheme="minorHAnsi" w:hAnsiTheme="minorHAnsi"/>
          <w:sz w:val="24"/>
          <w:lang w:val="pl-PL"/>
        </w:rPr>
        <w:t xml:space="preserve"> a krajowe organy sądowe nie zapewniły ochrony tego prawa. </w:t>
      </w:r>
    </w:p>
    <w:p w:rsidR="005E6D93" w:rsidRPr="00ED0C6A" w:rsidRDefault="005E6D93"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Wyrokiem z dnia 12 stycznia 2015 r. Izba Trybunału uznała sześcioma głosami do jednego brak naruszenia art. 8</w:t>
      </w:r>
      <w:r w:rsidR="005E6D93" w:rsidRPr="00ED0C6A">
        <w:rPr>
          <w:rFonts w:asciiTheme="minorHAnsi" w:hAnsiTheme="minorHAnsi"/>
          <w:sz w:val="24"/>
          <w:lang w:val="pl-PL"/>
        </w:rPr>
        <w:t xml:space="preserve"> w sprawie skarżącego</w:t>
      </w:r>
      <w:r w:rsidRPr="00ED0C6A">
        <w:rPr>
          <w:rFonts w:asciiTheme="minorHAnsi" w:hAnsiTheme="minorHAnsi"/>
          <w:sz w:val="24"/>
          <w:lang w:val="pl-PL"/>
        </w:rPr>
        <w:t xml:space="preserve">. W dniu 6 czerwca 2016 r. sprawa została przekazana na wniosek skarżącego do Wielkiej Izby. </w:t>
      </w:r>
    </w:p>
    <w:p w:rsidR="005E6D93" w:rsidRPr="00ED0C6A" w:rsidRDefault="005E6D93" w:rsidP="00F11942">
      <w:pPr>
        <w:pStyle w:val="ClinContent"/>
        <w:spacing w:before="0"/>
        <w:rPr>
          <w:rFonts w:asciiTheme="minorHAnsi" w:hAnsiTheme="minorHAnsi"/>
          <w:sz w:val="24"/>
          <w:lang w:val="pl-PL"/>
        </w:rPr>
      </w:pPr>
    </w:p>
    <w:p w:rsidR="00AB1DE2" w:rsidRPr="00ED0C6A" w:rsidRDefault="005E6D93"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w pierwszej kolejności zbadał, </w:t>
      </w:r>
      <w:r w:rsidRPr="00ED0C6A">
        <w:rPr>
          <w:rFonts w:asciiTheme="minorHAnsi" w:hAnsiTheme="minorHAnsi"/>
          <w:sz w:val="24"/>
          <w:u w:val="single"/>
          <w:lang w:val="pl-PL"/>
        </w:rPr>
        <w:t xml:space="preserve">czy art. 8 Konwencji </w:t>
      </w:r>
      <w:r w:rsidR="006D0CB1" w:rsidRPr="00ED0C6A">
        <w:rPr>
          <w:rFonts w:asciiTheme="minorHAnsi" w:hAnsiTheme="minorHAnsi"/>
          <w:sz w:val="24"/>
          <w:u w:val="single"/>
          <w:lang w:val="pl-PL"/>
        </w:rPr>
        <w:t xml:space="preserve">(prawo do poszanowania życia prywatnego i rodzinnego) </w:t>
      </w:r>
      <w:r w:rsidRPr="00ED0C6A">
        <w:rPr>
          <w:rFonts w:asciiTheme="minorHAnsi" w:hAnsiTheme="minorHAnsi"/>
          <w:sz w:val="24"/>
          <w:u w:val="single"/>
          <w:lang w:val="pl-PL"/>
        </w:rPr>
        <w:t>ma zastosowanie</w:t>
      </w:r>
      <w:r w:rsidRPr="00ED0C6A">
        <w:rPr>
          <w:rFonts w:asciiTheme="minorHAnsi" w:hAnsiTheme="minorHAnsi"/>
          <w:sz w:val="24"/>
          <w:lang w:val="pl-PL"/>
        </w:rPr>
        <w:t xml:space="preserve"> w przedmiotowej sprawie. Uznał, że </w:t>
      </w:r>
      <w:r w:rsidR="000862A6" w:rsidRPr="00ED0C6A">
        <w:rPr>
          <w:rFonts w:asciiTheme="minorHAnsi" w:hAnsiTheme="minorHAnsi"/>
          <w:sz w:val="24"/>
          <w:lang w:val="pl-PL"/>
        </w:rPr>
        <w:t xml:space="preserve">korzystanie z </w:t>
      </w:r>
      <w:r w:rsidR="00AB1DE2" w:rsidRPr="00ED0C6A">
        <w:rPr>
          <w:rFonts w:asciiTheme="minorHAnsi" w:hAnsiTheme="minorHAnsi"/>
          <w:sz w:val="24"/>
          <w:lang w:val="pl-PL"/>
        </w:rPr>
        <w:t>komunikatora internetowego o charakterze natychmiastowym</w:t>
      </w:r>
      <w:r w:rsidR="000862A6" w:rsidRPr="00ED0C6A">
        <w:rPr>
          <w:rFonts w:asciiTheme="minorHAnsi" w:hAnsiTheme="minorHAnsi"/>
          <w:sz w:val="24"/>
          <w:lang w:val="pl-PL"/>
        </w:rPr>
        <w:t xml:space="preserve"> </w:t>
      </w:r>
      <w:r w:rsidR="00AB1DE2" w:rsidRPr="00ED0C6A">
        <w:rPr>
          <w:rFonts w:asciiTheme="minorHAnsi" w:hAnsiTheme="minorHAnsi"/>
          <w:sz w:val="24"/>
          <w:lang w:val="pl-PL"/>
        </w:rPr>
        <w:t>stanowi</w:t>
      </w:r>
      <w:r w:rsidR="000862A6" w:rsidRPr="00ED0C6A">
        <w:rPr>
          <w:rFonts w:asciiTheme="minorHAnsi" w:hAnsiTheme="minorHAnsi"/>
          <w:sz w:val="24"/>
          <w:lang w:val="pl-PL"/>
        </w:rPr>
        <w:t>ło</w:t>
      </w:r>
      <w:r w:rsidR="00AB1DE2" w:rsidRPr="00ED0C6A">
        <w:rPr>
          <w:rFonts w:asciiTheme="minorHAnsi" w:hAnsiTheme="minorHAnsi"/>
          <w:sz w:val="24"/>
          <w:lang w:val="pl-PL"/>
        </w:rPr>
        <w:t xml:space="preserve"> rodzaj komunikacji będącej elementem korzystania z prywatnego życia społecznego. </w:t>
      </w:r>
      <w:r w:rsidR="000862A6" w:rsidRPr="00ED0C6A">
        <w:rPr>
          <w:rFonts w:asciiTheme="minorHAnsi" w:hAnsiTheme="minorHAnsi"/>
          <w:sz w:val="24"/>
          <w:lang w:val="pl-PL"/>
        </w:rPr>
        <w:t xml:space="preserve">Przypomniał, </w:t>
      </w:r>
      <w:r w:rsidR="000862A6" w:rsidRPr="00ED0C6A">
        <w:rPr>
          <w:rFonts w:asciiTheme="minorHAnsi" w:hAnsiTheme="minorHAnsi"/>
          <w:sz w:val="24"/>
          <w:lang w:val="pl-PL"/>
        </w:rPr>
        <w:lastRenderedPageBreak/>
        <w:t xml:space="preserve">że </w:t>
      </w:r>
      <w:r w:rsidR="00AB1DE2" w:rsidRPr="00ED0C6A">
        <w:rPr>
          <w:rFonts w:asciiTheme="minorHAnsi" w:hAnsiTheme="minorHAnsi"/>
          <w:sz w:val="24"/>
          <w:lang w:val="pl-PL"/>
        </w:rPr>
        <w:t>termin „korespondencja” ma zastosowanie do wysyłania i odbierania wiadomości, nawet</w:t>
      </w:r>
      <w:r w:rsidR="00827554">
        <w:rPr>
          <w:rFonts w:asciiTheme="minorHAnsi" w:hAnsiTheme="minorHAnsi"/>
          <w:sz w:val="24"/>
          <w:lang w:val="pl-PL"/>
        </w:rPr>
        <w:t> </w:t>
      </w:r>
      <w:r w:rsidR="00AB1DE2" w:rsidRPr="00ED0C6A">
        <w:rPr>
          <w:rFonts w:asciiTheme="minorHAnsi" w:hAnsiTheme="minorHAnsi"/>
          <w:sz w:val="24"/>
          <w:lang w:val="pl-PL"/>
        </w:rPr>
        <w:t xml:space="preserve">z komputera pracodawcy. </w:t>
      </w:r>
    </w:p>
    <w:p w:rsidR="000862A6" w:rsidRPr="00ED0C6A" w:rsidRDefault="000862A6" w:rsidP="00F11942">
      <w:pPr>
        <w:pStyle w:val="ClinContent"/>
        <w:spacing w:before="0"/>
        <w:rPr>
          <w:rFonts w:asciiTheme="minorHAnsi" w:hAnsiTheme="minorHAnsi"/>
          <w:sz w:val="24"/>
          <w:lang w:val="pl-PL"/>
        </w:rPr>
      </w:pPr>
    </w:p>
    <w:p w:rsidR="00AB1DE2" w:rsidRPr="00ED0C6A" w:rsidRDefault="000862A6" w:rsidP="00F11942">
      <w:pPr>
        <w:pStyle w:val="ClinContent"/>
        <w:spacing w:before="0"/>
        <w:rPr>
          <w:rFonts w:asciiTheme="minorHAnsi" w:hAnsiTheme="minorHAnsi"/>
          <w:sz w:val="24"/>
          <w:lang w:val="pl-PL"/>
        </w:rPr>
      </w:pPr>
      <w:r w:rsidRPr="00ED0C6A">
        <w:rPr>
          <w:rFonts w:asciiTheme="minorHAnsi" w:hAnsiTheme="minorHAnsi"/>
          <w:sz w:val="24"/>
          <w:lang w:val="pl-PL"/>
        </w:rPr>
        <w:t>Odnotował, że s</w:t>
      </w:r>
      <w:r w:rsidR="00AB1DE2" w:rsidRPr="00ED0C6A">
        <w:rPr>
          <w:rFonts w:asciiTheme="minorHAnsi" w:hAnsiTheme="minorHAnsi"/>
          <w:sz w:val="24"/>
          <w:lang w:val="pl-PL"/>
        </w:rPr>
        <w:t>karżący był dobrze poinformowany o zakazie wykorzystywania internetu do</w:t>
      </w:r>
      <w:r w:rsidR="00827554">
        <w:rPr>
          <w:rFonts w:asciiTheme="minorHAnsi" w:hAnsiTheme="minorHAnsi"/>
          <w:sz w:val="24"/>
          <w:lang w:val="pl-PL"/>
        </w:rPr>
        <w:t> </w:t>
      </w:r>
      <w:r w:rsidR="00AB1DE2" w:rsidRPr="00ED0C6A">
        <w:rPr>
          <w:rFonts w:asciiTheme="minorHAnsi" w:hAnsiTheme="minorHAnsi"/>
          <w:sz w:val="24"/>
          <w:lang w:val="pl-PL"/>
        </w:rPr>
        <w:t>celów osobistych, który był nałożony wewnętrznym regulaminem jego pracodawcy. Jednakże nie został z góry poinformowany o zakresie i charakterze monitoringu wykonywanego przez jego pracodawcę ani o możliwości posiadania przez niego dostępu do</w:t>
      </w:r>
      <w:r w:rsidR="00827554">
        <w:rPr>
          <w:rFonts w:asciiTheme="minorHAnsi" w:hAnsiTheme="minorHAnsi"/>
          <w:sz w:val="24"/>
          <w:lang w:val="pl-PL"/>
        </w:rPr>
        <w:t> </w:t>
      </w:r>
      <w:r w:rsidR="00AB1DE2" w:rsidRPr="00ED0C6A">
        <w:rPr>
          <w:rFonts w:asciiTheme="minorHAnsi" w:hAnsiTheme="minorHAnsi"/>
          <w:sz w:val="24"/>
          <w:lang w:val="pl-PL"/>
        </w:rPr>
        <w:t xml:space="preserve">samej treści jego komunikacji. </w:t>
      </w:r>
    </w:p>
    <w:p w:rsidR="000862A6" w:rsidRPr="00ED0C6A" w:rsidRDefault="000862A6"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Choć w świetle restrykcyjnych regulacji pracodawcy wątpliwe jest, czy skarżący mógł żywić rozsądne oczekiwanie odnośnie do życia prywatnego, tym niemniej </w:t>
      </w:r>
      <w:r w:rsidR="000862A6" w:rsidRPr="00ED0C6A">
        <w:rPr>
          <w:rFonts w:asciiTheme="minorHAnsi" w:hAnsiTheme="minorHAnsi"/>
          <w:sz w:val="24"/>
          <w:lang w:val="pl-PL"/>
        </w:rPr>
        <w:t>Trybunał podkreślił, że</w:t>
      </w:r>
      <w:r w:rsidR="00827554">
        <w:rPr>
          <w:rFonts w:asciiTheme="minorHAnsi" w:hAnsiTheme="minorHAnsi"/>
          <w:sz w:val="24"/>
          <w:lang w:val="pl-PL"/>
        </w:rPr>
        <w:t> </w:t>
      </w:r>
      <w:r w:rsidRPr="00ED0C6A">
        <w:rPr>
          <w:rFonts w:asciiTheme="minorHAnsi" w:hAnsiTheme="minorHAnsi"/>
          <w:sz w:val="24"/>
          <w:lang w:val="pl-PL"/>
        </w:rPr>
        <w:t>instrukcje pracodawcy nie mogą ograniczać do zera korzystania z prywatnego życia społecznego w miejscu pracy. Poszanowanie życia prywatnego i poufności korespondencji w</w:t>
      </w:r>
      <w:r w:rsidR="00827554">
        <w:rPr>
          <w:rFonts w:asciiTheme="minorHAnsi" w:hAnsiTheme="minorHAnsi"/>
          <w:sz w:val="24"/>
          <w:lang w:val="pl-PL"/>
        </w:rPr>
        <w:t> </w:t>
      </w:r>
      <w:r w:rsidRPr="00ED0C6A">
        <w:rPr>
          <w:rFonts w:asciiTheme="minorHAnsi" w:hAnsiTheme="minorHAnsi"/>
          <w:sz w:val="24"/>
          <w:lang w:val="pl-PL"/>
        </w:rPr>
        <w:t xml:space="preserve">dalszym ciągu ma zastosowanie, nawet jeśli taka korespondencja może zostać w stopniu koniecznym ograniczona. </w:t>
      </w:r>
    </w:p>
    <w:p w:rsidR="000862A6" w:rsidRPr="00ED0C6A" w:rsidRDefault="000862A6" w:rsidP="00F11942">
      <w:pPr>
        <w:pStyle w:val="ClinContent"/>
        <w:spacing w:before="0"/>
        <w:rPr>
          <w:rFonts w:asciiTheme="minorHAnsi" w:hAnsiTheme="minorHAnsi"/>
          <w:sz w:val="24"/>
          <w:lang w:val="pl-PL"/>
        </w:rPr>
      </w:pPr>
    </w:p>
    <w:p w:rsidR="00AB1DE2" w:rsidRPr="00ED0C6A" w:rsidRDefault="000862A6"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uznał, że porozumiewanie się </w:t>
      </w:r>
      <w:r w:rsidR="00AB1DE2" w:rsidRPr="00ED0C6A">
        <w:rPr>
          <w:rFonts w:asciiTheme="minorHAnsi" w:hAnsiTheme="minorHAnsi"/>
          <w:sz w:val="24"/>
          <w:lang w:val="pl-PL"/>
        </w:rPr>
        <w:t xml:space="preserve">skarżącego </w:t>
      </w:r>
      <w:r w:rsidRPr="00ED0C6A">
        <w:rPr>
          <w:rFonts w:asciiTheme="minorHAnsi" w:hAnsiTheme="minorHAnsi"/>
          <w:sz w:val="24"/>
          <w:lang w:val="pl-PL"/>
        </w:rPr>
        <w:t>w miejscu pracy było</w:t>
      </w:r>
      <w:r w:rsidR="00AB1DE2" w:rsidRPr="00ED0C6A">
        <w:rPr>
          <w:rFonts w:asciiTheme="minorHAnsi" w:hAnsiTheme="minorHAnsi"/>
          <w:sz w:val="24"/>
          <w:lang w:val="pl-PL"/>
        </w:rPr>
        <w:t xml:space="preserve"> objęte pojęciami „życia prywatnego” i „korespondencji”</w:t>
      </w:r>
      <w:r w:rsidRPr="00ED0C6A">
        <w:rPr>
          <w:rFonts w:asciiTheme="minorHAnsi" w:hAnsiTheme="minorHAnsi"/>
          <w:sz w:val="24"/>
          <w:lang w:val="pl-PL"/>
        </w:rPr>
        <w:t xml:space="preserve">, a zatem </w:t>
      </w:r>
      <w:r w:rsidR="00AB1DE2" w:rsidRPr="00ED0C6A">
        <w:rPr>
          <w:rFonts w:asciiTheme="minorHAnsi" w:hAnsiTheme="minorHAnsi"/>
          <w:sz w:val="24"/>
          <w:lang w:val="pl-PL"/>
        </w:rPr>
        <w:t>art. 8 Konwencji ma zastosowanie w</w:t>
      </w:r>
      <w:r w:rsidR="00827554">
        <w:rPr>
          <w:rFonts w:asciiTheme="minorHAnsi" w:hAnsiTheme="minorHAnsi"/>
          <w:sz w:val="24"/>
          <w:lang w:val="pl-PL"/>
        </w:rPr>
        <w:t> </w:t>
      </w:r>
      <w:r w:rsidR="00AB1DE2" w:rsidRPr="00ED0C6A">
        <w:rPr>
          <w:rFonts w:asciiTheme="minorHAnsi" w:hAnsiTheme="minorHAnsi"/>
          <w:sz w:val="24"/>
          <w:lang w:val="pl-PL"/>
        </w:rPr>
        <w:t xml:space="preserve">sprawie. </w:t>
      </w:r>
    </w:p>
    <w:p w:rsidR="000862A6" w:rsidRPr="00ED0C6A" w:rsidRDefault="000862A6" w:rsidP="00F11942">
      <w:pPr>
        <w:pStyle w:val="ClinContent"/>
        <w:spacing w:before="0"/>
        <w:rPr>
          <w:rFonts w:asciiTheme="minorHAnsi" w:hAnsiTheme="minorHAnsi"/>
          <w:sz w:val="24"/>
          <w:lang w:val="pl-PL"/>
        </w:rPr>
      </w:pPr>
    </w:p>
    <w:p w:rsidR="00AB1DE2" w:rsidRPr="00ED0C6A" w:rsidRDefault="00B65172" w:rsidP="00F11942">
      <w:pPr>
        <w:pStyle w:val="ClinContent"/>
        <w:spacing w:before="0"/>
        <w:rPr>
          <w:rFonts w:asciiTheme="minorHAnsi" w:hAnsiTheme="minorHAnsi"/>
          <w:sz w:val="24"/>
          <w:lang w:val="pl-PL"/>
        </w:rPr>
      </w:pPr>
      <w:r w:rsidRPr="00ED0C6A">
        <w:rPr>
          <w:rFonts w:asciiTheme="minorHAnsi" w:hAnsiTheme="minorHAnsi"/>
          <w:sz w:val="24"/>
          <w:lang w:val="pl-PL"/>
        </w:rPr>
        <w:t>Badając</w:t>
      </w:r>
      <w:r w:rsidR="00AB1DE2" w:rsidRPr="00ED0C6A">
        <w:rPr>
          <w:rFonts w:asciiTheme="minorHAnsi" w:hAnsiTheme="minorHAnsi"/>
          <w:sz w:val="24"/>
          <w:lang w:val="pl-PL"/>
        </w:rPr>
        <w:t xml:space="preserve"> </w:t>
      </w:r>
      <w:r w:rsidRPr="00ED0C6A">
        <w:rPr>
          <w:rFonts w:asciiTheme="minorHAnsi" w:hAnsiTheme="minorHAnsi"/>
          <w:sz w:val="24"/>
          <w:u w:val="single"/>
          <w:lang w:val="pl-PL"/>
        </w:rPr>
        <w:t>p</w:t>
      </w:r>
      <w:r w:rsidR="00AB1DE2" w:rsidRPr="00ED0C6A">
        <w:rPr>
          <w:rFonts w:asciiTheme="minorHAnsi" w:hAnsiTheme="minorHAnsi"/>
          <w:sz w:val="24"/>
          <w:u w:val="single"/>
          <w:lang w:val="pl-PL"/>
        </w:rPr>
        <w:t>rzedmiot skargi</w:t>
      </w:r>
      <w:r w:rsidR="00AB1DE2" w:rsidRPr="00ED0C6A">
        <w:rPr>
          <w:rFonts w:asciiTheme="minorHAnsi" w:hAnsiTheme="minorHAnsi"/>
          <w:sz w:val="24"/>
          <w:lang w:val="pl-PL"/>
        </w:rPr>
        <w:t xml:space="preserve"> </w:t>
      </w:r>
      <w:r w:rsidRPr="00ED0C6A">
        <w:rPr>
          <w:rFonts w:asciiTheme="minorHAnsi" w:hAnsiTheme="minorHAnsi"/>
          <w:sz w:val="24"/>
          <w:lang w:val="pl-PL"/>
        </w:rPr>
        <w:t xml:space="preserve">Trybunał wziął </w:t>
      </w:r>
      <w:r w:rsidR="00AB1DE2" w:rsidRPr="00ED0C6A">
        <w:rPr>
          <w:rFonts w:asciiTheme="minorHAnsi" w:hAnsiTheme="minorHAnsi"/>
          <w:sz w:val="24"/>
          <w:lang w:val="pl-PL"/>
        </w:rPr>
        <w:t xml:space="preserve">pod uwagę szczególne okoliczności sprawy, </w:t>
      </w:r>
      <w:r w:rsidRPr="00ED0C6A">
        <w:rPr>
          <w:rFonts w:asciiTheme="minorHAnsi" w:hAnsiTheme="minorHAnsi"/>
          <w:sz w:val="24"/>
          <w:lang w:val="pl-PL"/>
        </w:rPr>
        <w:t>a</w:t>
      </w:r>
      <w:r w:rsidR="00827554">
        <w:rPr>
          <w:rFonts w:asciiTheme="minorHAnsi" w:hAnsiTheme="minorHAnsi"/>
          <w:sz w:val="24"/>
          <w:lang w:val="pl-PL"/>
        </w:rPr>
        <w:t> </w:t>
      </w:r>
      <w:r w:rsidRPr="00ED0C6A">
        <w:rPr>
          <w:rFonts w:asciiTheme="minorHAnsi" w:hAnsiTheme="minorHAnsi"/>
          <w:sz w:val="24"/>
          <w:lang w:val="pl-PL"/>
        </w:rPr>
        <w:t>w</w:t>
      </w:r>
      <w:r w:rsidR="00827554">
        <w:rPr>
          <w:rFonts w:asciiTheme="minorHAnsi" w:hAnsiTheme="minorHAnsi"/>
          <w:sz w:val="24"/>
          <w:lang w:val="pl-PL"/>
        </w:rPr>
        <w:t> </w:t>
      </w:r>
      <w:r w:rsidRPr="00ED0C6A">
        <w:rPr>
          <w:rFonts w:asciiTheme="minorHAnsi" w:hAnsiTheme="minorHAnsi"/>
          <w:sz w:val="24"/>
          <w:lang w:val="pl-PL"/>
        </w:rPr>
        <w:t xml:space="preserve">szczególności fakt, że </w:t>
      </w:r>
      <w:r w:rsidR="00AB1DE2" w:rsidRPr="00ED0C6A">
        <w:rPr>
          <w:rFonts w:asciiTheme="minorHAnsi" w:hAnsiTheme="minorHAnsi"/>
          <w:sz w:val="24"/>
          <w:lang w:val="pl-PL"/>
        </w:rPr>
        <w:t>ingerencja w korzystanie przez skarżącego z jego prawa do</w:t>
      </w:r>
      <w:r w:rsidR="00827554">
        <w:rPr>
          <w:rFonts w:asciiTheme="minorHAnsi" w:hAnsiTheme="minorHAnsi"/>
          <w:sz w:val="24"/>
          <w:lang w:val="pl-PL"/>
        </w:rPr>
        <w:t> </w:t>
      </w:r>
      <w:r w:rsidR="00AB1DE2" w:rsidRPr="00ED0C6A">
        <w:rPr>
          <w:rFonts w:asciiTheme="minorHAnsi" w:hAnsiTheme="minorHAnsi"/>
          <w:sz w:val="24"/>
          <w:lang w:val="pl-PL"/>
        </w:rPr>
        <w:t>poszanowania życia prywatnego i korespondencji została dokon</w:t>
      </w:r>
      <w:r w:rsidRPr="00ED0C6A">
        <w:rPr>
          <w:rFonts w:asciiTheme="minorHAnsi" w:hAnsiTheme="minorHAnsi"/>
          <w:sz w:val="24"/>
          <w:lang w:val="pl-PL"/>
        </w:rPr>
        <w:t>ana przez prywatnego pracodawcę. W tej sytuacji skargę należało</w:t>
      </w:r>
      <w:r w:rsidR="00AB1DE2" w:rsidRPr="00ED0C6A">
        <w:rPr>
          <w:rFonts w:asciiTheme="minorHAnsi" w:hAnsiTheme="minorHAnsi"/>
          <w:sz w:val="24"/>
          <w:lang w:val="pl-PL"/>
        </w:rPr>
        <w:t xml:space="preserve"> przeanalizować z punktu widzenia obowiązków pozytywnych </w:t>
      </w:r>
      <w:r w:rsidR="00721A8D" w:rsidRPr="00ED0C6A">
        <w:rPr>
          <w:rFonts w:asciiTheme="minorHAnsi" w:hAnsiTheme="minorHAnsi"/>
          <w:sz w:val="24"/>
          <w:lang w:val="pl-PL"/>
        </w:rPr>
        <w:t>Państwa</w:t>
      </w:r>
      <w:r w:rsidR="00AB1DE2" w:rsidRPr="00ED0C6A">
        <w:rPr>
          <w:rFonts w:asciiTheme="minorHAnsi" w:hAnsiTheme="minorHAnsi"/>
          <w:sz w:val="24"/>
          <w:lang w:val="pl-PL"/>
        </w:rPr>
        <w:t xml:space="preserve">. </w:t>
      </w:r>
    </w:p>
    <w:p w:rsidR="00B65172" w:rsidRPr="00ED0C6A" w:rsidRDefault="00B65172" w:rsidP="00F11942">
      <w:pPr>
        <w:pStyle w:val="ClinContent"/>
        <w:spacing w:before="0"/>
        <w:rPr>
          <w:rFonts w:asciiTheme="minorHAnsi" w:hAnsiTheme="minorHAnsi"/>
          <w:sz w:val="24"/>
          <w:lang w:val="pl-PL"/>
        </w:rPr>
      </w:pPr>
    </w:p>
    <w:p w:rsidR="00AB1DE2" w:rsidRPr="00ED0C6A" w:rsidRDefault="00B65172" w:rsidP="00F11942">
      <w:pPr>
        <w:pStyle w:val="ClinContent"/>
        <w:spacing w:before="0"/>
        <w:rPr>
          <w:rFonts w:asciiTheme="minorHAnsi" w:hAnsiTheme="minorHAnsi"/>
          <w:sz w:val="24"/>
          <w:lang w:val="pl-PL"/>
        </w:rPr>
      </w:pPr>
      <w:r w:rsidRPr="00ED0C6A">
        <w:rPr>
          <w:rFonts w:asciiTheme="minorHAnsi" w:hAnsiTheme="minorHAnsi"/>
          <w:sz w:val="24"/>
          <w:lang w:val="pl-PL"/>
        </w:rPr>
        <w:t>Trybunał przyznał, że n</w:t>
      </w:r>
      <w:r w:rsidR="00AB1DE2" w:rsidRPr="00ED0C6A">
        <w:rPr>
          <w:rFonts w:asciiTheme="minorHAnsi" w:hAnsiTheme="minorHAnsi"/>
          <w:sz w:val="24"/>
          <w:lang w:val="pl-PL"/>
        </w:rPr>
        <w:t xml:space="preserve">iewiele </w:t>
      </w:r>
      <w:r w:rsidR="00721A8D" w:rsidRPr="00ED0C6A">
        <w:rPr>
          <w:rFonts w:asciiTheme="minorHAnsi" w:hAnsiTheme="minorHAnsi"/>
          <w:sz w:val="24"/>
          <w:lang w:val="pl-PL"/>
        </w:rPr>
        <w:t xml:space="preserve">Państw </w:t>
      </w:r>
      <w:r w:rsidR="00AB1DE2" w:rsidRPr="00ED0C6A">
        <w:rPr>
          <w:rFonts w:asciiTheme="minorHAnsi" w:hAnsiTheme="minorHAnsi"/>
          <w:sz w:val="24"/>
          <w:lang w:val="pl-PL"/>
        </w:rPr>
        <w:t xml:space="preserve">członkowskich uregulowało w sposób wyraźny kwestię korzystania przez pracowników z prawa do poszanowania życia prywatnego i korespondencji w ich miejscu pracy. A zatem, Układającym się Państwom należy przyznać szeroki margines oceny przy określaniu konieczności przyjęcia ram prawnych regulujących warunki, w ramach których pracodawca może przyjąć politykę kształtującą zasady komunikacji nie mającej charakteru służbowego, elektronicznej lub innej, swoich pracowników w miejscu pracy. </w:t>
      </w:r>
    </w:p>
    <w:p w:rsidR="00B65172" w:rsidRPr="00ED0C6A" w:rsidRDefault="00B65172" w:rsidP="00F11942">
      <w:pPr>
        <w:pStyle w:val="ClinContent"/>
        <w:spacing w:before="0"/>
        <w:rPr>
          <w:rFonts w:asciiTheme="minorHAnsi" w:hAnsiTheme="minorHAnsi"/>
          <w:b/>
          <w:sz w:val="24"/>
          <w:lang w:val="pl-PL"/>
        </w:rPr>
      </w:pPr>
    </w:p>
    <w:p w:rsidR="00B65172" w:rsidRPr="00ED0C6A" w:rsidRDefault="00B6517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Tym niemniej, </w:t>
      </w:r>
      <w:r w:rsidR="00AB1DE2" w:rsidRPr="00ED0C6A">
        <w:rPr>
          <w:rFonts w:asciiTheme="minorHAnsi" w:hAnsiTheme="minorHAnsi"/>
          <w:sz w:val="24"/>
          <w:lang w:val="pl-PL"/>
        </w:rPr>
        <w:t xml:space="preserve">kluczowymi elementami są proporcjonalność i gwarancje proceduralne chroniące przed arbitralnością. </w:t>
      </w:r>
      <w:r w:rsidRPr="00ED0C6A">
        <w:rPr>
          <w:rFonts w:asciiTheme="minorHAnsi" w:hAnsiTheme="minorHAnsi"/>
          <w:sz w:val="24"/>
          <w:lang w:val="pl-PL"/>
        </w:rPr>
        <w:t>Trybunał podkreślił, że w</w:t>
      </w:r>
      <w:r w:rsidR="00AB1DE2" w:rsidRPr="00ED0C6A">
        <w:rPr>
          <w:rFonts w:asciiTheme="minorHAnsi" w:hAnsiTheme="minorHAnsi"/>
          <w:sz w:val="24"/>
          <w:lang w:val="pl-PL"/>
        </w:rPr>
        <w:t xml:space="preserve"> tym kontekście władze krajowe powinny uwzględnić następujące czynniki: </w:t>
      </w:r>
    </w:p>
    <w:p w:rsidR="00B65172" w:rsidRPr="00ED0C6A" w:rsidRDefault="00AB1DE2" w:rsidP="00B65172">
      <w:pPr>
        <w:pStyle w:val="ClinContent"/>
        <w:numPr>
          <w:ilvl w:val="0"/>
          <w:numId w:val="8"/>
        </w:numPr>
        <w:spacing w:before="0"/>
        <w:rPr>
          <w:rFonts w:asciiTheme="minorHAnsi" w:hAnsiTheme="minorHAnsi"/>
          <w:sz w:val="24"/>
          <w:lang w:val="pl-PL"/>
        </w:rPr>
      </w:pPr>
      <w:r w:rsidRPr="00ED0C6A">
        <w:rPr>
          <w:rFonts w:asciiTheme="minorHAnsi" w:hAnsiTheme="minorHAnsi"/>
          <w:sz w:val="24"/>
          <w:lang w:val="pl-PL"/>
        </w:rPr>
        <w:t xml:space="preserve">czy pracownik został poinformowany o możliwości podjęcia przez pracodawcę środków monitorowania jego korespondencji i innych form komunikacji, jak też o wdrożeniu takich środków? </w:t>
      </w:r>
    </w:p>
    <w:p w:rsidR="00B65172" w:rsidRPr="00ED0C6A" w:rsidRDefault="00B65172" w:rsidP="00B65172">
      <w:pPr>
        <w:pStyle w:val="ClinContent"/>
        <w:numPr>
          <w:ilvl w:val="0"/>
          <w:numId w:val="8"/>
        </w:numPr>
        <w:spacing w:before="0"/>
        <w:rPr>
          <w:rFonts w:asciiTheme="minorHAnsi" w:hAnsiTheme="minorHAnsi"/>
          <w:sz w:val="24"/>
          <w:lang w:val="pl-PL"/>
        </w:rPr>
      </w:pPr>
      <w:r w:rsidRPr="00ED0C6A">
        <w:rPr>
          <w:rFonts w:asciiTheme="minorHAnsi" w:hAnsiTheme="minorHAnsi"/>
          <w:sz w:val="24"/>
          <w:lang w:val="pl-PL"/>
        </w:rPr>
        <w:t>j</w:t>
      </w:r>
      <w:r w:rsidR="00AB1DE2" w:rsidRPr="00ED0C6A">
        <w:rPr>
          <w:rFonts w:asciiTheme="minorHAnsi" w:hAnsiTheme="minorHAnsi"/>
          <w:sz w:val="24"/>
          <w:lang w:val="pl-PL"/>
        </w:rPr>
        <w:t>aki był zakres monitoringu wykonywanego przez pracodawcę oraz stopień ingerencji w</w:t>
      </w:r>
      <w:r w:rsidR="00827554">
        <w:rPr>
          <w:rFonts w:asciiTheme="minorHAnsi" w:hAnsiTheme="minorHAnsi"/>
          <w:sz w:val="24"/>
          <w:lang w:val="pl-PL"/>
        </w:rPr>
        <w:t> </w:t>
      </w:r>
      <w:r w:rsidR="00AB1DE2" w:rsidRPr="00ED0C6A">
        <w:rPr>
          <w:rFonts w:asciiTheme="minorHAnsi" w:hAnsiTheme="minorHAnsi"/>
          <w:sz w:val="24"/>
          <w:lang w:val="pl-PL"/>
        </w:rPr>
        <w:t xml:space="preserve">życie prywatne pracownika? </w:t>
      </w:r>
    </w:p>
    <w:p w:rsidR="00B65172" w:rsidRPr="00ED0C6A" w:rsidRDefault="00B65172" w:rsidP="00B65172">
      <w:pPr>
        <w:pStyle w:val="ClinContent"/>
        <w:numPr>
          <w:ilvl w:val="0"/>
          <w:numId w:val="8"/>
        </w:numPr>
        <w:spacing w:before="0"/>
        <w:rPr>
          <w:rFonts w:asciiTheme="minorHAnsi" w:hAnsiTheme="minorHAnsi"/>
          <w:sz w:val="24"/>
          <w:lang w:val="pl-PL"/>
        </w:rPr>
      </w:pPr>
      <w:r w:rsidRPr="00ED0C6A">
        <w:rPr>
          <w:rFonts w:asciiTheme="minorHAnsi" w:hAnsiTheme="minorHAnsi"/>
          <w:sz w:val="24"/>
          <w:lang w:val="pl-PL"/>
        </w:rPr>
        <w:t>c</w:t>
      </w:r>
      <w:r w:rsidR="00AB1DE2" w:rsidRPr="00ED0C6A">
        <w:rPr>
          <w:rFonts w:asciiTheme="minorHAnsi" w:hAnsiTheme="minorHAnsi"/>
          <w:sz w:val="24"/>
          <w:lang w:val="pl-PL"/>
        </w:rPr>
        <w:t xml:space="preserve">zy pracodawca wskazał powody uzasadniające zastosowanie monitoringu komunikacji pracownika? </w:t>
      </w:r>
    </w:p>
    <w:p w:rsidR="00B65172" w:rsidRPr="00ED0C6A" w:rsidRDefault="00B65172" w:rsidP="00B65172">
      <w:pPr>
        <w:pStyle w:val="ClinContent"/>
        <w:numPr>
          <w:ilvl w:val="0"/>
          <w:numId w:val="8"/>
        </w:numPr>
        <w:spacing w:before="0"/>
        <w:rPr>
          <w:rFonts w:asciiTheme="minorHAnsi" w:hAnsiTheme="minorHAnsi"/>
          <w:sz w:val="24"/>
          <w:lang w:val="pl-PL"/>
        </w:rPr>
      </w:pPr>
      <w:r w:rsidRPr="00ED0C6A">
        <w:rPr>
          <w:rFonts w:asciiTheme="minorHAnsi" w:hAnsiTheme="minorHAnsi"/>
          <w:sz w:val="24"/>
          <w:lang w:val="pl-PL"/>
        </w:rPr>
        <w:t>c</w:t>
      </w:r>
      <w:r w:rsidR="00AB1DE2" w:rsidRPr="00ED0C6A">
        <w:rPr>
          <w:rFonts w:asciiTheme="minorHAnsi" w:hAnsiTheme="minorHAnsi"/>
          <w:sz w:val="24"/>
          <w:lang w:val="pl-PL"/>
        </w:rPr>
        <w:t>zy istniała możliwość wdrożenia systemu monitoringu opartego o środki i sposoby o</w:t>
      </w:r>
      <w:r w:rsidR="00827554">
        <w:rPr>
          <w:rFonts w:asciiTheme="minorHAnsi" w:hAnsiTheme="minorHAnsi"/>
          <w:sz w:val="24"/>
          <w:lang w:val="pl-PL"/>
        </w:rPr>
        <w:t> </w:t>
      </w:r>
      <w:r w:rsidR="00AB1DE2" w:rsidRPr="00ED0C6A">
        <w:rPr>
          <w:rFonts w:asciiTheme="minorHAnsi" w:hAnsiTheme="minorHAnsi"/>
          <w:sz w:val="24"/>
          <w:lang w:val="pl-PL"/>
        </w:rPr>
        <w:t>charakterze mniej ingerującym niż bezpośredni dostęp do treści komunikacji pracownika?</w:t>
      </w:r>
    </w:p>
    <w:p w:rsidR="00B65172" w:rsidRPr="00ED0C6A" w:rsidRDefault="00B65172" w:rsidP="00B65172">
      <w:pPr>
        <w:pStyle w:val="ClinContent"/>
        <w:numPr>
          <w:ilvl w:val="0"/>
          <w:numId w:val="8"/>
        </w:numPr>
        <w:spacing w:before="0"/>
        <w:rPr>
          <w:rFonts w:asciiTheme="minorHAnsi" w:hAnsiTheme="minorHAnsi"/>
          <w:sz w:val="24"/>
          <w:lang w:val="pl-PL"/>
        </w:rPr>
      </w:pPr>
      <w:r w:rsidRPr="00ED0C6A">
        <w:rPr>
          <w:rFonts w:asciiTheme="minorHAnsi" w:hAnsiTheme="minorHAnsi"/>
          <w:sz w:val="24"/>
          <w:lang w:val="pl-PL"/>
        </w:rPr>
        <w:t>j</w:t>
      </w:r>
      <w:r w:rsidR="00AB1DE2" w:rsidRPr="00ED0C6A">
        <w:rPr>
          <w:rFonts w:asciiTheme="minorHAnsi" w:hAnsiTheme="minorHAnsi"/>
          <w:sz w:val="24"/>
          <w:lang w:val="pl-PL"/>
        </w:rPr>
        <w:t xml:space="preserve">akie były konsekwencje monitoringu dla pracownika, który został mu poddany? </w:t>
      </w:r>
    </w:p>
    <w:p w:rsidR="00B65172" w:rsidRPr="00ED0C6A" w:rsidRDefault="00B65172" w:rsidP="00B65172">
      <w:pPr>
        <w:pStyle w:val="ClinContent"/>
        <w:numPr>
          <w:ilvl w:val="0"/>
          <w:numId w:val="8"/>
        </w:numPr>
        <w:spacing w:before="0"/>
        <w:rPr>
          <w:rFonts w:asciiTheme="minorHAnsi" w:hAnsiTheme="minorHAnsi"/>
          <w:sz w:val="24"/>
          <w:lang w:val="pl-PL"/>
        </w:rPr>
      </w:pPr>
      <w:r w:rsidRPr="00ED0C6A">
        <w:rPr>
          <w:rFonts w:asciiTheme="minorHAnsi" w:hAnsiTheme="minorHAnsi"/>
          <w:sz w:val="24"/>
          <w:lang w:val="pl-PL"/>
        </w:rPr>
        <w:t>c</w:t>
      </w:r>
      <w:r w:rsidR="00AB1DE2" w:rsidRPr="00ED0C6A">
        <w:rPr>
          <w:rFonts w:asciiTheme="minorHAnsi" w:hAnsiTheme="minorHAnsi"/>
          <w:sz w:val="24"/>
          <w:lang w:val="pl-PL"/>
        </w:rPr>
        <w:t xml:space="preserve">zy pracownik miał do dyspozycji odpowiednie gwarancje, w szczególności w przypadku, gdy środki monitoringu pracodawcy miały charakter ingerujący? </w:t>
      </w:r>
    </w:p>
    <w:p w:rsidR="00AB1DE2" w:rsidRPr="00ED0C6A" w:rsidRDefault="00B65172" w:rsidP="00B65172">
      <w:pPr>
        <w:pStyle w:val="ClinContent"/>
        <w:numPr>
          <w:ilvl w:val="0"/>
          <w:numId w:val="8"/>
        </w:numPr>
        <w:spacing w:before="0"/>
        <w:rPr>
          <w:rFonts w:asciiTheme="minorHAnsi" w:hAnsiTheme="minorHAnsi"/>
          <w:sz w:val="24"/>
          <w:lang w:val="pl-PL"/>
        </w:rPr>
      </w:pPr>
      <w:r w:rsidRPr="00ED0C6A">
        <w:rPr>
          <w:rFonts w:asciiTheme="minorHAnsi" w:hAnsiTheme="minorHAnsi"/>
          <w:sz w:val="24"/>
          <w:lang w:val="pl-PL"/>
        </w:rPr>
        <w:t>w</w:t>
      </w:r>
      <w:r w:rsidR="00AB1DE2" w:rsidRPr="00ED0C6A">
        <w:rPr>
          <w:rFonts w:asciiTheme="minorHAnsi" w:hAnsiTheme="minorHAnsi"/>
          <w:sz w:val="24"/>
          <w:lang w:val="pl-PL"/>
        </w:rPr>
        <w:t xml:space="preserve">ładze krajowe powinny się </w:t>
      </w:r>
      <w:r w:rsidRPr="00ED0C6A">
        <w:rPr>
          <w:rFonts w:asciiTheme="minorHAnsi" w:hAnsiTheme="minorHAnsi"/>
          <w:sz w:val="24"/>
          <w:lang w:val="pl-PL"/>
        </w:rPr>
        <w:t xml:space="preserve">też </w:t>
      </w:r>
      <w:r w:rsidR="00AB1DE2" w:rsidRPr="00ED0C6A">
        <w:rPr>
          <w:rFonts w:asciiTheme="minorHAnsi" w:hAnsiTheme="minorHAnsi"/>
          <w:sz w:val="24"/>
          <w:lang w:val="pl-PL"/>
        </w:rPr>
        <w:t>upewnić, że pracownicy, których komunikacje były przedmiotem monitoringu, mogą korzystać ze środków odwoławczych do organów sądowych mających kompetencje do rozstrzygania, przynajmniej co do istoty, czy</w:t>
      </w:r>
      <w:r w:rsidR="00827554">
        <w:rPr>
          <w:rFonts w:asciiTheme="minorHAnsi" w:hAnsiTheme="minorHAnsi"/>
          <w:sz w:val="24"/>
          <w:lang w:val="pl-PL"/>
        </w:rPr>
        <w:t> </w:t>
      </w:r>
      <w:r w:rsidR="00AB1DE2" w:rsidRPr="00ED0C6A">
        <w:rPr>
          <w:rFonts w:asciiTheme="minorHAnsi" w:hAnsiTheme="minorHAnsi"/>
          <w:sz w:val="24"/>
          <w:lang w:val="pl-PL"/>
        </w:rPr>
        <w:t xml:space="preserve">wskazane wyżej kryteria były poszanowane, a także czy kwestionowane środki były zgodne z prawem. </w:t>
      </w:r>
    </w:p>
    <w:p w:rsidR="00B65172" w:rsidRPr="00ED0C6A" w:rsidRDefault="00B65172" w:rsidP="00F11942">
      <w:pPr>
        <w:pStyle w:val="ClinContent"/>
        <w:spacing w:before="0"/>
        <w:rPr>
          <w:rFonts w:asciiTheme="minorHAnsi" w:hAnsiTheme="minorHAnsi"/>
          <w:sz w:val="24"/>
          <w:lang w:val="pl-PL"/>
        </w:rPr>
      </w:pPr>
    </w:p>
    <w:p w:rsidR="00AB1DE2" w:rsidRPr="00ED0C6A" w:rsidRDefault="00B65172" w:rsidP="00F11942">
      <w:pPr>
        <w:pStyle w:val="ClinContent"/>
        <w:spacing w:before="0"/>
        <w:rPr>
          <w:rFonts w:asciiTheme="minorHAnsi" w:hAnsiTheme="minorHAnsi"/>
          <w:sz w:val="24"/>
          <w:lang w:val="pl-PL"/>
        </w:rPr>
      </w:pPr>
      <w:r w:rsidRPr="00ED0C6A">
        <w:rPr>
          <w:rFonts w:asciiTheme="minorHAnsi" w:hAnsiTheme="minorHAnsi"/>
          <w:sz w:val="24"/>
          <w:lang w:val="pl-PL"/>
        </w:rPr>
        <w:t>Trybunał przyznał, że w sprawie skarżącego s</w:t>
      </w:r>
      <w:r w:rsidR="00AB1DE2" w:rsidRPr="00ED0C6A">
        <w:rPr>
          <w:rFonts w:asciiTheme="minorHAnsi" w:hAnsiTheme="minorHAnsi"/>
          <w:sz w:val="24"/>
          <w:lang w:val="pl-PL"/>
        </w:rPr>
        <w:t>ądy krajowe prawidłowo zidentyfikowały wchodzące w grę interesy, odnosząc się wyraźnie do prawa skarżącego do poszanowania jego życia prywatnego, jak też mające zastosowanie zasady prawne konieczności, celowości, przejrzystości, zasadności, proporcjonalności oraz bezpieczeństwa, wymienione w</w:t>
      </w:r>
      <w:r w:rsidR="00827554">
        <w:rPr>
          <w:rFonts w:asciiTheme="minorHAnsi" w:hAnsiTheme="minorHAnsi"/>
          <w:sz w:val="24"/>
          <w:lang w:val="pl-PL"/>
        </w:rPr>
        <w:t> </w:t>
      </w:r>
      <w:r w:rsidR="00AB1DE2" w:rsidRPr="00ED0C6A">
        <w:rPr>
          <w:rFonts w:asciiTheme="minorHAnsi" w:hAnsiTheme="minorHAnsi"/>
          <w:i/>
          <w:sz w:val="24"/>
          <w:lang w:val="pl-PL"/>
        </w:rPr>
        <w:t>dyrektywie 95/46/WE Parlamentu Europejskiego i Rady z 24 października 1995 r. w</w:t>
      </w:r>
      <w:r w:rsidR="00E57D35">
        <w:rPr>
          <w:rFonts w:asciiTheme="minorHAnsi" w:hAnsiTheme="minorHAnsi"/>
          <w:i/>
          <w:sz w:val="24"/>
          <w:lang w:val="pl-PL"/>
        </w:rPr>
        <w:t> </w:t>
      </w:r>
      <w:r w:rsidR="00AB1DE2" w:rsidRPr="00ED0C6A">
        <w:rPr>
          <w:rFonts w:asciiTheme="minorHAnsi" w:hAnsiTheme="minorHAnsi"/>
          <w:i/>
          <w:sz w:val="24"/>
          <w:lang w:val="pl-PL"/>
        </w:rPr>
        <w:t>sprawie ochrony osób fizycznych w zakresie przetwarzania danych osobowych oraz</w:t>
      </w:r>
      <w:r w:rsidR="00E57D35">
        <w:rPr>
          <w:rFonts w:asciiTheme="minorHAnsi" w:hAnsiTheme="minorHAnsi"/>
          <w:i/>
          <w:sz w:val="24"/>
          <w:lang w:val="pl-PL"/>
        </w:rPr>
        <w:t> </w:t>
      </w:r>
      <w:r w:rsidR="00AB1DE2" w:rsidRPr="00ED0C6A">
        <w:rPr>
          <w:rFonts w:asciiTheme="minorHAnsi" w:hAnsiTheme="minorHAnsi"/>
          <w:i/>
          <w:sz w:val="24"/>
          <w:lang w:val="pl-PL"/>
        </w:rPr>
        <w:t>swobodnego przepływu tych danych</w:t>
      </w:r>
      <w:r w:rsidR="007B4302" w:rsidRPr="00ED0C6A">
        <w:rPr>
          <w:rStyle w:val="Odwoanieprzypisudolnego"/>
          <w:rFonts w:asciiTheme="minorHAnsi" w:hAnsiTheme="minorHAnsi"/>
          <w:sz w:val="24"/>
          <w:lang w:val="pl-PL"/>
        </w:rPr>
        <w:footnoteReference w:id="5"/>
      </w:r>
      <w:r w:rsidR="00AB1DE2" w:rsidRPr="00ED0C6A">
        <w:rPr>
          <w:rFonts w:asciiTheme="minorHAnsi" w:hAnsiTheme="minorHAnsi"/>
          <w:sz w:val="24"/>
          <w:lang w:val="pl-PL"/>
        </w:rPr>
        <w:t>. Sądy krajowe zbadały ponadto, czy postępowanie dyscyplinarne było prowadzone z poszanowaniem zasady kontradyktoryjności, a także, czy</w:t>
      </w:r>
      <w:r w:rsidR="00E57D35">
        <w:rPr>
          <w:rFonts w:asciiTheme="minorHAnsi" w:hAnsiTheme="minorHAnsi"/>
          <w:sz w:val="24"/>
          <w:lang w:val="pl-PL"/>
        </w:rPr>
        <w:t> </w:t>
      </w:r>
      <w:r w:rsidR="00AB1DE2" w:rsidRPr="00ED0C6A">
        <w:rPr>
          <w:rFonts w:asciiTheme="minorHAnsi" w:hAnsiTheme="minorHAnsi"/>
          <w:sz w:val="24"/>
          <w:lang w:val="pl-PL"/>
        </w:rPr>
        <w:t xml:space="preserve">skarżącemu dano możliwość zaprezentowania swojego stanowiska. </w:t>
      </w:r>
    </w:p>
    <w:p w:rsidR="00B65172" w:rsidRPr="00ED0C6A" w:rsidRDefault="00B65172" w:rsidP="00F11942">
      <w:pPr>
        <w:pStyle w:val="ClinContent"/>
        <w:spacing w:before="0"/>
        <w:rPr>
          <w:rFonts w:asciiTheme="minorHAnsi" w:hAnsiTheme="minorHAnsi"/>
          <w:sz w:val="24"/>
          <w:lang w:val="pl-PL"/>
        </w:rPr>
      </w:pPr>
    </w:p>
    <w:p w:rsidR="00B65172" w:rsidRPr="00ED0C6A" w:rsidRDefault="00B6517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wytknął jednak również poniższe kwestie: </w:t>
      </w:r>
    </w:p>
    <w:p w:rsidR="00B65172" w:rsidRPr="00ED0C6A" w:rsidRDefault="00B65172" w:rsidP="00F11942">
      <w:pPr>
        <w:pStyle w:val="ClinContent"/>
        <w:spacing w:before="0"/>
        <w:rPr>
          <w:rFonts w:asciiTheme="minorHAnsi" w:hAnsiTheme="minorHAnsi"/>
          <w:sz w:val="24"/>
          <w:lang w:val="pl-PL"/>
        </w:rPr>
      </w:pPr>
    </w:p>
    <w:p w:rsidR="00AB1DE2" w:rsidRPr="00ED0C6A" w:rsidRDefault="00B65172" w:rsidP="00F11942">
      <w:pPr>
        <w:pStyle w:val="ClinContent"/>
        <w:spacing w:before="0"/>
        <w:rPr>
          <w:rFonts w:asciiTheme="minorHAnsi" w:hAnsiTheme="minorHAnsi"/>
          <w:sz w:val="24"/>
          <w:lang w:val="pl-PL"/>
        </w:rPr>
      </w:pPr>
      <w:r w:rsidRPr="00ED0C6A">
        <w:rPr>
          <w:rFonts w:asciiTheme="minorHAnsi" w:hAnsiTheme="minorHAnsi"/>
          <w:sz w:val="24"/>
          <w:lang w:val="pl-PL"/>
        </w:rPr>
        <w:t>Po pierwsze, n</w:t>
      </w:r>
      <w:r w:rsidR="00AB1DE2" w:rsidRPr="00ED0C6A">
        <w:rPr>
          <w:rFonts w:asciiTheme="minorHAnsi" w:hAnsiTheme="minorHAnsi"/>
          <w:sz w:val="24"/>
          <w:lang w:val="pl-PL"/>
        </w:rPr>
        <w:t>ie wydaje się, by zainteresowany został poinformowany z góry o zakresie i</w:t>
      </w:r>
      <w:r w:rsidR="00827554">
        <w:rPr>
          <w:rFonts w:asciiTheme="minorHAnsi" w:hAnsiTheme="minorHAnsi"/>
          <w:sz w:val="24"/>
          <w:lang w:val="pl-PL"/>
        </w:rPr>
        <w:t> </w:t>
      </w:r>
      <w:r w:rsidR="00AB1DE2" w:rsidRPr="00ED0C6A">
        <w:rPr>
          <w:rFonts w:asciiTheme="minorHAnsi" w:hAnsiTheme="minorHAnsi"/>
          <w:sz w:val="24"/>
          <w:lang w:val="pl-PL"/>
        </w:rPr>
        <w:t>charakterze monitoringu realizowanego przez przedsiębiorstwo ani też o możliwości posiadania przez nie dostępu do samej treści jego komunikacji. Sądy krajowe zaniechały zbadania, czy skarżący został na wstępie ostrzeżony o możliwości wdrożenia przez</w:t>
      </w:r>
      <w:r w:rsidR="00827554">
        <w:rPr>
          <w:rFonts w:asciiTheme="minorHAnsi" w:hAnsiTheme="minorHAnsi"/>
          <w:sz w:val="24"/>
          <w:lang w:val="pl-PL"/>
        </w:rPr>
        <w:t> </w:t>
      </w:r>
      <w:r w:rsidR="00AB1DE2" w:rsidRPr="00ED0C6A">
        <w:rPr>
          <w:rFonts w:asciiTheme="minorHAnsi" w:hAnsiTheme="minorHAnsi"/>
          <w:sz w:val="24"/>
          <w:lang w:val="pl-PL"/>
        </w:rPr>
        <w:t>pracodawcę środków monitoringu, a także o zakresie i charakterze tych środków. Aby</w:t>
      </w:r>
      <w:r w:rsidR="00827554">
        <w:rPr>
          <w:rFonts w:asciiTheme="minorHAnsi" w:hAnsiTheme="minorHAnsi"/>
          <w:sz w:val="24"/>
          <w:lang w:val="pl-PL"/>
        </w:rPr>
        <w:t> </w:t>
      </w:r>
      <w:r w:rsidR="00AB1DE2" w:rsidRPr="00ED0C6A">
        <w:rPr>
          <w:rFonts w:asciiTheme="minorHAnsi" w:hAnsiTheme="minorHAnsi"/>
          <w:sz w:val="24"/>
          <w:lang w:val="pl-PL"/>
        </w:rPr>
        <w:t>ostrzeżenie pracodawcy mogło byś traktowane jako dokonane na wstępie, musi ono</w:t>
      </w:r>
      <w:r w:rsidR="00E57D35">
        <w:rPr>
          <w:rFonts w:asciiTheme="minorHAnsi" w:hAnsiTheme="minorHAnsi"/>
          <w:sz w:val="24"/>
          <w:lang w:val="pl-PL"/>
        </w:rPr>
        <w:t> </w:t>
      </w:r>
      <w:r w:rsidR="00AB1DE2" w:rsidRPr="00ED0C6A">
        <w:rPr>
          <w:rFonts w:asciiTheme="minorHAnsi" w:hAnsiTheme="minorHAnsi"/>
          <w:sz w:val="24"/>
          <w:lang w:val="pl-PL"/>
        </w:rPr>
        <w:t xml:space="preserve">mieć miejsce przed rozpoczęciem działań w zakresie monitoringu, </w:t>
      </w:r>
      <w:r w:rsidR="00AB1DE2" w:rsidRPr="00ED0C6A">
        <w:rPr>
          <w:rFonts w:asciiTheme="minorHAnsi" w:hAnsiTheme="minorHAnsi"/>
          <w:i/>
          <w:sz w:val="24"/>
          <w:lang w:val="pl-PL"/>
        </w:rPr>
        <w:t xml:space="preserve">a </w:t>
      </w:r>
      <w:proofErr w:type="spellStart"/>
      <w:r w:rsidR="00AB1DE2" w:rsidRPr="00ED0C6A">
        <w:rPr>
          <w:rFonts w:asciiTheme="minorHAnsi" w:hAnsiTheme="minorHAnsi"/>
          <w:i/>
          <w:sz w:val="24"/>
          <w:lang w:val="pl-PL"/>
        </w:rPr>
        <w:t>fortiori</w:t>
      </w:r>
      <w:proofErr w:type="spellEnd"/>
      <w:r w:rsidR="00AB1DE2" w:rsidRPr="00ED0C6A">
        <w:rPr>
          <w:rFonts w:asciiTheme="minorHAnsi" w:hAnsiTheme="minorHAnsi"/>
          <w:i/>
          <w:sz w:val="24"/>
          <w:lang w:val="pl-PL"/>
        </w:rPr>
        <w:t xml:space="preserve"> </w:t>
      </w:r>
      <w:r w:rsidR="00AB1DE2" w:rsidRPr="00ED0C6A">
        <w:rPr>
          <w:rFonts w:asciiTheme="minorHAnsi" w:hAnsiTheme="minorHAnsi"/>
          <w:sz w:val="24"/>
          <w:lang w:val="pl-PL"/>
        </w:rPr>
        <w:t xml:space="preserve">jeśli monitoring oznacza równocześnie dostęp do treści komunikacji pracowników. </w:t>
      </w:r>
    </w:p>
    <w:p w:rsidR="00B65172" w:rsidRPr="00ED0C6A" w:rsidRDefault="00B65172" w:rsidP="00F11942">
      <w:pPr>
        <w:pStyle w:val="ClinContent"/>
        <w:spacing w:before="0"/>
        <w:rPr>
          <w:rFonts w:asciiTheme="minorHAnsi" w:hAnsiTheme="minorHAnsi"/>
          <w:sz w:val="24"/>
          <w:lang w:val="pl-PL"/>
        </w:rPr>
      </w:pPr>
    </w:p>
    <w:p w:rsidR="00AB1DE2" w:rsidRPr="00ED0C6A" w:rsidRDefault="00B65172" w:rsidP="00F11942">
      <w:pPr>
        <w:pStyle w:val="ClinContent"/>
        <w:spacing w:before="0"/>
        <w:rPr>
          <w:rFonts w:asciiTheme="minorHAnsi" w:hAnsiTheme="minorHAnsi"/>
          <w:sz w:val="24"/>
          <w:lang w:val="pl-PL"/>
        </w:rPr>
      </w:pPr>
      <w:r w:rsidRPr="00ED0C6A">
        <w:rPr>
          <w:rFonts w:asciiTheme="minorHAnsi" w:hAnsiTheme="minorHAnsi"/>
          <w:sz w:val="24"/>
          <w:lang w:val="pl-PL"/>
        </w:rPr>
        <w:t>Ponadto, k</w:t>
      </w:r>
      <w:r w:rsidR="00AB1DE2" w:rsidRPr="00ED0C6A">
        <w:rPr>
          <w:rFonts w:asciiTheme="minorHAnsi" w:hAnsiTheme="minorHAnsi"/>
          <w:sz w:val="24"/>
          <w:lang w:val="pl-PL"/>
        </w:rPr>
        <w:t>westia zakresu wykonywanego monitoringu i stopnia ingerencji w życie prywatne skarżącego nie została zbadana przez żaden sąd krajowy, chociaż, jak się wydaje, pracodawca zarejestrował w czasie rzeczywistym całość komunikacji wysyłanej przez skarżącego w</w:t>
      </w:r>
      <w:r w:rsidR="00827554">
        <w:rPr>
          <w:rFonts w:asciiTheme="minorHAnsi" w:hAnsiTheme="minorHAnsi"/>
          <w:sz w:val="24"/>
          <w:lang w:val="pl-PL"/>
        </w:rPr>
        <w:t> </w:t>
      </w:r>
      <w:r w:rsidR="00AB1DE2" w:rsidRPr="00ED0C6A">
        <w:rPr>
          <w:rFonts w:asciiTheme="minorHAnsi" w:hAnsiTheme="minorHAnsi"/>
          <w:sz w:val="24"/>
          <w:lang w:val="pl-PL"/>
        </w:rPr>
        <w:t xml:space="preserve">okresie prowadzenia monitoringu, miał do niej dostęp i wydrukował jej treść.  </w:t>
      </w:r>
    </w:p>
    <w:p w:rsidR="00B65172" w:rsidRPr="00ED0C6A" w:rsidRDefault="00B65172"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Sądy krajowe nie zweryfikowały </w:t>
      </w:r>
      <w:r w:rsidR="00B65172" w:rsidRPr="00ED0C6A">
        <w:rPr>
          <w:rFonts w:asciiTheme="minorHAnsi" w:hAnsiTheme="minorHAnsi"/>
          <w:sz w:val="24"/>
          <w:lang w:val="pl-PL"/>
        </w:rPr>
        <w:t xml:space="preserve">też </w:t>
      </w:r>
      <w:r w:rsidRPr="00ED0C6A">
        <w:rPr>
          <w:rFonts w:asciiTheme="minorHAnsi" w:hAnsiTheme="minorHAnsi"/>
          <w:sz w:val="24"/>
          <w:lang w:val="pl-PL"/>
        </w:rPr>
        <w:t>w stopniu wystarczającym, czy zachodziły uprawnione powody uzasadniające wdrożenie monitoringu komunikacji skarżącego. Zresztą, ani</w:t>
      </w:r>
      <w:r w:rsidR="00827554">
        <w:rPr>
          <w:rFonts w:asciiTheme="minorHAnsi" w:hAnsiTheme="minorHAnsi"/>
          <w:sz w:val="24"/>
          <w:lang w:val="pl-PL"/>
        </w:rPr>
        <w:t> </w:t>
      </w:r>
      <w:r w:rsidRPr="00ED0C6A">
        <w:rPr>
          <w:rFonts w:asciiTheme="minorHAnsi" w:hAnsiTheme="minorHAnsi"/>
          <w:sz w:val="24"/>
          <w:lang w:val="pl-PL"/>
        </w:rPr>
        <w:t>sąd</w:t>
      </w:r>
      <w:r w:rsidR="00827554">
        <w:rPr>
          <w:rFonts w:asciiTheme="minorHAnsi" w:hAnsiTheme="minorHAnsi"/>
          <w:sz w:val="24"/>
          <w:lang w:val="pl-PL"/>
        </w:rPr>
        <w:t> </w:t>
      </w:r>
      <w:r w:rsidRPr="00ED0C6A">
        <w:rPr>
          <w:rFonts w:asciiTheme="minorHAnsi" w:hAnsiTheme="minorHAnsi"/>
          <w:sz w:val="24"/>
          <w:lang w:val="pl-PL"/>
        </w:rPr>
        <w:t>okręgowy, ani sąd apelacyjny nie zbadały w sposób wystarczający kwestii, czy</w:t>
      </w:r>
      <w:r w:rsidR="00827554">
        <w:rPr>
          <w:rFonts w:asciiTheme="minorHAnsi" w:hAnsiTheme="minorHAnsi"/>
          <w:sz w:val="24"/>
          <w:lang w:val="pl-PL"/>
        </w:rPr>
        <w:t> </w:t>
      </w:r>
      <w:r w:rsidRPr="00ED0C6A">
        <w:rPr>
          <w:rFonts w:asciiTheme="minorHAnsi" w:hAnsiTheme="minorHAnsi"/>
          <w:sz w:val="24"/>
          <w:lang w:val="pl-PL"/>
        </w:rPr>
        <w:t>cel</w:t>
      </w:r>
      <w:r w:rsidR="00827554">
        <w:rPr>
          <w:rFonts w:asciiTheme="minorHAnsi" w:hAnsiTheme="minorHAnsi"/>
          <w:sz w:val="24"/>
          <w:lang w:val="pl-PL"/>
        </w:rPr>
        <w:t> </w:t>
      </w:r>
      <w:r w:rsidRPr="00ED0C6A">
        <w:rPr>
          <w:rFonts w:asciiTheme="minorHAnsi" w:hAnsiTheme="minorHAnsi"/>
          <w:sz w:val="24"/>
          <w:lang w:val="pl-PL"/>
        </w:rPr>
        <w:t xml:space="preserve">realizowany przez pracodawcę nie mógł zostać osiągnięty mniej ingerującymi metodami niż dostęp do samej treści komunikacji skarżącego. </w:t>
      </w:r>
    </w:p>
    <w:p w:rsidR="00B65172" w:rsidRPr="00ED0C6A" w:rsidRDefault="00B65172"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Ponadto żaden sąd nie zbadał powagi konsekwencji środków monitoringu i prowadzonego następnie postępowania dyscyplinarnego.</w:t>
      </w:r>
      <w:r w:rsidRPr="00ED0C6A">
        <w:rPr>
          <w:rFonts w:asciiTheme="minorHAnsi" w:hAnsiTheme="minorHAnsi"/>
          <w:b/>
          <w:sz w:val="24"/>
          <w:lang w:val="pl-PL"/>
        </w:rPr>
        <w:t xml:space="preserve"> </w:t>
      </w:r>
      <w:r w:rsidRPr="00ED0C6A">
        <w:rPr>
          <w:rFonts w:asciiTheme="minorHAnsi" w:hAnsiTheme="minorHAnsi"/>
          <w:sz w:val="24"/>
          <w:lang w:val="pl-PL"/>
        </w:rPr>
        <w:t>W tym</w:t>
      </w:r>
      <w:r w:rsidRPr="00ED0C6A">
        <w:rPr>
          <w:rFonts w:asciiTheme="minorHAnsi" w:hAnsiTheme="minorHAnsi"/>
          <w:b/>
          <w:sz w:val="24"/>
          <w:lang w:val="pl-PL"/>
        </w:rPr>
        <w:t xml:space="preserve"> </w:t>
      </w:r>
      <w:r w:rsidRPr="00ED0C6A">
        <w:rPr>
          <w:rFonts w:asciiTheme="minorHAnsi" w:hAnsiTheme="minorHAnsi"/>
          <w:sz w:val="24"/>
          <w:lang w:val="pl-PL"/>
        </w:rPr>
        <w:t xml:space="preserve">względzie wobec skarżącego zastosowano najsurowszy możliwy środek dyscyplinarny, to jest zwolnienie. </w:t>
      </w:r>
    </w:p>
    <w:p w:rsidR="00B65172" w:rsidRPr="00ED0C6A" w:rsidRDefault="00B65172" w:rsidP="00F11942">
      <w:pPr>
        <w:pStyle w:val="ClinContent"/>
        <w:spacing w:before="0"/>
        <w:rPr>
          <w:rFonts w:asciiTheme="minorHAnsi" w:hAnsiTheme="minorHAnsi"/>
          <w:b/>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Sędziowie krajowi nie zbadali</w:t>
      </w:r>
      <w:r w:rsidR="00B65172" w:rsidRPr="00ED0C6A">
        <w:rPr>
          <w:rFonts w:asciiTheme="minorHAnsi" w:hAnsiTheme="minorHAnsi"/>
          <w:sz w:val="24"/>
          <w:lang w:val="pl-PL"/>
        </w:rPr>
        <w:t xml:space="preserve"> też</w:t>
      </w:r>
      <w:r w:rsidRPr="00ED0C6A">
        <w:rPr>
          <w:rFonts w:asciiTheme="minorHAnsi" w:hAnsiTheme="minorHAnsi"/>
          <w:sz w:val="24"/>
          <w:lang w:val="pl-PL"/>
        </w:rPr>
        <w:t>, czy pracodawca nie miał już dostępu do treści przedmiotowych komunikacji w czasie, gdy wezwał on skarżącego do udzielenia wyjaśnień w</w:t>
      </w:r>
      <w:r w:rsidR="00827554">
        <w:rPr>
          <w:rFonts w:asciiTheme="minorHAnsi" w:hAnsiTheme="minorHAnsi"/>
          <w:sz w:val="24"/>
          <w:lang w:val="pl-PL"/>
        </w:rPr>
        <w:t> </w:t>
      </w:r>
      <w:r w:rsidRPr="00ED0C6A">
        <w:rPr>
          <w:rFonts w:asciiTheme="minorHAnsi" w:hAnsiTheme="minorHAnsi"/>
          <w:sz w:val="24"/>
          <w:lang w:val="pl-PL"/>
        </w:rPr>
        <w:t>sprawie korzystania przez niego z zasobów przedsiębiorstwa, a w szczególności internetu. Władze krajowe nie ustaliły też w żaden sposób, w którym momencie postępowania dyscyplinarnego pracodawca miał dostęp do tych treści. Dopuszczenie możliwości dostępu do treści korespondencji w dowolnym momencie postępowania dyscyplinarnego jest</w:t>
      </w:r>
      <w:r w:rsidR="00827554">
        <w:rPr>
          <w:rFonts w:asciiTheme="minorHAnsi" w:hAnsiTheme="minorHAnsi"/>
          <w:sz w:val="24"/>
          <w:lang w:val="pl-PL"/>
        </w:rPr>
        <w:t> </w:t>
      </w:r>
      <w:r w:rsidRPr="00ED0C6A">
        <w:rPr>
          <w:rFonts w:asciiTheme="minorHAnsi" w:hAnsiTheme="minorHAnsi"/>
          <w:sz w:val="24"/>
          <w:lang w:val="pl-PL"/>
        </w:rPr>
        <w:t>sprzeczne z zasadą przejrzystości (</w:t>
      </w:r>
      <w:r w:rsidRPr="00ED0C6A">
        <w:rPr>
          <w:rFonts w:asciiTheme="minorHAnsi" w:hAnsiTheme="minorHAnsi"/>
          <w:i/>
          <w:sz w:val="24"/>
          <w:lang w:val="pl-PL"/>
        </w:rPr>
        <w:t>Rekomendacja CM/</w:t>
      </w:r>
      <w:proofErr w:type="spellStart"/>
      <w:r w:rsidRPr="00ED0C6A">
        <w:rPr>
          <w:rFonts w:asciiTheme="minorHAnsi" w:hAnsiTheme="minorHAnsi"/>
          <w:i/>
          <w:sz w:val="24"/>
          <w:lang w:val="pl-PL"/>
        </w:rPr>
        <w:t>Rec</w:t>
      </w:r>
      <w:proofErr w:type="spellEnd"/>
      <w:r w:rsidRPr="00ED0C6A">
        <w:rPr>
          <w:rFonts w:asciiTheme="minorHAnsi" w:hAnsiTheme="minorHAnsi"/>
          <w:i/>
          <w:sz w:val="24"/>
          <w:lang w:val="pl-PL"/>
        </w:rPr>
        <w:t>(2015)5</w:t>
      </w:r>
      <w:r w:rsidRPr="00ED0C6A">
        <w:rPr>
          <w:rStyle w:val="Hipercze"/>
          <w:rFonts w:asciiTheme="minorHAnsi" w:hAnsiTheme="minorHAnsi"/>
          <w:i/>
          <w:sz w:val="24"/>
          <w:u w:val="none"/>
          <w:lang w:val="pl-PL"/>
        </w:rPr>
        <w:t xml:space="preserve"> </w:t>
      </w:r>
      <w:r w:rsidRPr="00ED0C6A">
        <w:rPr>
          <w:rFonts w:asciiTheme="minorHAnsi" w:hAnsiTheme="minorHAnsi"/>
          <w:bCs/>
          <w:i/>
          <w:sz w:val="24"/>
          <w:lang w:val="pl-PL"/>
        </w:rPr>
        <w:t>Komitetu Ministrów dla Państw Członkowskich na temat ochrony danych osobowych wykorzystywanych dla celów zatrudnienia</w:t>
      </w:r>
      <w:r w:rsidRPr="00ED0C6A">
        <w:rPr>
          <w:rStyle w:val="Odwoanieprzypisudolnego"/>
          <w:rFonts w:asciiTheme="minorHAnsi" w:eastAsiaTheme="majorEastAsia" w:hAnsiTheme="minorHAnsi"/>
          <w:sz w:val="24"/>
          <w:lang w:val="pl-PL"/>
        </w:rPr>
        <w:footnoteReference w:id="6"/>
      </w:r>
      <w:r w:rsidRPr="00ED0C6A">
        <w:rPr>
          <w:rFonts w:asciiTheme="minorHAnsi" w:hAnsiTheme="minorHAnsi"/>
          <w:sz w:val="24"/>
          <w:lang w:val="pl-PL"/>
        </w:rPr>
        <w:t>).</w:t>
      </w:r>
    </w:p>
    <w:p w:rsidR="00B65172" w:rsidRPr="00ED0C6A" w:rsidRDefault="00B65172" w:rsidP="00F11942">
      <w:pPr>
        <w:pStyle w:val="ClinContent"/>
        <w:spacing w:before="0"/>
        <w:rPr>
          <w:rFonts w:asciiTheme="minorHAnsi" w:hAnsiTheme="minorHAnsi"/>
          <w:sz w:val="24"/>
          <w:lang w:val="pl-PL"/>
        </w:rPr>
      </w:pPr>
    </w:p>
    <w:p w:rsidR="00AB1DE2" w:rsidRPr="00ED0C6A" w:rsidRDefault="00BB6EDA" w:rsidP="00F11942">
      <w:pPr>
        <w:pStyle w:val="ClinContent"/>
        <w:spacing w:before="0"/>
        <w:rPr>
          <w:rFonts w:asciiTheme="minorHAnsi" w:hAnsiTheme="minorHAnsi"/>
          <w:sz w:val="24"/>
          <w:lang w:val="pl-PL"/>
        </w:rPr>
      </w:pPr>
      <w:r w:rsidRPr="00ED0C6A">
        <w:rPr>
          <w:rFonts w:asciiTheme="minorHAnsi" w:hAnsiTheme="minorHAnsi"/>
          <w:sz w:val="24"/>
          <w:lang w:val="pl-PL"/>
        </w:rPr>
        <w:t>Trybunał podkreślił, że w</w:t>
      </w:r>
      <w:r w:rsidR="00AB1DE2" w:rsidRPr="00ED0C6A">
        <w:rPr>
          <w:rFonts w:asciiTheme="minorHAnsi" w:hAnsiTheme="minorHAnsi"/>
          <w:sz w:val="24"/>
          <w:lang w:val="pl-PL"/>
        </w:rPr>
        <w:t xml:space="preserve"> tych warunkach władze krajowe z jednej strony nie zweryfikowały, czy skarżący został na wstępie ostrzeżony przez pracodawcę o możliwości monitorowania jego komunikacji na Yahoo Messenger, a z drugiej strony nie uwzględniły faktu, że nie został on poinformowany ani o charakterze, ani o zakresie monitoringu, któremu został poddany, ani też o zakresie ingerencji w jego życie prywatne i korespondencję. Ponadto zaniechały one</w:t>
      </w:r>
      <w:r w:rsidR="00E57D35">
        <w:rPr>
          <w:rFonts w:asciiTheme="minorHAnsi" w:hAnsiTheme="minorHAnsi"/>
          <w:sz w:val="24"/>
          <w:lang w:val="pl-PL"/>
        </w:rPr>
        <w:t> </w:t>
      </w:r>
      <w:r w:rsidR="00AB1DE2" w:rsidRPr="00ED0C6A">
        <w:rPr>
          <w:rFonts w:asciiTheme="minorHAnsi" w:hAnsiTheme="minorHAnsi"/>
          <w:sz w:val="24"/>
          <w:lang w:val="pl-PL"/>
        </w:rPr>
        <w:t>ustalenia, po pierwsze, jakie konkretnie powody uzasadniały wdrożenie środków monitoringu, a po drugie, czy pracodawca mógł skorzystać ze środków mniej ingerujących w</w:t>
      </w:r>
      <w:r w:rsidR="00827554">
        <w:rPr>
          <w:rFonts w:asciiTheme="minorHAnsi" w:hAnsiTheme="minorHAnsi"/>
          <w:sz w:val="24"/>
          <w:lang w:val="pl-PL"/>
        </w:rPr>
        <w:t> </w:t>
      </w:r>
      <w:r w:rsidR="00AB1DE2" w:rsidRPr="00ED0C6A">
        <w:rPr>
          <w:rFonts w:asciiTheme="minorHAnsi" w:hAnsiTheme="minorHAnsi"/>
          <w:sz w:val="24"/>
          <w:lang w:val="pl-PL"/>
        </w:rPr>
        <w:t xml:space="preserve">życie prywatne i korespondencję skarżącego, a po trzecie, czy dostęp do treści komunikacji był możliwy bez jego wiedzy. </w:t>
      </w:r>
    </w:p>
    <w:p w:rsidR="00B65172" w:rsidRPr="00ED0C6A" w:rsidRDefault="00B65172" w:rsidP="00F11942">
      <w:pPr>
        <w:pStyle w:val="ClinContent"/>
        <w:spacing w:before="0"/>
        <w:rPr>
          <w:rFonts w:asciiTheme="minorHAnsi" w:hAnsiTheme="minorHAnsi"/>
          <w:sz w:val="24"/>
          <w:lang w:val="pl-PL"/>
        </w:rPr>
      </w:pPr>
    </w:p>
    <w:p w:rsidR="00AB1DE2" w:rsidRPr="00ED0C6A" w:rsidRDefault="00BB6EDA"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 rezultacie Trybunał uznał, że </w:t>
      </w:r>
      <w:r w:rsidR="00AB1DE2" w:rsidRPr="00ED0C6A">
        <w:rPr>
          <w:rFonts w:asciiTheme="minorHAnsi" w:hAnsiTheme="minorHAnsi"/>
          <w:sz w:val="24"/>
          <w:lang w:val="pl-PL"/>
        </w:rPr>
        <w:t>niezależnie od szerokiego marginesu oceny pozwanego Państwa, władze krajowe nie zapewniły w sposób odpowiedni ochrony prawa skarżącego do</w:t>
      </w:r>
      <w:r w:rsidR="00827554">
        <w:rPr>
          <w:rFonts w:asciiTheme="minorHAnsi" w:hAnsiTheme="minorHAnsi"/>
          <w:sz w:val="24"/>
          <w:lang w:val="pl-PL"/>
        </w:rPr>
        <w:t> </w:t>
      </w:r>
      <w:r w:rsidR="00AB1DE2" w:rsidRPr="00ED0C6A">
        <w:rPr>
          <w:rFonts w:asciiTheme="minorHAnsi" w:hAnsiTheme="minorHAnsi"/>
          <w:sz w:val="24"/>
          <w:lang w:val="pl-PL"/>
        </w:rPr>
        <w:t>poszanowania jego życia prywatnego i korespondencji</w:t>
      </w:r>
      <w:r w:rsidRPr="00ED0C6A">
        <w:rPr>
          <w:rFonts w:asciiTheme="minorHAnsi" w:hAnsiTheme="minorHAnsi"/>
          <w:sz w:val="24"/>
          <w:lang w:val="pl-PL"/>
        </w:rPr>
        <w:t xml:space="preserve"> ani też </w:t>
      </w:r>
      <w:r w:rsidR="00AB1DE2" w:rsidRPr="00ED0C6A">
        <w:rPr>
          <w:rFonts w:asciiTheme="minorHAnsi" w:hAnsiTheme="minorHAnsi"/>
          <w:sz w:val="24"/>
          <w:lang w:val="pl-PL"/>
        </w:rPr>
        <w:t xml:space="preserve">słusznej równowagi między wchodzącymi w grę interesami. </w:t>
      </w:r>
      <w:r w:rsidRPr="00ED0C6A">
        <w:rPr>
          <w:rFonts w:asciiTheme="minorHAnsi" w:hAnsiTheme="minorHAnsi"/>
          <w:sz w:val="24"/>
          <w:lang w:val="pl-PL"/>
        </w:rPr>
        <w:t>Trybunał stwierdził zatem, jedenastoma głosami do sześciu, naruszenie art. 8 Konwencji (prawo do poszanowania życia prywatnego i rodzinnego), a</w:t>
      </w:r>
      <w:r w:rsidR="00827554">
        <w:rPr>
          <w:rFonts w:asciiTheme="minorHAnsi" w:hAnsiTheme="minorHAnsi"/>
          <w:sz w:val="24"/>
          <w:lang w:val="pl-PL"/>
        </w:rPr>
        <w:t> </w:t>
      </w:r>
      <w:r w:rsidRPr="00ED0C6A">
        <w:rPr>
          <w:rFonts w:asciiTheme="minorHAnsi" w:hAnsiTheme="minorHAnsi"/>
          <w:sz w:val="24"/>
          <w:lang w:val="pl-PL"/>
        </w:rPr>
        <w:t xml:space="preserve">także uznał, że samo stwierdzenie naruszenia będzie wystarczającym zadośćuczynieniem dla skarżącego za szkodę moralną. </w:t>
      </w:r>
    </w:p>
    <w:p w:rsidR="001D3FE6" w:rsidRPr="00ED0C6A" w:rsidRDefault="001D3FE6" w:rsidP="00F11942">
      <w:pPr>
        <w:pStyle w:val="ClinContent"/>
        <w:spacing w:before="0"/>
        <w:rPr>
          <w:rFonts w:asciiTheme="minorHAnsi" w:hAnsiTheme="minorHAnsi"/>
          <w:sz w:val="24"/>
          <w:lang w:val="pl-PL"/>
        </w:rPr>
      </w:pPr>
    </w:p>
    <w:p w:rsidR="001D3FE6" w:rsidRPr="00ED0C6A" w:rsidRDefault="001D3FE6" w:rsidP="00F11942">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Trybunału dla Polski</w:t>
      </w:r>
      <w:r w:rsidRPr="00ED0C6A">
        <w:rPr>
          <w:rFonts w:asciiTheme="minorHAnsi" w:hAnsiTheme="minorHAnsi"/>
          <w:sz w:val="24"/>
          <w:lang w:val="pl-PL"/>
        </w:rPr>
        <w:t xml:space="preserve">: precedensowy wyrok Wielkiej Izby dotyczący kwestii praw i obowiązków pracodawcy w kontekście </w:t>
      </w:r>
      <w:r w:rsidR="00B35916" w:rsidRPr="00ED0C6A">
        <w:rPr>
          <w:rFonts w:asciiTheme="minorHAnsi" w:hAnsiTheme="minorHAnsi"/>
          <w:sz w:val="24"/>
          <w:lang w:val="pl-PL"/>
        </w:rPr>
        <w:t xml:space="preserve">kontroli </w:t>
      </w:r>
      <w:r w:rsidRPr="00ED0C6A">
        <w:rPr>
          <w:rFonts w:asciiTheme="minorHAnsi" w:hAnsiTheme="minorHAnsi"/>
          <w:sz w:val="24"/>
          <w:lang w:val="pl-PL"/>
        </w:rPr>
        <w:t>wykorzystywania przez pracowników systemów komputerowych pracodawcy w pracy z wykorzystaniem sprzętu lub</w:t>
      </w:r>
      <w:r w:rsidR="00827554">
        <w:rPr>
          <w:rFonts w:asciiTheme="minorHAnsi" w:hAnsiTheme="minorHAnsi"/>
          <w:sz w:val="24"/>
          <w:lang w:val="pl-PL"/>
        </w:rPr>
        <w:t> </w:t>
      </w:r>
      <w:r w:rsidRPr="00ED0C6A">
        <w:rPr>
          <w:rFonts w:asciiTheme="minorHAnsi" w:hAnsiTheme="minorHAnsi"/>
          <w:sz w:val="24"/>
          <w:lang w:val="pl-PL"/>
        </w:rPr>
        <w:t>oprogramowania pracodawcy</w:t>
      </w:r>
      <w:r w:rsidR="00B35916" w:rsidRPr="00ED0C6A">
        <w:rPr>
          <w:rFonts w:asciiTheme="minorHAnsi" w:hAnsiTheme="minorHAnsi"/>
          <w:sz w:val="24"/>
          <w:lang w:val="pl-PL"/>
        </w:rPr>
        <w:t xml:space="preserve"> (w tym przypadku wykorzystywania komunikatora typu </w:t>
      </w:r>
      <w:proofErr w:type="spellStart"/>
      <w:r w:rsidR="00B35916" w:rsidRPr="00ED0C6A">
        <w:rPr>
          <w:rFonts w:asciiTheme="minorHAnsi" w:hAnsiTheme="minorHAnsi"/>
          <w:i/>
          <w:sz w:val="24"/>
          <w:lang w:val="pl-PL"/>
        </w:rPr>
        <w:t>messenger</w:t>
      </w:r>
      <w:proofErr w:type="spellEnd"/>
      <w:r w:rsidR="00B35916" w:rsidRPr="00ED0C6A">
        <w:rPr>
          <w:rFonts w:asciiTheme="minorHAnsi" w:hAnsiTheme="minorHAnsi"/>
          <w:sz w:val="24"/>
          <w:lang w:val="pl-PL"/>
        </w:rPr>
        <w:t>)</w:t>
      </w:r>
      <w:r w:rsidRPr="00ED0C6A">
        <w:rPr>
          <w:rFonts w:asciiTheme="minorHAnsi" w:hAnsiTheme="minorHAnsi"/>
          <w:sz w:val="24"/>
          <w:lang w:val="pl-PL"/>
        </w:rPr>
        <w:t xml:space="preserve">. Z jednej strony Trybunał </w:t>
      </w:r>
      <w:r w:rsidR="00B35916" w:rsidRPr="00ED0C6A">
        <w:rPr>
          <w:rFonts w:asciiTheme="minorHAnsi" w:hAnsiTheme="minorHAnsi"/>
          <w:sz w:val="24"/>
          <w:lang w:val="pl-PL"/>
        </w:rPr>
        <w:t>nie wyklucza możliwości takiej kontroli i nakładania</w:t>
      </w:r>
      <w:r w:rsidRPr="00ED0C6A">
        <w:rPr>
          <w:rFonts w:asciiTheme="minorHAnsi" w:hAnsiTheme="minorHAnsi"/>
          <w:sz w:val="24"/>
          <w:lang w:val="pl-PL"/>
        </w:rPr>
        <w:t xml:space="preserve"> pewnych ograniczeń na pracowników, wskazuje jednocześnie na konieczność zapewnienia, by ograniczenia te nie niweczyły całkowicie gwarancji prawa do prywatności pracowników. W przypadku stosowania przez pracodawców ograniczeń, niezbędne jest zapewnienie stosownych gwarancji, włącznie z obowiązkiem rozważenia </w:t>
      </w:r>
      <w:r w:rsidR="002C7F6D" w:rsidRPr="00ED0C6A">
        <w:rPr>
          <w:rFonts w:asciiTheme="minorHAnsi" w:hAnsiTheme="minorHAnsi"/>
          <w:sz w:val="24"/>
          <w:lang w:val="pl-PL"/>
        </w:rPr>
        <w:t xml:space="preserve">rzeczywistej </w:t>
      </w:r>
      <w:r w:rsidRPr="00ED0C6A">
        <w:rPr>
          <w:rFonts w:asciiTheme="minorHAnsi" w:hAnsiTheme="minorHAnsi"/>
          <w:sz w:val="24"/>
          <w:lang w:val="pl-PL"/>
        </w:rPr>
        <w:t>konieczności stosowania tego typu środków i rozważenia mniej uciążliwych środków alternatywnych, uprzedniego poinformowania pracownika nt. monitorowania jego korespondencji, a także na</w:t>
      </w:r>
      <w:r w:rsidR="00E57D35">
        <w:rPr>
          <w:rFonts w:asciiTheme="minorHAnsi" w:hAnsiTheme="minorHAnsi"/>
          <w:sz w:val="24"/>
          <w:lang w:val="pl-PL"/>
        </w:rPr>
        <w:t> </w:t>
      </w:r>
      <w:r w:rsidRPr="00ED0C6A">
        <w:rPr>
          <w:rFonts w:asciiTheme="minorHAnsi" w:hAnsiTheme="minorHAnsi"/>
          <w:sz w:val="24"/>
          <w:lang w:val="pl-PL"/>
        </w:rPr>
        <w:t>temat jego zakresu</w:t>
      </w:r>
      <w:r w:rsidR="00B35916" w:rsidRPr="00ED0C6A">
        <w:rPr>
          <w:rFonts w:asciiTheme="minorHAnsi" w:hAnsiTheme="minorHAnsi"/>
          <w:sz w:val="24"/>
          <w:lang w:val="pl-PL"/>
        </w:rPr>
        <w:t>, a także wskazania powodów uzasadniających</w:t>
      </w:r>
      <w:r w:rsidRPr="00ED0C6A">
        <w:rPr>
          <w:rFonts w:asciiTheme="minorHAnsi" w:hAnsiTheme="minorHAnsi"/>
          <w:sz w:val="24"/>
          <w:lang w:val="pl-PL"/>
        </w:rPr>
        <w:t>. Stosowane przez</w:t>
      </w:r>
      <w:r w:rsidR="00E57D35">
        <w:rPr>
          <w:rFonts w:asciiTheme="minorHAnsi" w:hAnsiTheme="minorHAnsi"/>
          <w:sz w:val="24"/>
          <w:lang w:val="pl-PL"/>
        </w:rPr>
        <w:t> </w:t>
      </w:r>
      <w:r w:rsidRPr="00ED0C6A">
        <w:rPr>
          <w:rFonts w:asciiTheme="minorHAnsi" w:hAnsiTheme="minorHAnsi"/>
          <w:sz w:val="24"/>
          <w:lang w:val="pl-PL"/>
        </w:rPr>
        <w:t xml:space="preserve">pracodawcę ewentualne sankcje powinny być proporcjonalne. </w:t>
      </w:r>
      <w:r w:rsidR="00B35916" w:rsidRPr="00ED0C6A">
        <w:rPr>
          <w:rFonts w:asciiTheme="minorHAnsi" w:hAnsiTheme="minorHAnsi"/>
          <w:sz w:val="24"/>
          <w:lang w:val="pl-PL"/>
        </w:rPr>
        <w:t xml:space="preserve">Pracownik musi mieć możliwość skorzystania ze środków umożliwiających ocenę prawidłowości działania pracodawcy. </w:t>
      </w:r>
      <w:r w:rsidRPr="00ED0C6A">
        <w:rPr>
          <w:rFonts w:asciiTheme="minorHAnsi" w:hAnsiTheme="minorHAnsi"/>
          <w:sz w:val="24"/>
          <w:lang w:val="pl-PL"/>
        </w:rPr>
        <w:t>Trybunał określił szczegółowe kryteria, według których sądy powinny rozpatrywać ewentualne spory między pracownikiem a pracodawcą</w:t>
      </w:r>
      <w:r w:rsidR="00A90DA3" w:rsidRPr="00ED0C6A">
        <w:rPr>
          <w:rFonts w:asciiTheme="minorHAnsi" w:hAnsiTheme="minorHAnsi"/>
          <w:sz w:val="24"/>
          <w:lang w:val="pl-PL"/>
        </w:rPr>
        <w:t xml:space="preserve"> (warto uwzględnić te</w:t>
      </w:r>
      <w:r w:rsidR="00827554">
        <w:rPr>
          <w:rFonts w:asciiTheme="minorHAnsi" w:hAnsiTheme="minorHAnsi"/>
          <w:sz w:val="24"/>
          <w:lang w:val="pl-PL"/>
        </w:rPr>
        <w:t> </w:t>
      </w:r>
      <w:r w:rsidR="00A90DA3" w:rsidRPr="00ED0C6A">
        <w:rPr>
          <w:rFonts w:asciiTheme="minorHAnsi" w:hAnsiTheme="minorHAnsi"/>
          <w:sz w:val="24"/>
          <w:lang w:val="pl-PL"/>
        </w:rPr>
        <w:t>kryteria w prowadzonych działaniach szkoleniowych)</w:t>
      </w:r>
      <w:r w:rsidRPr="00ED0C6A">
        <w:rPr>
          <w:rFonts w:asciiTheme="minorHAnsi" w:hAnsiTheme="minorHAnsi"/>
          <w:sz w:val="24"/>
          <w:lang w:val="pl-PL"/>
        </w:rPr>
        <w:t xml:space="preserve">. </w:t>
      </w:r>
    </w:p>
    <w:p w:rsidR="001D3FE6" w:rsidRPr="00ED0C6A" w:rsidRDefault="001D3FE6" w:rsidP="00F11942">
      <w:pPr>
        <w:pStyle w:val="ClinContent"/>
        <w:spacing w:before="0"/>
        <w:rPr>
          <w:rFonts w:asciiTheme="minorHAnsi" w:hAnsiTheme="minorHAnsi"/>
          <w:sz w:val="24"/>
          <w:lang w:val="pl-PL"/>
        </w:rPr>
      </w:pPr>
    </w:p>
    <w:p w:rsidR="001D3FE6" w:rsidRPr="00ED0C6A" w:rsidRDefault="001D3FE6" w:rsidP="00F11942">
      <w:pPr>
        <w:pStyle w:val="ClinContent"/>
        <w:spacing w:before="0"/>
        <w:rPr>
          <w:rFonts w:asciiTheme="minorHAnsi" w:hAnsiTheme="minorHAnsi"/>
          <w:sz w:val="24"/>
          <w:lang w:val="pl-PL"/>
        </w:rPr>
      </w:pPr>
      <w:r w:rsidRPr="00ED0C6A">
        <w:rPr>
          <w:rFonts w:asciiTheme="minorHAnsi" w:hAnsiTheme="minorHAnsi"/>
          <w:sz w:val="24"/>
          <w:lang w:val="pl-PL"/>
        </w:rPr>
        <w:t>Wyrok może mieć znaczenie dla wszystkich pracodawców, tak publicznych, jak i prywatnych</w:t>
      </w:r>
      <w:r w:rsidR="00E82F19" w:rsidRPr="00ED0C6A">
        <w:rPr>
          <w:rFonts w:asciiTheme="minorHAnsi" w:hAnsiTheme="minorHAnsi"/>
          <w:sz w:val="24"/>
          <w:lang w:val="pl-PL"/>
        </w:rPr>
        <w:t>,</w:t>
      </w:r>
      <w:r w:rsidRPr="00ED0C6A">
        <w:rPr>
          <w:rFonts w:asciiTheme="minorHAnsi" w:hAnsiTheme="minorHAnsi"/>
          <w:sz w:val="24"/>
          <w:lang w:val="pl-PL"/>
        </w:rPr>
        <w:t xml:space="preserve"> stosujących kontrolę wykorzystania ich systemów komputerowych przez pracowników, dla</w:t>
      </w:r>
      <w:r w:rsidR="00827554">
        <w:rPr>
          <w:rFonts w:asciiTheme="minorHAnsi" w:hAnsiTheme="minorHAnsi"/>
          <w:sz w:val="24"/>
          <w:lang w:val="pl-PL"/>
        </w:rPr>
        <w:t> </w:t>
      </w:r>
      <w:r w:rsidR="005505BF" w:rsidRPr="00ED0C6A">
        <w:rPr>
          <w:rFonts w:asciiTheme="minorHAnsi" w:hAnsiTheme="minorHAnsi"/>
          <w:sz w:val="24"/>
          <w:lang w:val="pl-PL"/>
        </w:rPr>
        <w:t>organów właściwych ds. uregulowań prawnych i kontroli prawa w tym obszarze, organów właściwych ds. systemów informatycznych i cyfryzacji</w:t>
      </w:r>
      <w:r w:rsidRPr="00ED0C6A">
        <w:rPr>
          <w:rFonts w:asciiTheme="minorHAnsi" w:hAnsiTheme="minorHAnsi"/>
          <w:sz w:val="24"/>
          <w:lang w:val="pl-PL"/>
        </w:rPr>
        <w:t xml:space="preserve">, a także dla sądów pracy i innych oceniających stosowane gwarancje. </w:t>
      </w:r>
    </w:p>
    <w:p w:rsidR="00AB1DE2" w:rsidRPr="00ED0C6A" w:rsidRDefault="00AB1DE2" w:rsidP="00501E16">
      <w:pPr>
        <w:pStyle w:val="Nagwek2"/>
        <w:spacing w:before="480"/>
        <w:rPr>
          <w:rFonts w:asciiTheme="minorHAnsi" w:hAnsiTheme="minorHAnsi"/>
          <w:color w:val="auto"/>
          <w:sz w:val="24"/>
          <w:szCs w:val="24"/>
        </w:rPr>
      </w:pPr>
      <w:bookmarkStart w:id="5" w:name="_Toc524696724"/>
      <w:r w:rsidRPr="00ED0C6A">
        <w:rPr>
          <w:rFonts w:asciiTheme="minorHAnsi" w:hAnsiTheme="minorHAnsi"/>
          <w:color w:val="auto"/>
          <w:sz w:val="24"/>
          <w:szCs w:val="24"/>
        </w:rPr>
        <w:t>Becker p. Norwegii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21272/12</w:t>
      </w:r>
      <w:r w:rsidR="00501E16"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094458" w:rsidRPr="00ED0C6A">
        <w:rPr>
          <w:rFonts w:asciiTheme="minorHAnsi" w:hAnsiTheme="minorHAnsi"/>
          <w:color w:val="auto"/>
          <w:sz w:val="24"/>
          <w:szCs w:val="24"/>
        </w:rPr>
        <w:t xml:space="preserve">Izby z </w:t>
      </w:r>
      <w:r w:rsidR="00B4260D" w:rsidRPr="00ED0C6A">
        <w:rPr>
          <w:rFonts w:asciiTheme="minorHAnsi" w:hAnsiTheme="minorHAnsi"/>
          <w:color w:val="auto"/>
          <w:sz w:val="24"/>
          <w:szCs w:val="24"/>
        </w:rPr>
        <w:t xml:space="preserve">5 października </w:t>
      </w:r>
      <w:r w:rsidR="00094458" w:rsidRPr="00ED0C6A">
        <w:rPr>
          <w:rFonts w:asciiTheme="minorHAnsi" w:hAnsiTheme="minorHAnsi"/>
          <w:color w:val="auto"/>
          <w:sz w:val="24"/>
          <w:szCs w:val="24"/>
        </w:rPr>
        <w:t>2017 r.</w:t>
      </w:r>
      <w:r w:rsidR="00DB5295" w:rsidRPr="00ED0C6A">
        <w:rPr>
          <w:rFonts w:asciiTheme="minorHAnsi" w:hAnsiTheme="minorHAnsi"/>
          <w:color w:val="auto"/>
          <w:sz w:val="24"/>
          <w:szCs w:val="24"/>
        </w:rPr>
        <w:t>, ostateczny</w:t>
      </w:r>
      <w:bookmarkEnd w:id="5"/>
    </w:p>
    <w:p w:rsidR="00AB1DE2" w:rsidRPr="00ED0C6A" w:rsidRDefault="00AB1DE2"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C57095" w:rsidRPr="00ED0C6A">
        <w:rPr>
          <w:b/>
          <w:color w:val="000000" w:themeColor="text1"/>
          <w:sz w:val="24"/>
          <w:szCs w:val="24"/>
          <w:lang w:val="pl-PL"/>
        </w:rPr>
        <w:t xml:space="preserve"> art. 10 Konwencji (wolność wyrażania opinii – aspekty wolności przekazywania i otrzymywania informacji) w odniesieniu do zmuszenia dziennikarki do</w:t>
      </w:r>
      <w:r w:rsidR="00827554">
        <w:rPr>
          <w:b/>
          <w:color w:val="000000" w:themeColor="text1"/>
          <w:sz w:val="24"/>
          <w:szCs w:val="24"/>
          <w:lang w:val="pl-PL"/>
        </w:rPr>
        <w:t> </w:t>
      </w:r>
      <w:r w:rsidR="00C57095" w:rsidRPr="00ED0C6A">
        <w:rPr>
          <w:b/>
          <w:color w:val="000000" w:themeColor="text1"/>
          <w:sz w:val="24"/>
          <w:szCs w:val="24"/>
          <w:lang w:val="pl-PL"/>
        </w:rPr>
        <w:t>złożenia zeznań przeciwko osobie będącej źródłem informacji, która już się ujawniła</w:t>
      </w:r>
    </w:p>
    <w:p w:rsidR="009E233F" w:rsidRPr="00ED0C6A" w:rsidRDefault="009E233F" w:rsidP="009E233F">
      <w:pPr>
        <w:pStyle w:val="ClinContent"/>
        <w:spacing w:before="0"/>
        <w:rPr>
          <w:rFonts w:asciiTheme="minorHAnsi" w:hAnsiTheme="minorHAnsi"/>
          <w:sz w:val="24"/>
          <w:lang w:val="pl-PL"/>
        </w:rPr>
      </w:pPr>
      <w:r w:rsidRPr="00ED0C6A">
        <w:rPr>
          <w:rFonts w:asciiTheme="minorHAnsi" w:hAnsiTheme="minorHAnsi"/>
          <w:sz w:val="24"/>
          <w:lang w:val="pl-PL"/>
        </w:rPr>
        <w:t>W sierpniu 2007 r. skarżąca, dziennikarka, napisała artykuł dotyczący spółki notowanej na</w:t>
      </w:r>
      <w:r w:rsidR="00E57D35">
        <w:rPr>
          <w:rFonts w:asciiTheme="minorHAnsi" w:hAnsiTheme="minorHAnsi"/>
          <w:sz w:val="24"/>
          <w:lang w:val="pl-PL"/>
        </w:rPr>
        <w:t> </w:t>
      </w:r>
      <w:r w:rsidRPr="00ED0C6A">
        <w:rPr>
          <w:rFonts w:asciiTheme="minorHAnsi" w:hAnsiTheme="minorHAnsi"/>
          <w:sz w:val="24"/>
          <w:lang w:val="pl-PL"/>
        </w:rPr>
        <w:t xml:space="preserve">giełdzie na podstawie rozmowy telefonicznej z panem X oraz listu sporządzonego przez adwokata. W czerwcu 2010 r. pan X został </w:t>
      </w:r>
      <w:r w:rsidR="0087151F" w:rsidRPr="00ED0C6A">
        <w:rPr>
          <w:rFonts w:asciiTheme="minorHAnsi" w:hAnsiTheme="minorHAnsi"/>
          <w:sz w:val="24"/>
          <w:lang w:val="pl-PL"/>
        </w:rPr>
        <w:t>oskarżony o</w:t>
      </w:r>
      <w:r w:rsidRPr="00ED0C6A">
        <w:rPr>
          <w:rFonts w:asciiTheme="minorHAnsi" w:hAnsiTheme="minorHAnsi"/>
          <w:sz w:val="24"/>
          <w:lang w:val="pl-PL"/>
        </w:rPr>
        <w:t xml:space="preserve"> manipulacje na rynku i</w:t>
      </w:r>
      <w:r w:rsidR="00827554">
        <w:rPr>
          <w:rFonts w:asciiTheme="minorHAnsi" w:hAnsiTheme="minorHAnsi"/>
          <w:sz w:val="24"/>
          <w:lang w:val="pl-PL"/>
        </w:rPr>
        <w:t> </w:t>
      </w:r>
      <w:r w:rsidRPr="00ED0C6A">
        <w:rPr>
          <w:rFonts w:asciiTheme="minorHAnsi" w:hAnsiTheme="minorHAnsi"/>
          <w:sz w:val="24"/>
          <w:lang w:val="pl-PL"/>
        </w:rPr>
        <w:t xml:space="preserve">wykorzystywanie poufnych informacji do transakcji giełdowych. </w:t>
      </w:r>
      <w:r w:rsidR="0087151F" w:rsidRPr="00ED0C6A">
        <w:rPr>
          <w:rFonts w:asciiTheme="minorHAnsi" w:hAnsiTheme="minorHAnsi"/>
          <w:sz w:val="24"/>
          <w:lang w:val="pl-PL"/>
        </w:rPr>
        <w:t>Postawiono mu zarzut zwrócenia się</w:t>
      </w:r>
      <w:r w:rsidRPr="00ED0C6A">
        <w:rPr>
          <w:rFonts w:asciiTheme="minorHAnsi" w:hAnsiTheme="minorHAnsi"/>
          <w:sz w:val="24"/>
          <w:lang w:val="pl-PL"/>
        </w:rPr>
        <w:t xml:space="preserve"> do adwokata o sporządzenie listu, który sprawiał wrażenie, jakby został napisany w imieniu licznych posiadaczy obligacji zaniepokojonych płynnością, finansami i</w:t>
      </w:r>
      <w:r w:rsidR="00827554">
        <w:rPr>
          <w:rFonts w:asciiTheme="minorHAnsi" w:hAnsiTheme="minorHAnsi"/>
          <w:sz w:val="24"/>
          <w:lang w:val="pl-PL"/>
        </w:rPr>
        <w:t> </w:t>
      </w:r>
      <w:r w:rsidRPr="00ED0C6A">
        <w:rPr>
          <w:rFonts w:asciiTheme="minorHAnsi" w:hAnsiTheme="minorHAnsi"/>
          <w:sz w:val="24"/>
          <w:lang w:val="pl-PL"/>
        </w:rPr>
        <w:t xml:space="preserve">przyszłością spółki, podczas gdy w rzeczywistości został on napisany w imieniu jedynie </w:t>
      </w:r>
      <w:r w:rsidR="0087151F" w:rsidRPr="00ED0C6A">
        <w:rPr>
          <w:rFonts w:asciiTheme="minorHAnsi" w:hAnsiTheme="minorHAnsi"/>
          <w:sz w:val="24"/>
          <w:lang w:val="pl-PL"/>
        </w:rPr>
        <w:t>p</w:t>
      </w:r>
      <w:r w:rsidRPr="00ED0C6A">
        <w:rPr>
          <w:rFonts w:asciiTheme="minorHAnsi" w:hAnsiTheme="minorHAnsi"/>
          <w:sz w:val="24"/>
          <w:lang w:val="pl-PL"/>
        </w:rPr>
        <w:t xml:space="preserve">ana X, który posiadał jedną, niedawno nabytą obligację. Po publikacji artykułu skarżącej cena akcji spółki spadła. </w:t>
      </w:r>
    </w:p>
    <w:p w:rsidR="009A3576" w:rsidRPr="00ED0C6A" w:rsidRDefault="009A3576" w:rsidP="009E233F">
      <w:pPr>
        <w:pStyle w:val="ClinContent"/>
        <w:spacing w:before="0"/>
        <w:rPr>
          <w:rFonts w:asciiTheme="minorHAnsi" w:hAnsiTheme="minorHAnsi"/>
          <w:sz w:val="24"/>
          <w:lang w:val="pl-PL"/>
        </w:rPr>
      </w:pPr>
    </w:p>
    <w:p w:rsidR="009A3576" w:rsidRPr="00ED0C6A" w:rsidRDefault="009E233F" w:rsidP="009E233F">
      <w:pPr>
        <w:pStyle w:val="ClinContent"/>
        <w:spacing w:before="0"/>
        <w:rPr>
          <w:rFonts w:asciiTheme="minorHAnsi" w:hAnsiTheme="minorHAnsi"/>
          <w:sz w:val="24"/>
          <w:lang w:val="pl-PL"/>
        </w:rPr>
      </w:pPr>
      <w:r w:rsidRPr="00ED0C6A">
        <w:rPr>
          <w:rFonts w:asciiTheme="minorHAnsi" w:hAnsiTheme="minorHAnsi"/>
          <w:sz w:val="24"/>
          <w:lang w:val="pl-PL"/>
        </w:rPr>
        <w:t>Skarżąca została następnie przesłuchana przez policję, która poinformowała ją, że pan X przyznał się do wręczenia jej listu. Skarżąca stwierdziła, że jest gotowa oświadczyć, że</w:t>
      </w:r>
      <w:r w:rsidR="00E57D35">
        <w:rPr>
          <w:rFonts w:asciiTheme="minorHAnsi" w:hAnsiTheme="minorHAnsi"/>
          <w:sz w:val="24"/>
          <w:lang w:val="pl-PL"/>
        </w:rPr>
        <w:t> </w:t>
      </w:r>
      <w:r w:rsidRPr="00ED0C6A">
        <w:rPr>
          <w:rFonts w:asciiTheme="minorHAnsi" w:hAnsiTheme="minorHAnsi"/>
          <w:sz w:val="24"/>
          <w:lang w:val="pl-PL"/>
        </w:rPr>
        <w:t xml:space="preserve">otrzymała list, ale odmówiła podania dodatkowych informacji, powołując się na ochronę źródeł dziennikarskich. Podczas postępowania karnego przeciwko panu X skarżąca została </w:t>
      </w:r>
      <w:r w:rsidR="009A3576" w:rsidRPr="00ED0C6A">
        <w:rPr>
          <w:rFonts w:asciiTheme="minorHAnsi" w:hAnsiTheme="minorHAnsi"/>
          <w:sz w:val="24"/>
          <w:lang w:val="pl-PL"/>
        </w:rPr>
        <w:t xml:space="preserve">jednak </w:t>
      </w:r>
      <w:r w:rsidRPr="00ED0C6A">
        <w:rPr>
          <w:rFonts w:asciiTheme="minorHAnsi" w:hAnsiTheme="minorHAnsi"/>
          <w:sz w:val="24"/>
          <w:lang w:val="pl-PL"/>
        </w:rPr>
        <w:t xml:space="preserve">wezwana jako świadek. Odmówiła składania zeznań, powołując się na prawo krajowe oraz art. 10 Konwencji. </w:t>
      </w:r>
    </w:p>
    <w:p w:rsidR="009A3576" w:rsidRPr="00ED0C6A" w:rsidRDefault="009A3576" w:rsidP="009E233F">
      <w:pPr>
        <w:pStyle w:val="ClinContent"/>
        <w:spacing w:before="0"/>
        <w:rPr>
          <w:rFonts w:asciiTheme="minorHAnsi" w:hAnsiTheme="minorHAnsi"/>
          <w:sz w:val="24"/>
          <w:lang w:val="pl-PL"/>
        </w:rPr>
      </w:pPr>
    </w:p>
    <w:p w:rsidR="009E233F" w:rsidRPr="00ED0C6A" w:rsidRDefault="009E233F" w:rsidP="009E233F">
      <w:pPr>
        <w:pStyle w:val="ClinContent"/>
        <w:spacing w:before="0"/>
        <w:rPr>
          <w:rFonts w:asciiTheme="minorHAnsi" w:hAnsiTheme="minorHAnsi"/>
          <w:sz w:val="24"/>
          <w:lang w:val="pl-PL"/>
        </w:rPr>
      </w:pPr>
      <w:r w:rsidRPr="00ED0C6A">
        <w:rPr>
          <w:rFonts w:asciiTheme="minorHAnsi" w:hAnsiTheme="minorHAnsi"/>
          <w:sz w:val="24"/>
          <w:lang w:val="pl-PL"/>
        </w:rPr>
        <w:t>Sąd pierwszej instancji orzekł, że skarżąca ma obowiązek złożenia zeznań na temat jej</w:t>
      </w:r>
      <w:r w:rsidR="00827554">
        <w:rPr>
          <w:rFonts w:asciiTheme="minorHAnsi" w:hAnsiTheme="minorHAnsi"/>
          <w:sz w:val="24"/>
          <w:lang w:val="pl-PL"/>
        </w:rPr>
        <w:t> </w:t>
      </w:r>
      <w:r w:rsidRPr="00ED0C6A">
        <w:rPr>
          <w:rFonts w:asciiTheme="minorHAnsi" w:hAnsiTheme="minorHAnsi"/>
          <w:sz w:val="24"/>
          <w:lang w:val="pl-PL"/>
        </w:rPr>
        <w:t xml:space="preserve">kontaktów z panem X w odniesieniu do listu adwokata. W 2011 r. Sąd Najwyższy oddalił zażalenie skarżącej, stwierdzając, że </w:t>
      </w:r>
      <w:r w:rsidR="0087151F" w:rsidRPr="00ED0C6A">
        <w:rPr>
          <w:rFonts w:asciiTheme="minorHAnsi" w:hAnsiTheme="minorHAnsi"/>
          <w:sz w:val="24"/>
          <w:lang w:val="pl-PL"/>
        </w:rPr>
        <w:t xml:space="preserve">nie dojdzie do naruszenia Konwencji </w:t>
      </w:r>
      <w:r w:rsidR="009A3576" w:rsidRPr="00ED0C6A">
        <w:rPr>
          <w:rFonts w:asciiTheme="minorHAnsi" w:hAnsiTheme="minorHAnsi"/>
          <w:sz w:val="24"/>
          <w:lang w:val="pl-PL"/>
        </w:rPr>
        <w:t>w</w:t>
      </w:r>
      <w:r w:rsidR="0087151F" w:rsidRPr="00ED0C6A">
        <w:rPr>
          <w:rFonts w:asciiTheme="minorHAnsi" w:hAnsiTheme="minorHAnsi"/>
          <w:sz w:val="24"/>
          <w:lang w:val="pl-PL"/>
        </w:rPr>
        <w:t xml:space="preserve"> przypadku</w:t>
      </w:r>
      <w:r w:rsidR="009A3576" w:rsidRPr="00ED0C6A">
        <w:rPr>
          <w:rFonts w:asciiTheme="minorHAnsi" w:hAnsiTheme="minorHAnsi"/>
          <w:sz w:val="24"/>
          <w:lang w:val="pl-PL"/>
        </w:rPr>
        <w:t>, gdy</w:t>
      </w:r>
      <w:r w:rsidR="00827554">
        <w:rPr>
          <w:rFonts w:asciiTheme="minorHAnsi" w:hAnsiTheme="minorHAnsi"/>
          <w:sz w:val="24"/>
          <w:lang w:val="pl-PL"/>
        </w:rPr>
        <w:t> </w:t>
      </w:r>
      <w:r w:rsidR="009A3576" w:rsidRPr="00ED0C6A">
        <w:rPr>
          <w:rFonts w:asciiTheme="minorHAnsi" w:hAnsiTheme="minorHAnsi"/>
          <w:sz w:val="24"/>
          <w:lang w:val="pl-PL"/>
        </w:rPr>
        <w:t xml:space="preserve">źródło już się ujawniło, a </w:t>
      </w:r>
      <w:r w:rsidR="00230F2B" w:rsidRPr="00ED0C6A">
        <w:rPr>
          <w:rFonts w:asciiTheme="minorHAnsi" w:hAnsiTheme="minorHAnsi"/>
          <w:sz w:val="24"/>
          <w:lang w:val="pl-PL"/>
        </w:rPr>
        <w:t xml:space="preserve">zatem, gdy nie ma już </w:t>
      </w:r>
      <w:r w:rsidR="009A3576" w:rsidRPr="00ED0C6A">
        <w:rPr>
          <w:rFonts w:asciiTheme="minorHAnsi" w:hAnsiTheme="minorHAnsi"/>
          <w:sz w:val="24"/>
          <w:lang w:val="pl-PL"/>
        </w:rPr>
        <w:t>źródła, które należałoby chronić</w:t>
      </w:r>
      <w:r w:rsidRPr="00ED0C6A">
        <w:rPr>
          <w:rFonts w:asciiTheme="minorHAnsi" w:hAnsiTheme="minorHAnsi"/>
          <w:sz w:val="24"/>
          <w:lang w:val="pl-PL"/>
        </w:rPr>
        <w:t xml:space="preserve">. </w:t>
      </w:r>
      <w:r w:rsidR="007536EF" w:rsidRPr="00ED0C6A">
        <w:rPr>
          <w:rFonts w:asciiTheme="minorHAnsi" w:hAnsiTheme="minorHAnsi"/>
          <w:sz w:val="24"/>
          <w:lang w:val="pl-PL"/>
        </w:rPr>
        <w:t>Uznał, że g</w:t>
      </w:r>
      <w:r w:rsidRPr="00ED0C6A">
        <w:rPr>
          <w:rFonts w:asciiTheme="minorHAnsi" w:hAnsiTheme="minorHAnsi"/>
          <w:sz w:val="24"/>
          <w:lang w:val="pl-PL"/>
        </w:rPr>
        <w:t>łówne uzasadnienie dla ochrony źródeł opiera się na konsekwencjach, jakie ujawnienie tożsamości źródła mogłoby mieć dla swobodnego przepływu informacji. Skarżąca została ukarana grzywną w wysokości 3</w:t>
      </w:r>
      <w:r w:rsidR="007536EF" w:rsidRPr="00ED0C6A">
        <w:rPr>
          <w:rFonts w:asciiTheme="minorHAnsi" w:hAnsiTheme="minorHAnsi"/>
          <w:sz w:val="24"/>
          <w:lang w:val="pl-PL"/>
        </w:rPr>
        <w:t xml:space="preserve"> </w:t>
      </w:r>
      <w:r w:rsidRPr="00ED0C6A">
        <w:rPr>
          <w:rFonts w:asciiTheme="minorHAnsi" w:hAnsiTheme="minorHAnsi"/>
          <w:sz w:val="24"/>
          <w:lang w:val="pl-PL"/>
        </w:rPr>
        <w:t>700 EUR za przestępstwo przeciwko prawidłowemu przebiegowi postępowania sądowego.</w:t>
      </w:r>
    </w:p>
    <w:p w:rsidR="007536EF" w:rsidRPr="00ED0C6A" w:rsidRDefault="007536EF" w:rsidP="009E233F">
      <w:pPr>
        <w:pStyle w:val="ClinContent"/>
        <w:spacing w:before="0"/>
        <w:rPr>
          <w:rFonts w:asciiTheme="minorHAnsi" w:hAnsiTheme="minorHAnsi"/>
          <w:sz w:val="24"/>
          <w:lang w:val="pl-PL"/>
        </w:rPr>
      </w:pPr>
    </w:p>
    <w:p w:rsidR="009E233F" w:rsidRPr="00ED0C6A" w:rsidRDefault="009E233F" w:rsidP="009E233F">
      <w:pPr>
        <w:pStyle w:val="ClinContent"/>
        <w:spacing w:before="0"/>
        <w:rPr>
          <w:rFonts w:asciiTheme="minorHAnsi" w:hAnsiTheme="minorHAnsi"/>
          <w:sz w:val="24"/>
          <w:lang w:val="pl-PL"/>
        </w:rPr>
      </w:pPr>
      <w:r w:rsidRPr="00ED0C6A">
        <w:rPr>
          <w:rFonts w:asciiTheme="minorHAnsi" w:hAnsiTheme="minorHAnsi"/>
          <w:sz w:val="24"/>
          <w:lang w:val="pl-PL"/>
        </w:rPr>
        <w:t xml:space="preserve">Przed Trybunałem skarżąca zarzucała, że została zmuszona do złożenia zeznań, które umożliwiłyby zidentyfikowanie jej źródeł dziennikarskich, co stanowiło naruszenie jej prawa do otrzymywania i przekazywania informacji chronionego na podstawie art. 10. </w:t>
      </w:r>
    </w:p>
    <w:p w:rsidR="007536EF" w:rsidRPr="00ED0C6A" w:rsidRDefault="007536EF" w:rsidP="009E233F">
      <w:pPr>
        <w:pStyle w:val="ClinContent"/>
        <w:spacing w:before="0"/>
        <w:rPr>
          <w:rFonts w:asciiTheme="minorHAnsi" w:hAnsiTheme="minorHAnsi"/>
          <w:sz w:val="24"/>
          <w:lang w:val="pl-PL"/>
        </w:rPr>
      </w:pPr>
    </w:p>
    <w:p w:rsidR="009E233F" w:rsidRPr="00ED0C6A" w:rsidRDefault="004305AD" w:rsidP="009E233F">
      <w:pPr>
        <w:pStyle w:val="ClinContent"/>
        <w:spacing w:before="0"/>
        <w:rPr>
          <w:rFonts w:asciiTheme="minorHAnsi" w:hAnsiTheme="minorHAnsi"/>
          <w:sz w:val="24"/>
          <w:lang w:val="pl-PL"/>
        </w:rPr>
      </w:pPr>
      <w:r w:rsidRPr="00ED0C6A">
        <w:rPr>
          <w:rFonts w:asciiTheme="minorHAnsi" w:hAnsiTheme="minorHAnsi"/>
          <w:sz w:val="24"/>
          <w:lang w:val="pl-PL"/>
        </w:rPr>
        <w:t>Kluczow</w:t>
      </w:r>
      <w:r w:rsidR="00230F2B" w:rsidRPr="00ED0C6A">
        <w:rPr>
          <w:rFonts w:asciiTheme="minorHAnsi" w:hAnsiTheme="minorHAnsi"/>
          <w:sz w:val="24"/>
          <w:lang w:val="pl-PL"/>
        </w:rPr>
        <w:t>a</w:t>
      </w:r>
      <w:r w:rsidR="009E233F" w:rsidRPr="00ED0C6A">
        <w:rPr>
          <w:rFonts w:asciiTheme="minorHAnsi" w:hAnsiTheme="minorHAnsi"/>
          <w:sz w:val="24"/>
          <w:lang w:val="pl-PL"/>
        </w:rPr>
        <w:t xml:space="preserve"> dla rozstrzygnięcia tej sprawy </w:t>
      </w:r>
      <w:r w:rsidRPr="00ED0C6A">
        <w:rPr>
          <w:rFonts w:asciiTheme="minorHAnsi" w:hAnsiTheme="minorHAnsi"/>
          <w:sz w:val="24"/>
          <w:lang w:val="pl-PL"/>
        </w:rPr>
        <w:t xml:space="preserve">przez Trybunał </w:t>
      </w:r>
      <w:r w:rsidR="009E233F" w:rsidRPr="00ED0C6A">
        <w:rPr>
          <w:rFonts w:asciiTheme="minorHAnsi" w:hAnsiTheme="minorHAnsi"/>
          <w:sz w:val="24"/>
          <w:lang w:val="pl-PL"/>
        </w:rPr>
        <w:t>była kwestia, czy ingerencja w prawa skarżącej była niezbędna w społeczeństwie demokratycznym. W tym względzie Trybunał odwołał się do zasad regulujących ochronę źródeł dziennikarskich, które rozwinął w</w:t>
      </w:r>
      <w:r w:rsidRPr="00ED0C6A">
        <w:rPr>
          <w:rFonts w:asciiTheme="minorHAnsi" w:hAnsiTheme="minorHAnsi"/>
          <w:sz w:val="24"/>
          <w:lang w:val="pl-PL"/>
        </w:rPr>
        <w:t>e</w:t>
      </w:r>
      <w:r w:rsidR="00827554">
        <w:rPr>
          <w:rFonts w:asciiTheme="minorHAnsi" w:hAnsiTheme="minorHAnsi"/>
          <w:sz w:val="24"/>
          <w:lang w:val="pl-PL"/>
        </w:rPr>
        <w:t> </w:t>
      </w:r>
      <w:r w:rsidRPr="00ED0C6A">
        <w:rPr>
          <w:rFonts w:asciiTheme="minorHAnsi" w:hAnsiTheme="minorHAnsi"/>
          <w:sz w:val="24"/>
          <w:lang w:val="pl-PL"/>
        </w:rPr>
        <w:t>wcześniejszym orzecznictwie.</w:t>
      </w:r>
      <w:r w:rsidR="009E233F" w:rsidRPr="00ED0C6A">
        <w:rPr>
          <w:rFonts w:asciiTheme="minorHAnsi" w:hAnsiTheme="minorHAnsi"/>
          <w:sz w:val="24"/>
          <w:lang w:val="pl-PL"/>
        </w:rPr>
        <w:t xml:space="preserve"> Trybunał nie miał </w:t>
      </w:r>
      <w:r w:rsidRPr="00ED0C6A">
        <w:rPr>
          <w:rFonts w:asciiTheme="minorHAnsi" w:hAnsiTheme="minorHAnsi"/>
          <w:sz w:val="24"/>
          <w:lang w:val="pl-PL"/>
        </w:rPr>
        <w:t xml:space="preserve">co prawda </w:t>
      </w:r>
      <w:r w:rsidR="009E233F" w:rsidRPr="00ED0C6A">
        <w:rPr>
          <w:rFonts w:asciiTheme="minorHAnsi" w:hAnsiTheme="minorHAnsi"/>
          <w:sz w:val="24"/>
          <w:lang w:val="pl-PL"/>
        </w:rPr>
        <w:t>poprzednio okazji do</w:t>
      </w:r>
      <w:r w:rsidR="00E57D35">
        <w:rPr>
          <w:rFonts w:asciiTheme="minorHAnsi" w:hAnsiTheme="minorHAnsi"/>
          <w:sz w:val="24"/>
          <w:lang w:val="pl-PL"/>
        </w:rPr>
        <w:t> </w:t>
      </w:r>
      <w:r w:rsidR="009E233F" w:rsidRPr="00ED0C6A">
        <w:rPr>
          <w:rFonts w:asciiTheme="minorHAnsi" w:hAnsiTheme="minorHAnsi"/>
          <w:sz w:val="24"/>
          <w:lang w:val="pl-PL"/>
        </w:rPr>
        <w:t xml:space="preserve">rozważenia szczególnej kwestii, która pojawiła się w obecnej sprawie. </w:t>
      </w:r>
      <w:r w:rsidRPr="00ED0C6A">
        <w:rPr>
          <w:rFonts w:asciiTheme="minorHAnsi" w:hAnsiTheme="minorHAnsi"/>
          <w:sz w:val="24"/>
          <w:lang w:val="pl-PL"/>
        </w:rPr>
        <w:t xml:space="preserve">Przypomniał jednak, że </w:t>
      </w:r>
      <w:r w:rsidR="009E233F" w:rsidRPr="00ED0C6A">
        <w:rPr>
          <w:rFonts w:asciiTheme="minorHAnsi" w:hAnsiTheme="minorHAnsi"/>
          <w:sz w:val="24"/>
          <w:lang w:val="pl-PL"/>
        </w:rPr>
        <w:t xml:space="preserve">w swym orzecznictwie wskazywał, że ochrona dziennikarzy na podstawie art. 10 nie może zostać </w:t>
      </w:r>
      <w:r w:rsidR="00230F2B" w:rsidRPr="00ED0C6A">
        <w:rPr>
          <w:rFonts w:asciiTheme="minorHAnsi" w:hAnsiTheme="minorHAnsi"/>
          <w:sz w:val="24"/>
          <w:lang w:val="pl-PL"/>
        </w:rPr>
        <w:t xml:space="preserve">automatycznie </w:t>
      </w:r>
      <w:r w:rsidR="009E233F" w:rsidRPr="00ED0C6A">
        <w:rPr>
          <w:rFonts w:asciiTheme="minorHAnsi" w:hAnsiTheme="minorHAnsi"/>
          <w:sz w:val="24"/>
          <w:lang w:val="pl-PL"/>
        </w:rPr>
        <w:t>zniesiona w wyniku określonego zachowania samego źródła.</w:t>
      </w:r>
    </w:p>
    <w:p w:rsidR="004305AD" w:rsidRPr="00ED0C6A" w:rsidRDefault="004305AD" w:rsidP="009E233F">
      <w:pPr>
        <w:pStyle w:val="ClinContent"/>
        <w:spacing w:before="0"/>
        <w:rPr>
          <w:rFonts w:asciiTheme="minorHAnsi" w:hAnsiTheme="minorHAnsi"/>
          <w:sz w:val="24"/>
          <w:lang w:val="pl-PL"/>
        </w:rPr>
      </w:pPr>
    </w:p>
    <w:p w:rsidR="009E233F" w:rsidRPr="00ED0C6A" w:rsidRDefault="009E233F" w:rsidP="009E233F">
      <w:pPr>
        <w:pStyle w:val="ClinContent"/>
        <w:spacing w:before="0"/>
        <w:rPr>
          <w:rFonts w:asciiTheme="minorHAnsi" w:hAnsiTheme="minorHAnsi"/>
          <w:sz w:val="24"/>
          <w:lang w:val="pl-PL"/>
        </w:rPr>
      </w:pPr>
      <w:r w:rsidRPr="00ED0C6A">
        <w:rPr>
          <w:rFonts w:asciiTheme="minorHAnsi" w:hAnsiTheme="minorHAnsi"/>
          <w:sz w:val="24"/>
          <w:lang w:val="pl-PL"/>
        </w:rPr>
        <w:t xml:space="preserve">Trybunał </w:t>
      </w:r>
      <w:r w:rsidR="001B0761" w:rsidRPr="00ED0C6A">
        <w:rPr>
          <w:rFonts w:asciiTheme="minorHAnsi" w:hAnsiTheme="minorHAnsi"/>
          <w:sz w:val="24"/>
          <w:lang w:val="pl-PL"/>
        </w:rPr>
        <w:t>zbadał</w:t>
      </w:r>
      <w:r w:rsidRPr="00ED0C6A">
        <w:rPr>
          <w:rFonts w:asciiTheme="minorHAnsi" w:hAnsiTheme="minorHAnsi"/>
          <w:sz w:val="24"/>
          <w:lang w:val="pl-PL"/>
        </w:rPr>
        <w:t xml:space="preserve">, czy zostały powołane istotne i wystarczające powody dla nakazania skarżącej złożenia zeznań. </w:t>
      </w:r>
      <w:r w:rsidR="001B0761" w:rsidRPr="00ED0C6A">
        <w:rPr>
          <w:rFonts w:asciiTheme="minorHAnsi" w:hAnsiTheme="minorHAnsi"/>
          <w:sz w:val="24"/>
          <w:lang w:val="pl-PL"/>
        </w:rPr>
        <w:t>Podkreślił, ze o</w:t>
      </w:r>
      <w:r w:rsidRPr="00ED0C6A">
        <w:rPr>
          <w:rFonts w:asciiTheme="minorHAnsi" w:hAnsiTheme="minorHAnsi"/>
          <w:sz w:val="24"/>
          <w:lang w:val="pl-PL"/>
        </w:rPr>
        <w:t>koliczności dotyczące tożsamości pana X były tylko jednym z elementów w tej ocenie. Chociaż można się zgodzić z Sądem Najwyższym, że fakt ujawnienia się przez źródło może złagodzić niektóre obawy nie</w:t>
      </w:r>
      <w:r w:rsidR="00230F2B" w:rsidRPr="00ED0C6A">
        <w:rPr>
          <w:rFonts w:asciiTheme="minorHAnsi" w:hAnsiTheme="minorHAnsi"/>
          <w:sz w:val="24"/>
          <w:lang w:val="pl-PL"/>
        </w:rPr>
        <w:t>odłącznie</w:t>
      </w:r>
      <w:r w:rsidRPr="00ED0C6A">
        <w:rPr>
          <w:rFonts w:asciiTheme="minorHAnsi" w:hAnsiTheme="minorHAnsi"/>
          <w:sz w:val="24"/>
          <w:lang w:val="pl-PL"/>
        </w:rPr>
        <w:t xml:space="preserve"> związane ze</w:t>
      </w:r>
      <w:r w:rsidR="00827554">
        <w:rPr>
          <w:rFonts w:asciiTheme="minorHAnsi" w:hAnsiTheme="minorHAnsi"/>
          <w:sz w:val="24"/>
          <w:lang w:val="pl-PL"/>
        </w:rPr>
        <w:t> </w:t>
      </w:r>
      <w:r w:rsidRPr="00ED0C6A">
        <w:rPr>
          <w:rFonts w:asciiTheme="minorHAnsi" w:hAnsiTheme="minorHAnsi"/>
          <w:sz w:val="24"/>
          <w:lang w:val="pl-PL"/>
        </w:rPr>
        <w:t>środkami zakładającymi ujawnienie źródła, znajomość tożsamości pana X nie może być decydująca dla oceny proporcjonalności.</w:t>
      </w:r>
    </w:p>
    <w:p w:rsidR="001B0761" w:rsidRPr="00ED0C6A" w:rsidRDefault="001B0761" w:rsidP="009E233F">
      <w:pPr>
        <w:pStyle w:val="ClinContent"/>
        <w:spacing w:before="0"/>
        <w:rPr>
          <w:rFonts w:asciiTheme="minorHAnsi" w:hAnsiTheme="minorHAnsi"/>
          <w:sz w:val="24"/>
          <w:lang w:val="pl-PL"/>
        </w:rPr>
      </w:pPr>
    </w:p>
    <w:p w:rsidR="001B0761" w:rsidRPr="00ED0C6A" w:rsidRDefault="001B0761" w:rsidP="009E233F">
      <w:pPr>
        <w:pStyle w:val="ClinContent"/>
        <w:spacing w:before="0"/>
        <w:rPr>
          <w:rFonts w:asciiTheme="minorHAnsi" w:hAnsiTheme="minorHAnsi"/>
          <w:sz w:val="24"/>
          <w:lang w:val="pl-PL"/>
        </w:rPr>
      </w:pPr>
      <w:r w:rsidRPr="00ED0C6A">
        <w:rPr>
          <w:rFonts w:asciiTheme="minorHAnsi" w:hAnsiTheme="minorHAnsi"/>
          <w:sz w:val="24"/>
          <w:lang w:val="pl-PL"/>
        </w:rPr>
        <w:t>Trybunał podkreślił, że o</w:t>
      </w:r>
      <w:r w:rsidR="009E233F" w:rsidRPr="00ED0C6A">
        <w:rPr>
          <w:rFonts w:asciiTheme="minorHAnsi" w:hAnsiTheme="minorHAnsi"/>
          <w:sz w:val="24"/>
          <w:lang w:val="pl-PL"/>
        </w:rPr>
        <w:t>chrona udzielana dziennikarzom w zakresie dotyczącym</w:t>
      </w:r>
      <w:r w:rsidR="00230F2B" w:rsidRPr="00ED0C6A">
        <w:rPr>
          <w:rFonts w:asciiTheme="minorHAnsi" w:hAnsiTheme="minorHAnsi"/>
          <w:sz w:val="24"/>
          <w:lang w:val="pl-PL"/>
        </w:rPr>
        <w:t xml:space="preserve"> ich</w:t>
      </w:r>
      <w:r w:rsidR="009E233F" w:rsidRPr="00ED0C6A">
        <w:rPr>
          <w:rFonts w:asciiTheme="minorHAnsi" w:hAnsiTheme="minorHAnsi"/>
          <w:sz w:val="24"/>
          <w:lang w:val="pl-PL"/>
        </w:rPr>
        <w:t xml:space="preserve"> prawa do zachowania poufności swych źródeł ma dwa aspekty</w:t>
      </w:r>
      <w:r w:rsidRPr="00ED0C6A">
        <w:rPr>
          <w:rFonts w:asciiTheme="minorHAnsi" w:hAnsiTheme="minorHAnsi"/>
          <w:sz w:val="24"/>
          <w:lang w:val="pl-PL"/>
        </w:rPr>
        <w:t>.</w:t>
      </w:r>
      <w:r w:rsidR="009E233F" w:rsidRPr="00ED0C6A">
        <w:rPr>
          <w:rFonts w:asciiTheme="minorHAnsi" w:hAnsiTheme="minorHAnsi"/>
          <w:sz w:val="24"/>
          <w:lang w:val="pl-PL"/>
        </w:rPr>
        <w:t xml:space="preserve"> </w:t>
      </w:r>
      <w:r w:rsidRPr="00ED0C6A">
        <w:rPr>
          <w:rFonts w:asciiTheme="minorHAnsi" w:hAnsiTheme="minorHAnsi"/>
          <w:sz w:val="24"/>
          <w:lang w:val="pl-PL"/>
        </w:rPr>
        <w:t>D</w:t>
      </w:r>
      <w:r w:rsidR="009E233F" w:rsidRPr="00ED0C6A">
        <w:rPr>
          <w:rFonts w:asciiTheme="minorHAnsi" w:hAnsiTheme="minorHAnsi"/>
          <w:sz w:val="24"/>
          <w:lang w:val="pl-PL"/>
        </w:rPr>
        <w:t>otyczy nie tylko dziennikarza, ale</w:t>
      </w:r>
      <w:r w:rsidR="00827554">
        <w:rPr>
          <w:rFonts w:asciiTheme="minorHAnsi" w:hAnsiTheme="minorHAnsi"/>
          <w:sz w:val="24"/>
          <w:lang w:val="pl-PL"/>
        </w:rPr>
        <w:t> </w:t>
      </w:r>
      <w:r w:rsidR="009E233F" w:rsidRPr="00ED0C6A">
        <w:rPr>
          <w:rFonts w:asciiTheme="minorHAnsi" w:hAnsiTheme="minorHAnsi"/>
          <w:sz w:val="24"/>
          <w:lang w:val="pl-PL"/>
        </w:rPr>
        <w:t>także, i w szczególności, źródła, które dobrowolnie zdecydowało się pomóc prasie w</w:t>
      </w:r>
      <w:r w:rsidR="00827554">
        <w:rPr>
          <w:rFonts w:asciiTheme="minorHAnsi" w:hAnsiTheme="minorHAnsi"/>
          <w:sz w:val="24"/>
          <w:lang w:val="pl-PL"/>
        </w:rPr>
        <w:t> </w:t>
      </w:r>
      <w:r w:rsidR="009E233F" w:rsidRPr="00ED0C6A">
        <w:rPr>
          <w:rFonts w:asciiTheme="minorHAnsi" w:hAnsiTheme="minorHAnsi"/>
          <w:sz w:val="24"/>
          <w:lang w:val="pl-PL"/>
        </w:rPr>
        <w:t xml:space="preserve">poinformowaniu opinii publicznej o sprawach będących w interesie publicznym. </w:t>
      </w:r>
    </w:p>
    <w:p w:rsidR="001B0761" w:rsidRPr="00ED0C6A" w:rsidRDefault="001B0761" w:rsidP="009E233F">
      <w:pPr>
        <w:pStyle w:val="ClinContent"/>
        <w:spacing w:before="0"/>
        <w:rPr>
          <w:rFonts w:asciiTheme="minorHAnsi" w:hAnsiTheme="minorHAnsi"/>
          <w:sz w:val="24"/>
          <w:lang w:val="pl-PL"/>
        </w:rPr>
      </w:pPr>
    </w:p>
    <w:p w:rsidR="00204AC6" w:rsidRPr="00ED0C6A" w:rsidRDefault="00204AC6" w:rsidP="009E233F">
      <w:pPr>
        <w:pStyle w:val="ClinContent"/>
        <w:spacing w:before="0"/>
        <w:rPr>
          <w:rFonts w:asciiTheme="minorHAnsi" w:hAnsiTheme="minorHAnsi"/>
          <w:sz w:val="24"/>
          <w:lang w:val="pl-PL"/>
        </w:rPr>
      </w:pPr>
      <w:r w:rsidRPr="00ED0C6A">
        <w:rPr>
          <w:rFonts w:asciiTheme="minorHAnsi" w:hAnsiTheme="minorHAnsi"/>
          <w:sz w:val="24"/>
          <w:lang w:val="pl-PL"/>
        </w:rPr>
        <w:t>O</w:t>
      </w:r>
      <w:r w:rsidR="009E233F" w:rsidRPr="00ED0C6A">
        <w:rPr>
          <w:rFonts w:asciiTheme="minorHAnsi" w:hAnsiTheme="minorHAnsi"/>
          <w:sz w:val="24"/>
          <w:lang w:val="pl-PL"/>
        </w:rPr>
        <w:t>koliczności odnoszące się do motywacji pana X do przedstawienia się wobec</w:t>
      </w:r>
      <w:r w:rsidRPr="00ED0C6A">
        <w:rPr>
          <w:rFonts w:asciiTheme="minorHAnsi" w:hAnsiTheme="minorHAnsi"/>
          <w:sz w:val="24"/>
          <w:lang w:val="pl-PL"/>
        </w:rPr>
        <w:t xml:space="preserve"> skarżącej jako</w:t>
      </w:r>
      <w:r w:rsidR="00827554">
        <w:rPr>
          <w:rFonts w:asciiTheme="minorHAnsi" w:hAnsiTheme="minorHAnsi"/>
          <w:sz w:val="24"/>
          <w:lang w:val="pl-PL"/>
        </w:rPr>
        <w:t> </w:t>
      </w:r>
      <w:r w:rsidRPr="00ED0C6A">
        <w:rPr>
          <w:rFonts w:asciiTheme="minorHAnsi" w:hAnsiTheme="minorHAnsi"/>
          <w:sz w:val="24"/>
          <w:lang w:val="pl-PL"/>
        </w:rPr>
        <w:t>„źródło”, jak też fakt</w:t>
      </w:r>
      <w:r w:rsidR="009E233F" w:rsidRPr="00ED0C6A">
        <w:rPr>
          <w:rFonts w:asciiTheme="minorHAnsi" w:hAnsiTheme="minorHAnsi"/>
          <w:sz w:val="24"/>
          <w:lang w:val="pl-PL"/>
        </w:rPr>
        <w:t xml:space="preserve"> </w:t>
      </w:r>
      <w:r w:rsidRPr="00ED0C6A">
        <w:rPr>
          <w:rFonts w:asciiTheme="minorHAnsi" w:hAnsiTheme="minorHAnsi"/>
          <w:sz w:val="24"/>
          <w:lang w:val="pl-PL"/>
        </w:rPr>
        <w:t xml:space="preserve">jego </w:t>
      </w:r>
      <w:r w:rsidR="009E233F" w:rsidRPr="00ED0C6A">
        <w:rPr>
          <w:rFonts w:asciiTheme="minorHAnsi" w:hAnsiTheme="minorHAnsi"/>
          <w:sz w:val="24"/>
          <w:lang w:val="pl-PL"/>
        </w:rPr>
        <w:t>ujawnienia się w czasie śledztwa</w:t>
      </w:r>
      <w:r w:rsidRPr="00ED0C6A">
        <w:rPr>
          <w:rFonts w:asciiTheme="minorHAnsi" w:hAnsiTheme="minorHAnsi"/>
          <w:sz w:val="24"/>
          <w:lang w:val="pl-PL"/>
        </w:rPr>
        <w:t>,</w:t>
      </w:r>
      <w:r w:rsidR="009E233F" w:rsidRPr="00ED0C6A">
        <w:rPr>
          <w:rFonts w:asciiTheme="minorHAnsi" w:hAnsiTheme="minorHAnsi"/>
          <w:sz w:val="24"/>
          <w:lang w:val="pl-PL"/>
        </w:rPr>
        <w:t xml:space="preserve"> przemawiają za tym, by</w:t>
      </w:r>
      <w:r w:rsidR="00E57D35">
        <w:rPr>
          <w:rFonts w:asciiTheme="minorHAnsi" w:hAnsiTheme="minorHAnsi"/>
          <w:sz w:val="24"/>
          <w:lang w:val="pl-PL"/>
        </w:rPr>
        <w:t> </w:t>
      </w:r>
      <w:r w:rsidR="009E233F" w:rsidRPr="00ED0C6A">
        <w:rPr>
          <w:rFonts w:asciiTheme="minorHAnsi" w:hAnsiTheme="minorHAnsi"/>
          <w:sz w:val="24"/>
          <w:lang w:val="pl-PL"/>
        </w:rPr>
        <w:t>stopień ochrony na podstawie art. 10</w:t>
      </w:r>
      <w:r w:rsidR="00230F2B" w:rsidRPr="00ED0C6A">
        <w:rPr>
          <w:rFonts w:asciiTheme="minorHAnsi" w:hAnsiTheme="minorHAnsi"/>
          <w:sz w:val="24"/>
          <w:lang w:val="pl-PL"/>
        </w:rPr>
        <w:t>, który należy zastosować</w:t>
      </w:r>
      <w:r w:rsidR="009E233F" w:rsidRPr="00ED0C6A">
        <w:rPr>
          <w:rFonts w:asciiTheme="minorHAnsi" w:hAnsiTheme="minorHAnsi"/>
          <w:sz w:val="24"/>
          <w:lang w:val="pl-PL"/>
        </w:rPr>
        <w:t xml:space="preserve"> w obecnej sprawie</w:t>
      </w:r>
      <w:r w:rsidR="00230F2B" w:rsidRPr="00ED0C6A">
        <w:rPr>
          <w:rFonts w:asciiTheme="minorHAnsi" w:hAnsiTheme="minorHAnsi"/>
          <w:sz w:val="24"/>
          <w:lang w:val="pl-PL"/>
        </w:rPr>
        <w:t>,</w:t>
      </w:r>
      <w:r w:rsidR="009E233F" w:rsidRPr="00ED0C6A">
        <w:rPr>
          <w:rFonts w:asciiTheme="minorHAnsi" w:hAnsiTheme="minorHAnsi"/>
          <w:sz w:val="24"/>
          <w:lang w:val="pl-PL"/>
        </w:rPr>
        <w:t xml:space="preserve"> był</w:t>
      </w:r>
      <w:r w:rsidR="00E57D35">
        <w:rPr>
          <w:rFonts w:asciiTheme="minorHAnsi" w:hAnsiTheme="minorHAnsi"/>
          <w:sz w:val="24"/>
          <w:lang w:val="pl-PL"/>
        </w:rPr>
        <w:t> </w:t>
      </w:r>
      <w:r w:rsidR="009E233F" w:rsidRPr="00ED0C6A">
        <w:rPr>
          <w:rFonts w:asciiTheme="minorHAnsi" w:hAnsiTheme="minorHAnsi"/>
          <w:sz w:val="24"/>
          <w:lang w:val="pl-PL"/>
        </w:rPr>
        <w:t>niższy niż</w:t>
      </w:r>
      <w:r w:rsidR="00827554">
        <w:rPr>
          <w:rFonts w:asciiTheme="minorHAnsi" w:hAnsiTheme="minorHAnsi"/>
          <w:sz w:val="24"/>
          <w:lang w:val="pl-PL"/>
        </w:rPr>
        <w:t> </w:t>
      </w:r>
      <w:r w:rsidR="009E233F" w:rsidRPr="00ED0C6A">
        <w:rPr>
          <w:rFonts w:asciiTheme="minorHAnsi" w:hAnsiTheme="minorHAnsi"/>
          <w:sz w:val="24"/>
          <w:lang w:val="pl-PL"/>
        </w:rPr>
        <w:t>przyznawany dziennikarzom, którym pomocy udzielają osoby o nieustalonej tożsamości.</w:t>
      </w:r>
      <w:r w:rsidRPr="00ED0C6A">
        <w:rPr>
          <w:rFonts w:asciiTheme="minorHAnsi" w:hAnsiTheme="minorHAnsi"/>
          <w:sz w:val="24"/>
          <w:lang w:val="pl-PL"/>
        </w:rPr>
        <w:t xml:space="preserve"> </w:t>
      </w:r>
    </w:p>
    <w:p w:rsidR="00204AC6" w:rsidRPr="00ED0C6A" w:rsidRDefault="00204AC6" w:rsidP="009E233F">
      <w:pPr>
        <w:pStyle w:val="ClinContent"/>
        <w:spacing w:before="0"/>
        <w:rPr>
          <w:rFonts w:asciiTheme="minorHAnsi" w:hAnsiTheme="minorHAnsi"/>
          <w:sz w:val="24"/>
          <w:lang w:val="pl-PL"/>
        </w:rPr>
      </w:pPr>
    </w:p>
    <w:p w:rsidR="009E233F" w:rsidRPr="00ED0C6A" w:rsidRDefault="009E233F" w:rsidP="009E233F">
      <w:pPr>
        <w:pStyle w:val="ClinContent"/>
        <w:spacing w:before="0"/>
        <w:rPr>
          <w:rFonts w:asciiTheme="minorHAnsi" w:hAnsiTheme="minorHAnsi"/>
          <w:sz w:val="24"/>
          <w:lang w:val="pl-PL"/>
        </w:rPr>
      </w:pPr>
      <w:r w:rsidRPr="00ED0C6A">
        <w:rPr>
          <w:rFonts w:asciiTheme="minorHAnsi" w:hAnsiTheme="minorHAnsi"/>
          <w:sz w:val="24"/>
          <w:lang w:val="pl-PL"/>
        </w:rPr>
        <w:t>To, że pan X został oskarżony o wykorzystanie skarżącej jako narzędzia manipulacji na rynku, był istotny dla oceny proporcjonalności</w:t>
      </w:r>
      <w:r w:rsidR="00204AC6" w:rsidRPr="00ED0C6A">
        <w:rPr>
          <w:rFonts w:asciiTheme="minorHAnsi" w:hAnsiTheme="minorHAnsi"/>
          <w:sz w:val="24"/>
          <w:lang w:val="pl-PL"/>
        </w:rPr>
        <w:t xml:space="preserve"> ingerencji</w:t>
      </w:r>
      <w:r w:rsidRPr="00ED0C6A">
        <w:rPr>
          <w:rFonts w:asciiTheme="minorHAnsi" w:hAnsiTheme="minorHAnsi"/>
          <w:sz w:val="24"/>
          <w:lang w:val="pl-PL"/>
        </w:rPr>
        <w:t xml:space="preserve">. </w:t>
      </w:r>
      <w:r w:rsidR="00204AC6" w:rsidRPr="00ED0C6A">
        <w:rPr>
          <w:rFonts w:asciiTheme="minorHAnsi" w:hAnsiTheme="minorHAnsi"/>
          <w:sz w:val="24"/>
          <w:lang w:val="pl-PL"/>
        </w:rPr>
        <w:t>Kwestia ujawnienia</w:t>
      </w:r>
      <w:r w:rsidRPr="00ED0C6A">
        <w:rPr>
          <w:rFonts w:asciiTheme="minorHAnsi" w:hAnsiTheme="minorHAnsi"/>
          <w:sz w:val="24"/>
          <w:lang w:val="pl-PL"/>
        </w:rPr>
        <w:t xml:space="preserve"> </w:t>
      </w:r>
      <w:r w:rsidR="00204AC6" w:rsidRPr="00ED0C6A">
        <w:rPr>
          <w:rFonts w:asciiTheme="minorHAnsi" w:hAnsiTheme="minorHAnsi"/>
          <w:sz w:val="24"/>
          <w:lang w:val="pl-PL"/>
        </w:rPr>
        <w:t>źródła pojawiła się</w:t>
      </w:r>
      <w:r w:rsidR="00827554">
        <w:rPr>
          <w:rFonts w:asciiTheme="minorHAnsi" w:hAnsiTheme="minorHAnsi"/>
          <w:sz w:val="24"/>
          <w:lang w:val="pl-PL"/>
        </w:rPr>
        <w:t> </w:t>
      </w:r>
      <w:r w:rsidR="00204AC6" w:rsidRPr="00ED0C6A">
        <w:rPr>
          <w:rFonts w:asciiTheme="minorHAnsi" w:hAnsiTheme="minorHAnsi"/>
          <w:sz w:val="24"/>
          <w:lang w:val="pl-PL"/>
        </w:rPr>
        <w:t xml:space="preserve">jednak </w:t>
      </w:r>
      <w:r w:rsidRPr="00ED0C6A">
        <w:rPr>
          <w:rFonts w:asciiTheme="minorHAnsi" w:hAnsiTheme="minorHAnsi"/>
          <w:sz w:val="24"/>
          <w:lang w:val="pl-PL"/>
        </w:rPr>
        <w:t>w obecnej sprawie w czasie, gdy nie zac</w:t>
      </w:r>
      <w:r w:rsidR="00204AC6" w:rsidRPr="00ED0C6A">
        <w:rPr>
          <w:rFonts w:asciiTheme="minorHAnsi" w:hAnsiTheme="minorHAnsi"/>
          <w:sz w:val="24"/>
          <w:lang w:val="pl-PL"/>
        </w:rPr>
        <w:t>hodził</w:t>
      </w:r>
      <w:r w:rsidR="00230F2B" w:rsidRPr="00ED0C6A">
        <w:rPr>
          <w:rFonts w:asciiTheme="minorHAnsi" w:hAnsiTheme="minorHAnsi"/>
          <w:sz w:val="24"/>
          <w:lang w:val="pl-PL"/>
        </w:rPr>
        <w:t xml:space="preserve">y względy dotyczące </w:t>
      </w:r>
      <w:r w:rsidRPr="00ED0C6A">
        <w:rPr>
          <w:rFonts w:asciiTheme="minorHAnsi" w:hAnsiTheme="minorHAnsi"/>
          <w:sz w:val="24"/>
          <w:lang w:val="pl-PL"/>
        </w:rPr>
        <w:t>zapobieżenia dalszej szkodzie spółki lub jej akcjonariuszy</w:t>
      </w:r>
      <w:r w:rsidR="00204AC6" w:rsidRPr="00ED0C6A">
        <w:rPr>
          <w:rFonts w:asciiTheme="minorHAnsi" w:hAnsiTheme="minorHAnsi"/>
          <w:sz w:val="24"/>
          <w:lang w:val="pl-PL"/>
        </w:rPr>
        <w:t xml:space="preserve"> itp</w:t>
      </w:r>
      <w:r w:rsidRPr="00ED0C6A">
        <w:rPr>
          <w:rFonts w:asciiTheme="minorHAnsi" w:hAnsiTheme="minorHAnsi"/>
          <w:sz w:val="24"/>
          <w:lang w:val="pl-PL"/>
        </w:rPr>
        <w:t>.</w:t>
      </w:r>
      <w:r w:rsidR="007F1CA0" w:rsidRPr="00ED0C6A">
        <w:rPr>
          <w:rFonts w:asciiTheme="minorHAnsi" w:hAnsiTheme="minorHAnsi"/>
          <w:sz w:val="24"/>
          <w:lang w:val="pl-PL"/>
        </w:rPr>
        <w:t xml:space="preserve"> A zatem, </w:t>
      </w:r>
      <w:r w:rsidR="00230F2B" w:rsidRPr="00ED0C6A">
        <w:rPr>
          <w:rFonts w:asciiTheme="minorHAnsi" w:hAnsiTheme="minorHAnsi"/>
          <w:sz w:val="24"/>
          <w:lang w:val="pl-PL"/>
        </w:rPr>
        <w:t xml:space="preserve">w tym momencie, </w:t>
      </w:r>
      <w:r w:rsidR="007F1CA0" w:rsidRPr="00ED0C6A">
        <w:rPr>
          <w:rFonts w:asciiTheme="minorHAnsi" w:hAnsiTheme="minorHAnsi"/>
          <w:sz w:val="24"/>
          <w:lang w:val="pl-PL"/>
        </w:rPr>
        <w:t>gdy wydawano nakaz złożenia zeznania przez skarżącą,</w:t>
      </w:r>
      <w:r w:rsidRPr="00ED0C6A">
        <w:rPr>
          <w:rFonts w:asciiTheme="minorHAnsi" w:hAnsiTheme="minorHAnsi"/>
          <w:sz w:val="24"/>
          <w:lang w:val="pl-PL"/>
        </w:rPr>
        <w:t xml:space="preserve"> </w:t>
      </w:r>
      <w:r w:rsidR="007F1CA0" w:rsidRPr="00ED0C6A">
        <w:rPr>
          <w:rFonts w:asciiTheme="minorHAnsi" w:hAnsiTheme="minorHAnsi"/>
          <w:sz w:val="24"/>
          <w:lang w:val="pl-PL"/>
        </w:rPr>
        <w:t>s</w:t>
      </w:r>
      <w:r w:rsidRPr="00ED0C6A">
        <w:rPr>
          <w:rFonts w:asciiTheme="minorHAnsi" w:hAnsiTheme="minorHAnsi"/>
          <w:sz w:val="24"/>
          <w:lang w:val="pl-PL"/>
        </w:rPr>
        <w:t xml:space="preserve">zkodliwy cel działania źródła miał </w:t>
      </w:r>
      <w:r w:rsidR="00355A41" w:rsidRPr="00ED0C6A">
        <w:rPr>
          <w:rFonts w:asciiTheme="minorHAnsi" w:hAnsiTheme="minorHAnsi"/>
          <w:sz w:val="24"/>
          <w:lang w:val="pl-PL"/>
        </w:rPr>
        <w:t xml:space="preserve">już </w:t>
      </w:r>
      <w:r w:rsidRPr="00ED0C6A">
        <w:rPr>
          <w:rFonts w:asciiTheme="minorHAnsi" w:hAnsiTheme="minorHAnsi"/>
          <w:sz w:val="24"/>
          <w:lang w:val="pl-PL"/>
        </w:rPr>
        <w:t>ograniczone znaczenie.</w:t>
      </w:r>
    </w:p>
    <w:p w:rsidR="001B0761" w:rsidRPr="00ED0C6A" w:rsidRDefault="001B0761" w:rsidP="009E233F">
      <w:pPr>
        <w:pStyle w:val="ClinContent"/>
        <w:spacing w:before="0"/>
        <w:rPr>
          <w:rFonts w:asciiTheme="minorHAnsi" w:hAnsiTheme="minorHAnsi"/>
          <w:sz w:val="24"/>
          <w:lang w:val="pl-PL"/>
        </w:rPr>
      </w:pPr>
    </w:p>
    <w:p w:rsidR="001B0761" w:rsidRPr="00ED0C6A" w:rsidRDefault="00204AC6" w:rsidP="009E233F">
      <w:pPr>
        <w:pStyle w:val="ClinContent"/>
        <w:spacing w:before="0"/>
        <w:rPr>
          <w:rFonts w:asciiTheme="minorHAnsi" w:hAnsiTheme="minorHAnsi"/>
          <w:sz w:val="24"/>
          <w:lang w:val="pl-PL"/>
        </w:rPr>
      </w:pPr>
      <w:r w:rsidRPr="00ED0C6A">
        <w:rPr>
          <w:rFonts w:asciiTheme="minorHAnsi" w:hAnsiTheme="minorHAnsi"/>
          <w:sz w:val="24"/>
          <w:lang w:val="pl-PL"/>
        </w:rPr>
        <w:t xml:space="preserve">Trybunał podkreślił zatem, że ocena, </w:t>
      </w:r>
      <w:r w:rsidR="009E233F" w:rsidRPr="00ED0C6A">
        <w:rPr>
          <w:rFonts w:asciiTheme="minorHAnsi" w:hAnsiTheme="minorHAnsi"/>
          <w:sz w:val="24"/>
          <w:lang w:val="pl-PL"/>
        </w:rPr>
        <w:t>czy nakaz skierowany wobec skarżącej był niezbędny</w:t>
      </w:r>
      <w:r w:rsidRPr="00ED0C6A">
        <w:rPr>
          <w:rFonts w:asciiTheme="minorHAnsi" w:hAnsiTheme="minorHAnsi"/>
          <w:sz w:val="24"/>
          <w:lang w:val="pl-PL"/>
        </w:rPr>
        <w:t xml:space="preserve"> w</w:t>
      </w:r>
      <w:r w:rsidR="00827554">
        <w:rPr>
          <w:rFonts w:asciiTheme="minorHAnsi" w:hAnsiTheme="minorHAnsi"/>
          <w:sz w:val="24"/>
          <w:lang w:val="pl-PL"/>
        </w:rPr>
        <w:t> </w:t>
      </w:r>
      <w:r w:rsidRPr="00ED0C6A">
        <w:rPr>
          <w:rFonts w:asciiTheme="minorHAnsi" w:hAnsiTheme="minorHAnsi"/>
          <w:sz w:val="24"/>
          <w:lang w:val="pl-PL"/>
        </w:rPr>
        <w:t>społeczeństwie demokratycznym, zależy</w:t>
      </w:r>
      <w:r w:rsidR="009E233F" w:rsidRPr="00ED0C6A">
        <w:rPr>
          <w:rFonts w:asciiTheme="minorHAnsi" w:hAnsiTheme="minorHAnsi"/>
          <w:sz w:val="24"/>
          <w:lang w:val="pl-PL"/>
        </w:rPr>
        <w:t xml:space="preserve"> głównie od oceny konieczności jej zeznań w</w:t>
      </w:r>
      <w:r w:rsidR="00827554">
        <w:rPr>
          <w:rFonts w:asciiTheme="minorHAnsi" w:hAnsiTheme="minorHAnsi"/>
          <w:sz w:val="24"/>
          <w:lang w:val="pl-PL"/>
        </w:rPr>
        <w:t> </w:t>
      </w:r>
      <w:r w:rsidR="009E233F" w:rsidRPr="00ED0C6A">
        <w:rPr>
          <w:rFonts w:asciiTheme="minorHAnsi" w:hAnsiTheme="minorHAnsi"/>
          <w:sz w:val="24"/>
          <w:lang w:val="pl-PL"/>
        </w:rPr>
        <w:t xml:space="preserve">czasie śledztwa oraz prowadzonego następnie postępowania sądowego przeciwko panu X. </w:t>
      </w:r>
    </w:p>
    <w:p w:rsidR="001B0761" w:rsidRPr="00ED0C6A" w:rsidRDefault="001B0761" w:rsidP="009E233F">
      <w:pPr>
        <w:pStyle w:val="ClinContent"/>
        <w:spacing w:before="0"/>
        <w:rPr>
          <w:rFonts w:asciiTheme="minorHAnsi" w:hAnsiTheme="minorHAnsi"/>
          <w:sz w:val="24"/>
          <w:lang w:val="pl-PL"/>
        </w:rPr>
      </w:pPr>
    </w:p>
    <w:p w:rsidR="009E233F" w:rsidRPr="00ED0C6A" w:rsidRDefault="001B0761" w:rsidP="009E233F">
      <w:pPr>
        <w:pStyle w:val="ClinContent"/>
        <w:spacing w:before="0"/>
        <w:rPr>
          <w:rFonts w:asciiTheme="minorHAnsi" w:hAnsiTheme="minorHAnsi"/>
          <w:sz w:val="24"/>
          <w:lang w:val="pl-PL"/>
        </w:rPr>
      </w:pPr>
      <w:r w:rsidRPr="00ED0C6A">
        <w:rPr>
          <w:rFonts w:asciiTheme="minorHAnsi" w:hAnsiTheme="minorHAnsi"/>
          <w:sz w:val="24"/>
          <w:lang w:val="pl-PL"/>
        </w:rPr>
        <w:t>W tym względzie Trybunał odnotował, że p</w:t>
      </w:r>
      <w:r w:rsidR="009E233F" w:rsidRPr="00ED0C6A">
        <w:rPr>
          <w:rFonts w:asciiTheme="minorHAnsi" w:hAnsiTheme="minorHAnsi"/>
          <w:sz w:val="24"/>
          <w:lang w:val="pl-PL"/>
        </w:rPr>
        <w:t>an X nie twierdził, że nałożenie tego nakazu na</w:t>
      </w:r>
      <w:r w:rsidR="00827554">
        <w:rPr>
          <w:rFonts w:asciiTheme="minorHAnsi" w:hAnsiTheme="minorHAnsi"/>
          <w:sz w:val="24"/>
          <w:lang w:val="pl-PL"/>
        </w:rPr>
        <w:t> </w:t>
      </w:r>
      <w:r w:rsidR="009E233F" w:rsidRPr="00ED0C6A">
        <w:rPr>
          <w:rFonts w:asciiTheme="minorHAnsi" w:hAnsiTheme="minorHAnsi"/>
          <w:sz w:val="24"/>
          <w:lang w:val="pl-PL"/>
        </w:rPr>
        <w:t>skarżącą było niezbędne dla ochrony jego praw. Choć należało mieć na uwadze powagę zarzucanych przestępstw, odmowa ujawnienia źródła przez skarżącą w żadnym momencie nie utrudniła śledztwa ani postępowania przeciwko panu X. Organ ścigania złożył akt oskarżenia przeciwko panu X bez otrzymania od skarżącej jakiejkolwiek informacji mogącej ujawnić jej źródło. Nie uniemożliwiono sądom krajowym zbadania przedmiotu zarzutów. Po</w:t>
      </w:r>
      <w:r w:rsidR="00827554">
        <w:rPr>
          <w:rFonts w:asciiTheme="minorHAnsi" w:hAnsiTheme="minorHAnsi"/>
          <w:sz w:val="24"/>
          <w:lang w:val="pl-PL"/>
        </w:rPr>
        <w:t> </w:t>
      </w:r>
      <w:r w:rsidR="009E233F" w:rsidRPr="00ED0C6A">
        <w:rPr>
          <w:rFonts w:asciiTheme="minorHAnsi" w:hAnsiTheme="minorHAnsi"/>
          <w:sz w:val="24"/>
          <w:lang w:val="pl-PL"/>
        </w:rPr>
        <w:t>złożeniu przez skarżącą zażalenia od nakazu z</w:t>
      </w:r>
      <w:r w:rsidR="00230F2B" w:rsidRPr="00ED0C6A">
        <w:rPr>
          <w:rFonts w:asciiTheme="minorHAnsi" w:hAnsiTheme="minorHAnsi"/>
          <w:sz w:val="24"/>
          <w:lang w:val="pl-PL"/>
        </w:rPr>
        <w:t>obowiązującego</w:t>
      </w:r>
      <w:r w:rsidR="009E233F" w:rsidRPr="00ED0C6A">
        <w:rPr>
          <w:rFonts w:asciiTheme="minorHAnsi" w:hAnsiTheme="minorHAnsi"/>
          <w:sz w:val="24"/>
          <w:lang w:val="pl-PL"/>
        </w:rPr>
        <w:t xml:space="preserve"> ją do złożenia zeznań prokurator oświadczył, że nie będzie się ubiegać o odroczenie sprawy, jako że organ ścigania w dalszym ciągu uznawał, że sprawa została odpowiednio ujawniona bez zeznań skarżącej. Wyrok</w:t>
      </w:r>
      <w:r w:rsidR="00230F2B" w:rsidRPr="00ED0C6A">
        <w:rPr>
          <w:rFonts w:asciiTheme="minorHAnsi" w:hAnsiTheme="minorHAnsi"/>
          <w:sz w:val="24"/>
          <w:lang w:val="pl-PL"/>
        </w:rPr>
        <w:t>i sądów krajowych wydane</w:t>
      </w:r>
      <w:r w:rsidR="009E233F" w:rsidRPr="00ED0C6A">
        <w:rPr>
          <w:rFonts w:asciiTheme="minorHAnsi" w:hAnsiTheme="minorHAnsi"/>
          <w:sz w:val="24"/>
          <w:lang w:val="pl-PL"/>
        </w:rPr>
        <w:t xml:space="preserve"> przeciwko panu X nie wskazywał</w:t>
      </w:r>
      <w:r w:rsidR="00230F2B" w:rsidRPr="00ED0C6A">
        <w:rPr>
          <w:rFonts w:asciiTheme="minorHAnsi" w:hAnsiTheme="minorHAnsi"/>
          <w:sz w:val="24"/>
          <w:lang w:val="pl-PL"/>
        </w:rPr>
        <w:t>y</w:t>
      </w:r>
      <w:r w:rsidR="009E233F" w:rsidRPr="00ED0C6A">
        <w:rPr>
          <w:rFonts w:asciiTheme="minorHAnsi" w:hAnsiTheme="minorHAnsi"/>
          <w:sz w:val="24"/>
          <w:lang w:val="pl-PL"/>
        </w:rPr>
        <w:t xml:space="preserve"> wreszcie w żaden sposób, że odmowa złożenia zeznań </w:t>
      </w:r>
      <w:r w:rsidR="00230F2B" w:rsidRPr="00ED0C6A">
        <w:rPr>
          <w:rFonts w:asciiTheme="minorHAnsi" w:hAnsiTheme="minorHAnsi"/>
          <w:sz w:val="24"/>
          <w:lang w:val="pl-PL"/>
        </w:rPr>
        <w:t xml:space="preserve">przez skarżącą </w:t>
      </w:r>
      <w:r w:rsidR="009E233F" w:rsidRPr="00ED0C6A">
        <w:rPr>
          <w:rFonts w:asciiTheme="minorHAnsi" w:hAnsiTheme="minorHAnsi"/>
          <w:sz w:val="24"/>
          <w:lang w:val="pl-PL"/>
        </w:rPr>
        <w:t xml:space="preserve">wywołała </w:t>
      </w:r>
      <w:r w:rsidR="00230F2B" w:rsidRPr="00ED0C6A">
        <w:rPr>
          <w:rFonts w:asciiTheme="minorHAnsi" w:hAnsiTheme="minorHAnsi"/>
          <w:sz w:val="24"/>
          <w:lang w:val="pl-PL"/>
        </w:rPr>
        <w:t xml:space="preserve">z ich strony </w:t>
      </w:r>
      <w:r w:rsidR="009E233F" w:rsidRPr="00ED0C6A">
        <w:rPr>
          <w:rFonts w:asciiTheme="minorHAnsi" w:hAnsiTheme="minorHAnsi"/>
          <w:sz w:val="24"/>
          <w:lang w:val="pl-PL"/>
        </w:rPr>
        <w:t>jakiekolwiek obawy dotyczące sprawy lub dowodów przeciwko panu X.</w:t>
      </w:r>
    </w:p>
    <w:p w:rsidR="001B0761" w:rsidRPr="00ED0C6A" w:rsidRDefault="001B0761" w:rsidP="009E233F">
      <w:pPr>
        <w:pStyle w:val="ClinContent"/>
        <w:spacing w:before="0"/>
        <w:rPr>
          <w:rFonts w:asciiTheme="minorHAnsi" w:hAnsiTheme="minorHAnsi"/>
          <w:sz w:val="24"/>
          <w:lang w:val="pl-PL"/>
        </w:rPr>
      </w:pPr>
    </w:p>
    <w:p w:rsidR="001B0761" w:rsidRPr="00ED0C6A" w:rsidRDefault="009E233F" w:rsidP="009E233F">
      <w:pPr>
        <w:pStyle w:val="ClinContent"/>
        <w:spacing w:before="0"/>
        <w:rPr>
          <w:rFonts w:asciiTheme="minorHAnsi" w:hAnsiTheme="minorHAnsi"/>
          <w:sz w:val="24"/>
          <w:lang w:val="pl-PL"/>
        </w:rPr>
      </w:pPr>
      <w:r w:rsidRPr="00ED0C6A">
        <w:rPr>
          <w:rFonts w:asciiTheme="minorHAnsi" w:hAnsiTheme="minorHAnsi"/>
          <w:sz w:val="24"/>
          <w:lang w:val="pl-PL"/>
        </w:rPr>
        <w:t xml:space="preserve">Trybunał </w:t>
      </w:r>
      <w:r w:rsidR="001B0761" w:rsidRPr="00ED0C6A">
        <w:rPr>
          <w:rFonts w:asciiTheme="minorHAnsi" w:hAnsiTheme="minorHAnsi"/>
          <w:sz w:val="24"/>
          <w:lang w:val="pl-PL"/>
        </w:rPr>
        <w:t>przypomniał też</w:t>
      </w:r>
      <w:r w:rsidRPr="00ED0C6A">
        <w:rPr>
          <w:rFonts w:asciiTheme="minorHAnsi" w:hAnsiTheme="minorHAnsi"/>
          <w:sz w:val="24"/>
          <w:lang w:val="pl-PL"/>
        </w:rPr>
        <w:t>, że powstanie przeświadczenia, że dziennikarze pomagają w</w:t>
      </w:r>
      <w:r w:rsidR="00827554">
        <w:rPr>
          <w:rFonts w:asciiTheme="minorHAnsi" w:hAnsiTheme="minorHAnsi"/>
          <w:sz w:val="24"/>
          <w:lang w:val="pl-PL"/>
        </w:rPr>
        <w:t> </w:t>
      </w:r>
      <w:r w:rsidRPr="00ED0C6A">
        <w:rPr>
          <w:rFonts w:asciiTheme="minorHAnsi" w:hAnsiTheme="minorHAnsi"/>
          <w:sz w:val="24"/>
          <w:lang w:val="pl-PL"/>
        </w:rPr>
        <w:t>ustaleniu tożsamości anonimowych źródeł informacji, ma każdorazowo efekt mrożący. W</w:t>
      </w:r>
      <w:r w:rsidR="00827554">
        <w:rPr>
          <w:rFonts w:asciiTheme="minorHAnsi" w:hAnsiTheme="minorHAnsi"/>
          <w:sz w:val="24"/>
          <w:lang w:val="pl-PL"/>
        </w:rPr>
        <w:t> </w:t>
      </w:r>
      <w:r w:rsidRPr="00ED0C6A">
        <w:rPr>
          <w:rFonts w:asciiTheme="minorHAnsi" w:hAnsiTheme="minorHAnsi"/>
          <w:sz w:val="24"/>
          <w:lang w:val="pl-PL"/>
        </w:rPr>
        <w:t xml:space="preserve">obecnej </w:t>
      </w:r>
      <w:r w:rsidR="00620779" w:rsidRPr="00ED0C6A">
        <w:rPr>
          <w:rFonts w:asciiTheme="minorHAnsi" w:hAnsiTheme="minorHAnsi"/>
          <w:sz w:val="24"/>
          <w:lang w:val="pl-PL"/>
        </w:rPr>
        <w:t xml:space="preserve">jednak </w:t>
      </w:r>
      <w:r w:rsidRPr="00ED0C6A">
        <w:rPr>
          <w:rFonts w:asciiTheme="minorHAnsi" w:hAnsiTheme="minorHAnsi"/>
          <w:sz w:val="24"/>
          <w:lang w:val="pl-PL"/>
        </w:rPr>
        <w:t xml:space="preserve">sprawie nakaz był ograniczony do </w:t>
      </w:r>
      <w:r w:rsidR="00620779" w:rsidRPr="00ED0C6A">
        <w:rPr>
          <w:rFonts w:asciiTheme="minorHAnsi" w:hAnsiTheme="minorHAnsi"/>
          <w:sz w:val="24"/>
          <w:lang w:val="pl-PL"/>
        </w:rPr>
        <w:t xml:space="preserve">zobowiązania </w:t>
      </w:r>
      <w:r w:rsidRPr="00ED0C6A">
        <w:rPr>
          <w:rFonts w:asciiTheme="minorHAnsi" w:hAnsiTheme="minorHAnsi"/>
          <w:sz w:val="24"/>
          <w:lang w:val="pl-PL"/>
        </w:rPr>
        <w:t xml:space="preserve">skarżącej </w:t>
      </w:r>
      <w:r w:rsidR="00620779" w:rsidRPr="00ED0C6A">
        <w:rPr>
          <w:rFonts w:asciiTheme="minorHAnsi" w:hAnsiTheme="minorHAnsi"/>
          <w:sz w:val="24"/>
          <w:lang w:val="pl-PL"/>
        </w:rPr>
        <w:t xml:space="preserve">do </w:t>
      </w:r>
      <w:r w:rsidRPr="00ED0C6A">
        <w:rPr>
          <w:rFonts w:asciiTheme="minorHAnsi" w:hAnsiTheme="minorHAnsi"/>
          <w:sz w:val="24"/>
          <w:lang w:val="pl-PL"/>
        </w:rPr>
        <w:t xml:space="preserve">złożenia zeznań na temat jej kontaktów z panem X, który sam </w:t>
      </w:r>
      <w:r w:rsidR="00620779" w:rsidRPr="00ED0C6A">
        <w:rPr>
          <w:rFonts w:asciiTheme="minorHAnsi" w:hAnsiTheme="minorHAnsi"/>
          <w:sz w:val="24"/>
          <w:lang w:val="pl-PL"/>
        </w:rPr>
        <w:t xml:space="preserve">już </w:t>
      </w:r>
      <w:r w:rsidRPr="00ED0C6A">
        <w:rPr>
          <w:rFonts w:asciiTheme="minorHAnsi" w:hAnsiTheme="minorHAnsi"/>
          <w:sz w:val="24"/>
          <w:lang w:val="pl-PL"/>
        </w:rPr>
        <w:t xml:space="preserve">oświadczył, że był źródłem. </w:t>
      </w:r>
      <w:r w:rsidR="00230F2B" w:rsidRPr="00ED0C6A">
        <w:rPr>
          <w:rFonts w:asciiTheme="minorHAnsi" w:hAnsiTheme="minorHAnsi"/>
          <w:sz w:val="24"/>
          <w:lang w:val="pl-PL"/>
        </w:rPr>
        <w:t>Choć</w:t>
      </w:r>
      <w:r w:rsidR="00827554">
        <w:rPr>
          <w:rFonts w:asciiTheme="minorHAnsi" w:hAnsiTheme="minorHAnsi"/>
          <w:sz w:val="24"/>
          <w:lang w:val="pl-PL"/>
        </w:rPr>
        <w:t> </w:t>
      </w:r>
      <w:r w:rsidRPr="00ED0C6A">
        <w:rPr>
          <w:rFonts w:asciiTheme="minorHAnsi" w:hAnsiTheme="minorHAnsi"/>
          <w:sz w:val="24"/>
          <w:lang w:val="pl-PL"/>
        </w:rPr>
        <w:t>publiczny odbiór zasady nieujawniania źródeł nie doznałby</w:t>
      </w:r>
      <w:r w:rsidR="001B0761" w:rsidRPr="00ED0C6A">
        <w:rPr>
          <w:rFonts w:asciiTheme="minorHAnsi" w:hAnsiTheme="minorHAnsi"/>
          <w:sz w:val="24"/>
          <w:lang w:val="pl-PL"/>
        </w:rPr>
        <w:t>,</w:t>
      </w:r>
      <w:r w:rsidRPr="00ED0C6A">
        <w:rPr>
          <w:rFonts w:asciiTheme="minorHAnsi" w:hAnsiTheme="minorHAnsi"/>
          <w:sz w:val="24"/>
          <w:lang w:val="pl-PL"/>
        </w:rPr>
        <w:t xml:space="preserve"> być może</w:t>
      </w:r>
      <w:r w:rsidR="001B0761" w:rsidRPr="00ED0C6A">
        <w:rPr>
          <w:rFonts w:asciiTheme="minorHAnsi" w:hAnsiTheme="minorHAnsi"/>
          <w:sz w:val="24"/>
          <w:lang w:val="pl-PL"/>
        </w:rPr>
        <w:t>,</w:t>
      </w:r>
      <w:r w:rsidRPr="00ED0C6A">
        <w:rPr>
          <w:rFonts w:asciiTheme="minorHAnsi" w:hAnsiTheme="minorHAnsi"/>
          <w:sz w:val="24"/>
          <w:lang w:val="pl-PL"/>
        </w:rPr>
        <w:t xml:space="preserve"> żadnego uszczerbku</w:t>
      </w:r>
      <w:r w:rsidR="00230F2B" w:rsidRPr="00ED0C6A">
        <w:rPr>
          <w:rFonts w:asciiTheme="minorHAnsi" w:hAnsiTheme="minorHAnsi"/>
          <w:sz w:val="24"/>
          <w:lang w:val="pl-PL"/>
        </w:rPr>
        <w:t xml:space="preserve"> w tej sytuacji</w:t>
      </w:r>
      <w:r w:rsidRPr="00ED0C6A">
        <w:rPr>
          <w:rFonts w:asciiTheme="minorHAnsi" w:hAnsiTheme="minorHAnsi"/>
          <w:sz w:val="24"/>
          <w:lang w:val="pl-PL"/>
        </w:rPr>
        <w:t>, Trybunał uznał, że okoliczności obecnej sprawy</w:t>
      </w:r>
      <w:r w:rsidR="00620779" w:rsidRPr="00ED0C6A">
        <w:rPr>
          <w:rFonts w:asciiTheme="minorHAnsi" w:hAnsiTheme="minorHAnsi"/>
          <w:sz w:val="24"/>
          <w:lang w:val="pl-PL"/>
        </w:rPr>
        <w:t xml:space="preserve"> mimo to</w:t>
      </w:r>
      <w:r w:rsidRPr="00ED0C6A">
        <w:rPr>
          <w:rFonts w:asciiTheme="minorHAnsi" w:hAnsiTheme="minorHAnsi"/>
          <w:sz w:val="24"/>
          <w:lang w:val="pl-PL"/>
        </w:rPr>
        <w:t xml:space="preserve"> nie były wystarczające, by zmus</w:t>
      </w:r>
      <w:r w:rsidR="001B0761" w:rsidRPr="00ED0C6A">
        <w:rPr>
          <w:rFonts w:asciiTheme="minorHAnsi" w:hAnsiTheme="minorHAnsi"/>
          <w:sz w:val="24"/>
          <w:lang w:val="pl-PL"/>
        </w:rPr>
        <w:t>za</w:t>
      </w:r>
      <w:r w:rsidRPr="00ED0C6A">
        <w:rPr>
          <w:rFonts w:asciiTheme="minorHAnsi" w:hAnsiTheme="minorHAnsi"/>
          <w:sz w:val="24"/>
          <w:lang w:val="pl-PL"/>
        </w:rPr>
        <w:t>ć skarżącą do złożenia zeznań. Powody przemawiające za</w:t>
      </w:r>
      <w:r w:rsidR="00827554">
        <w:rPr>
          <w:rFonts w:asciiTheme="minorHAnsi" w:hAnsiTheme="minorHAnsi"/>
          <w:sz w:val="24"/>
          <w:lang w:val="pl-PL"/>
        </w:rPr>
        <w:t> </w:t>
      </w:r>
      <w:r w:rsidRPr="00ED0C6A">
        <w:rPr>
          <w:rFonts w:asciiTheme="minorHAnsi" w:hAnsiTheme="minorHAnsi"/>
          <w:sz w:val="24"/>
          <w:lang w:val="pl-PL"/>
        </w:rPr>
        <w:t xml:space="preserve">zmuszeniem skarżącej do złożenia zeznań, choć istotne, były niewystarczające. </w:t>
      </w:r>
    </w:p>
    <w:p w:rsidR="001B0761" w:rsidRPr="00ED0C6A" w:rsidRDefault="001B0761" w:rsidP="009E233F">
      <w:pPr>
        <w:pStyle w:val="ClinContent"/>
        <w:spacing w:before="0"/>
        <w:rPr>
          <w:rFonts w:asciiTheme="minorHAnsi" w:hAnsiTheme="minorHAnsi"/>
          <w:sz w:val="24"/>
          <w:lang w:val="pl-PL"/>
        </w:rPr>
      </w:pPr>
    </w:p>
    <w:p w:rsidR="00870317" w:rsidRPr="00ED0C6A" w:rsidRDefault="009E233F" w:rsidP="009E233F">
      <w:pPr>
        <w:pStyle w:val="ClinContent"/>
        <w:spacing w:before="0"/>
        <w:rPr>
          <w:rFonts w:asciiTheme="minorHAnsi" w:hAnsiTheme="minorHAnsi"/>
          <w:sz w:val="24"/>
          <w:lang w:val="pl-PL"/>
        </w:rPr>
      </w:pPr>
      <w:r w:rsidRPr="00ED0C6A">
        <w:rPr>
          <w:rFonts w:asciiTheme="minorHAnsi" w:hAnsiTheme="minorHAnsi"/>
          <w:sz w:val="24"/>
          <w:lang w:val="pl-PL"/>
        </w:rPr>
        <w:t xml:space="preserve">A zatem uwzględniając nawet </w:t>
      </w:r>
      <w:r w:rsidR="001B0761" w:rsidRPr="00ED0C6A">
        <w:rPr>
          <w:rFonts w:asciiTheme="minorHAnsi" w:hAnsiTheme="minorHAnsi"/>
          <w:sz w:val="24"/>
          <w:lang w:val="pl-PL"/>
        </w:rPr>
        <w:t xml:space="preserve">odpowiedni </w:t>
      </w:r>
      <w:r w:rsidR="00620779" w:rsidRPr="00ED0C6A">
        <w:rPr>
          <w:rFonts w:asciiTheme="minorHAnsi" w:hAnsiTheme="minorHAnsi"/>
          <w:sz w:val="24"/>
          <w:lang w:val="pl-PL"/>
        </w:rPr>
        <w:t>(</w:t>
      </w:r>
      <w:r w:rsidR="001B0761" w:rsidRPr="00ED0C6A">
        <w:rPr>
          <w:rFonts w:asciiTheme="minorHAnsi" w:hAnsiTheme="minorHAnsi"/>
          <w:sz w:val="24"/>
          <w:lang w:val="pl-PL"/>
        </w:rPr>
        <w:t>niższy</w:t>
      </w:r>
      <w:r w:rsidR="00620779" w:rsidRPr="00ED0C6A">
        <w:rPr>
          <w:rFonts w:asciiTheme="minorHAnsi" w:hAnsiTheme="minorHAnsi"/>
          <w:sz w:val="24"/>
          <w:lang w:val="pl-PL"/>
        </w:rPr>
        <w:t>)</w:t>
      </w:r>
      <w:r w:rsidR="001B0761" w:rsidRPr="00ED0C6A">
        <w:rPr>
          <w:rFonts w:asciiTheme="minorHAnsi" w:hAnsiTheme="minorHAnsi"/>
          <w:sz w:val="24"/>
          <w:lang w:val="pl-PL"/>
        </w:rPr>
        <w:t xml:space="preserve"> </w:t>
      </w:r>
      <w:r w:rsidRPr="00ED0C6A">
        <w:rPr>
          <w:rFonts w:asciiTheme="minorHAnsi" w:hAnsiTheme="minorHAnsi"/>
          <w:sz w:val="24"/>
          <w:lang w:val="pl-PL"/>
        </w:rPr>
        <w:t>poziom ochrony</w:t>
      </w:r>
      <w:r w:rsidR="00204AC6" w:rsidRPr="00ED0C6A">
        <w:rPr>
          <w:rFonts w:asciiTheme="minorHAnsi" w:hAnsiTheme="minorHAnsi"/>
          <w:sz w:val="24"/>
          <w:lang w:val="pl-PL"/>
        </w:rPr>
        <w:t xml:space="preserve"> źródła</w:t>
      </w:r>
      <w:r w:rsidRPr="00ED0C6A">
        <w:rPr>
          <w:rFonts w:asciiTheme="minorHAnsi" w:hAnsiTheme="minorHAnsi"/>
          <w:sz w:val="24"/>
          <w:lang w:val="pl-PL"/>
        </w:rPr>
        <w:t xml:space="preserve"> mający zastosowanie w szczególnych okolicznościach obecnej sprawy, Trybunał nie był przekonany, że</w:t>
      </w:r>
      <w:r w:rsidR="00230F2B" w:rsidRPr="00ED0C6A">
        <w:rPr>
          <w:rFonts w:asciiTheme="minorHAnsi" w:hAnsiTheme="minorHAnsi"/>
          <w:sz w:val="24"/>
          <w:lang w:val="pl-PL"/>
        </w:rPr>
        <w:t xml:space="preserve"> kwestionowany</w:t>
      </w:r>
      <w:r w:rsidRPr="00ED0C6A">
        <w:rPr>
          <w:rFonts w:asciiTheme="minorHAnsi" w:hAnsiTheme="minorHAnsi"/>
          <w:sz w:val="24"/>
          <w:lang w:val="pl-PL"/>
        </w:rPr>
        <w:t xml:space="preserve"> nakaz </w:t>
      </w:r>
      <w:r w:rsidR="00724284" w:rsidRPr="00ED0C6A">
        <w:rPr>
          <w:rFonts w:asciiTheme="minorHAnsi" w:hAnsiTheme="minorHAnsi"/>
          <w:sz w:val="24"/>
          <w:lang w:val="pl-PL"/>
        </w:rPr>
        <w:t xml:space="preserve">nałożony na skarżącą </w:t>
      </w:r>
      <w:r w:rsidRPr="00ED0C6A">
        <w:rPr>
          <w:rFonts w:asciiTheme="minorHAnsi" w:hAnsiTheme="minorHAnsi"/>
          <w:sz w:val="24"/>
          <w:lang w:val="pl-PL"/>
        </w:rPr>
        <w:t>był uzasadniony nadrzędnymi względami o</w:t>
      </w:r>
      <w:r w:rsidR="00827554">
        <w:rPr>
          <w:rFonts w:asciiTheme="minorHAnsi" w:hAnsiTheme="minorHAnsi"/>
          <w:sz w:val="24"/>
          <w:lang w:val="pl-PL"/>
        </w:rPr>
        <w:t> </w:t>
      </w:r>
      <w:r w:rsidRPr="00ED0C6A">
        <w:rPr>
          <w:rFonts w:asciiTheme="minorHAnsi" w:hAnsiTheme="minorHAnsi"/>
          <w:sz w:val="24"/>
          <w:lang w:val="pl-PL"/>
        </w:rPr>
        <w:t>charakterze interesu publicznego, a co za tym idzie niezbędny w społeczeństwie demokratycznym.</w:t>
      </w:r>
      <w:r w:rsidR="00724284" w:rsidRPr="00ED0C6A">
        <w:rPr>
          <w:rFonts w:asciiTheme="minorHAnsi" w:hAnsiTheme="minorHAnsi"/>
          <w:sz w:val="24"/>
          <w:lang w:val="pl-PL"/>
        </w:rPr>
        <w:t xml:space="preserve"> </w:t>
      </w:r>
    </w:p>
    <w:p w:rsidR="00870317" w:rsidRPr="00ED0C6A" w:rsidRDefault="00870317" w:rsidP="009E233F">
      <w:pPr>
        <w:pStyle w:val="ClinContent"/>
        <w:spacing w:before="0"/>
        <w:rPr>
          <w:rFonts w:asciiTheme="minorHAnsi" w:hAnsiTheme="minorHAnsi"/>
          <w:sz w:val="24"/>
          <w:lang w:val="pl-PL"/>
        </w:rPr>
      </w:pPr>
    </w:p>
    <w:p w:rsidR="009E233F" w:rsidRPr="00ED0C6A" w:rsidRDefault="00724284" w:rsidP="009E233F">
      <w:pPr>
        <w:pStyle w:val="ClinContent"/>
        <w:spacing w:before="0"/>
        <w:rPr>
          <w:rFonts w:asciiTheme="minorHAnsi" w:hAnsiTheme="minorHAnsi"/>
          <w:sz w:val="24"/>
          <w:lang w:val="pl-PL"/>
        </w:rPr>
      </w:pPr>
      <w:r w:rsidRPr="00ED0C6A">
        <w:rPr>
          <w:rFonts w:asciiTheme="minorHAnsi" w:hAnsiTheme="minorHAnsi"/>
          <w:sz w:val="24"/>
          <w:lang w:val="pl-PL"/>
        </w:rPr>
        <w:t xml:space="preserve">Z powyższych względów Trybunał jednomyślnie stwierdził naruszenie art. 10 Konwencji (wolność wyrażania opinii) i zobowiązał pozwane Państwo </w:t>
      </w:r>
      <w:r w:rsidR="009E233F" w:rsidRPr="00ED0C6A">
        <w:rPr>
          <w:rFonts w:asciiTheme="minorHAnsi" w:hAnsiTheme="minorHAnsi"/>
          <w:sz w:val="24"/>
          <w:lang w:val="pl-PL"/>
        </w:rPr>
        <w:t>do zwrócenia skarżącej kosztów zapłaconej grzywny</w:t>
      </w:r>
      <w:r w:rsidRPr="00ED0C6A">
        <w:rPr>
          <w:rFonts w:asciiTheme="minorHAnsi" w:hAnsiTheme="minorHAnsi"/>
          <w:sz w:val="24"/>
          <w:lang w:val="pl-PL"/>
        </w:rPr>
        <w:t>.</w:t>
      </w:r>
    </w:p>
    <w:p w:rsidR="00817288" w:rsidRPr="00ED0C6A" w:rsidRDefault="00817288" w:rsidP="009E233F">
      <w:pPr>
        <w:pStyle w:val="ClinContent"/>
        <w:spacing w:before="0"/>
        <w:rPr>
          <w:rFonts w:asciiTheme="minorHAnsi" w:hAnsiTheme="minorHAnsi"/>
          <w:sz w:val="24"/>
          <w:lang w:val="pl-PL"/>
        </w:rPr>
      </w:pPr>
    </w:p>
    <w:p w:rsidR="006E1BFB" w:rsidRPr="00ED0C6A" w:rsidRDefault="00817288" w:rsidP="009E233F">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w:t>
      </w:r>
      <w:r w:rsidR="007F1CA0" w:rsidRPr="00ED0C6A">
        <w:rPr>
          <w:rFonts w:asciiTheme="minorHAnsi" w:hAnsiTheme="minorHAnsi"/>
          <w:sz w:val="24"/>
          <w:lang w:val="pl-PL"/>
        </w:rPr>
        <w:t xml:space="preserve"> Wyrok Trybunału przypomina i uzupełnia wcześniejsze orzecznictwo dotyczące ochrony dziennikarskich źródeł informacji. Po raz pierwszy</w:t>
      </w:r>
      <w:r w:rsidRPr="00ED0C6A">
        <w:rPr>
          <w:rFonts w:asciiTheme="minorHAnsi" w:hAnsiTheme="minorHAnsi"/>
          <w:sz w:val="24"/>
          <w:lang w:val="pl-PL"/>
        </w:rPr>
        <w:t xml:space="preserve"> </w:t>
      </w:r>
      <w:r w:rsidR="007F1CA0" w:rsidRPr="00ED0C6A">
        <w:rPr>
          <w:rFonts w:asciiTheme="minorHAnsi" w:hAnsiTheme="minorHAnsi"/>
          <w:sz w:val="24"/>
          <w:lang w:val="pl-PL"/>
        </w:rPr>
        <w:t>Trybunał rozpatrzył</w:t>
      </w:r>
      <w:r w:rsidRPr="00ED0C6A">
        <w:rPr>
          <w:rFonts w:asciiTheme="minorHAnsi" w:hAnsiTheme="minorHAnsi"/>
          <w:sz w:val="24"/>
          <w:lang w:val="pl-PL"/>
        </w:rPr>
        <w:t xml:space="preserve"> </w:t>
      </w:r>
      <w:r w:rsidR="007F1CA0" w:rsidRPr="00ED0C6A">
        <w:rPr>
          <w:rFonts w:asciiTheme="minorHAnsi" w:hAnsiTheme="minorHAnsi"/>
          <w:sz w:val="24"/>
          <w:lang w:val="pl-PL"/>
        </w:rPr>
        <w:t xml:space="preserve">kwestię </w:t>
      </w:r>
      <w:r w:rsidRPr="00ED0C6A">
        <w:rPr>
          <w:rFonts w:asciiTheme="minorHAnsi" w:hAnsiTheme="minorHAnsi"/>
          <w:sz w:val="24"/>
          <w:lang w:val="pl-PL"/>
        </w:rPr>
        <w:t xml:space="preserve">zobowiązania dziennikarza </w:t>
      </w:r>
      <w:r w:rsidR="007F1CA0" w:rsidRPr="00ED0C6A">
        <w:rPr>
          <w:rFonts w:asciiTheme="minorHAnsi" w:hAnsiTheme="minorHAnsi"/>
          <w:sz w:val="24"/>
          <w:lang w:val="pl-PL"/>
        </w:rPr>
        <w:t>nie do ujawnienia tożsamości źródła, a</w:t>
      </w:r>
      <w:r w:rsidR="00827554">
        <w:rPr>
          <w:rFonts w:asciiTheme="minorHAnsi" w:hAnsiTheme="minorHAnsi"/>
          <w:sz w:val="24"/>
          <w:lang w:val="pl-PL"/>
        </w:rPr>
        <w:t> </w:t>
      </w:r>
      <w:r w:rsidRPr="00ED0C6A">
        <w:rPr>
          <w:rFonts w:asciiTheme="minorHAnsi" w:hAnsiTheme="minorHAnsi"/>
          <w:sz w:val="24"/>
          <w:lang w:val="pl-PL"/>
        </w:rPr>
        <w:t>do</w:t>
      </w:r>
      <w:r w:rsidR="00827554">
        <w:rPr>
          <w:rFonts w:asciiTheme="minorHAnsi" w:hAnsiTheme="minorHAnsi"/>
          <w:sz w:val="24"/>
          <w:lang w:val="pl-PL"/>
        </w:rPr>
        <w:t> </w:t>
      </w:r>
      <w:r w:rsidRPr="00ED0C6A">
        <w:rPr>
          <w:rFonts w:asciiTheme="minorHAnsi" w:hAnsiTheme="minorHAnsi"/>
          <w:sz w:val="24"/>
          <w:lang w:val="pl-PL"/>
        </w:rPr>
        <w:t>złożenia zeznań na temat kontaktów ze źródłem, które samo się ujawniło</w:t>
      </w:r>
      <w:r w:rsidR="007F1CA0" w:rsidRPr="00ED0C6A">
        <w:rPr>
          <w:rFonts w:asciiTheme="minorHAnsi" w:hAnsiTheme="minorHAnsi"/>
          <w:sz w:val="24"/>
          <w:lang w:val="pl-PL"/>
        </w:rPr>
        <w:t xml:space="preserve"> w</w:t>
      </w:r>
      <w:r w:rsidR="00827554">
        <w:rPr>
          <w:rFonts w:asciiTheme="minorHAnsi" w:hAnsiTheme="minorHAnsi"/>
          <w:sz w:val="24"/>
          <w:lang w:val="pl-PL"/>
        </w:rPr>
        <w:t> </w:t>
      </w:r>
      <w:r w:rsidR="007F1CA0" w:rsidRPr="00ED0C6A">
        <w:rPr>
          <w:rFonts w:asciiTheme="minorHAnsi" w:hAnsiTheme="minorHAnsi"/>
          <w:sz w:val="24"/>
          <w:lang w:val="pl-PL"/>
        </w:rPr>
        <w:t>postępowaniu karnym</w:t>
      </w:r>
      <w:r w:rsidRPr="00ED0C6A">
        <w:rPr>
          <w:rFonts w:asciiTheme="minorHAnsi" w:hAnsiTheme="minorHAnsi"/>
          <w:sz w:val="24"/>
          <w:lang w:val="pl-PL"/>
        </w:rPr>
        <w:t xml:space="preserve">. </w:t>
      </w:r>
      <w:r w:rsidR="007F1CA0" w:rsidRPr="00ED0C6A">
        <w:rPr>
          <w:rFonts w:asciiTheme="minorHAnsi" w:hAnsiTheme="minorHAnsi"/>
          <w:sz w:val="24"/>
          <w:lang w:val="pl-PL"/>
        </w:rPr>
        <w:t>Sam fakt, że źródło się ujawniło</w:t>
      </w:r>
      <w:r w:rsidR="00E82F19" w:rsidRPr="00ED0C6A">
        <w:rPr>
          <w:rFonts w:asciiTheme="minorHAnsi" w:hAnsiTheme="minorHAnsi"/>
          <w:sz w:val="24"/>
          <w:lang w:val="pl-PL"/>
        </w:rPr>
        <w:t>,</w:t>
      </w:r>
      <w:r w:rsidR="007F1CA0" w:rsidRPr="00ED0C6A">
        <w:rPr>
          <w:rFonts w:asciiTheme="minorHAnsi" w:hAnsiTheme="minorHAnsi"/>
          <w:sz w:val="24"/>
          <w:lang w:val="pl-PL"/>
        </w:rPr>
        <w:t xml:space="preserve"> nie jest wystarczający do uznania, że brak jest potrzeby ochrony źródeł dziennikarskich. </w:t>
      </w:r>
      <w:r w:rsidRPr="00ED0C6A">
        <w:rPr>
          <w:rFonts w:asciiTheme="minorHAnsi" w:hAnsiTheme="minorHAnsi"/>
          <w:sz w:val="24"/>
          <w:lang w:val="pl-PL"/>
        </w:rPr>
        <w:t>Trybunał wskazał na kryteria, jakie</w:t>
      </w:r>
      <w:r w:rsidR="00827554">
        <w:rPr>
          <w:rFonts w:asciiTheme="minorHAnsi" w:hAnsiTheme="minorHAnsi"/>
          <w:sz w:val="24"/>
          <w:lang w:val="pl-PL"/>
        </w:rPr>
        <w:t> </w:t>
      </w:r>
      <w:r w:rsidRPr="00ED0C6A">
        <w:rPr>
          <w:rFonts w:asciiTheme="minorHAnsi" w:hAnsiTheme="minorHAnsi"/>
          <w:sz w:val="24"/>
          <w:lang w:val="pl-PL"/>
        </w:rPr>
        <w:t>powinny być uwzględnione przy ocenie, czy zobowiązanie dziennikarza do złożenia zeznań jest niezbędne w społeczeństwie demokratycznym</w:t>
      </w:r>
      <w:r w:rsidR="00A90DA3" w:rsidRPr="00ED0C6A">
        <w:rPr>
          <w:rFonts w:asciiTheme="minorHAnsi" w:hAnsiTheme="minorHAnsi"/>
          <w:sz w:val="24"/>
          <w:lang w:val="pl-PL"/>
        </w:rPr>
        <w:t xml:space="preserve"> (warto uwzględniać te kryteria w</w:t>
      </w:r>
      <w:r w:rsidR="00827554">
        <w:rPr>
          <w:rFonts w:asciiTheme="minorHAnsi" w:hAnsiTheme="minorHAnsi"/>
          <w:sz w:val="24"/>
          <w:lang w:val="pl-PL"/>
        </w:rPr>
        <w:t> </w:t>
      </w:r>
      <w:r w:rsidR="00A90DA3" w:rsidRPr="00ED0C6A">
        <w:rPr>
          <w:rFonts w:asciiTheme="minorHAnsi" w:hAnsiTheme="minorHAnsi"/>
          <w:sz w:val="24"/>
          <w:lang w:val="pl-PL"/>
        </w:rPr>
        <w:t>prowadzonych działaniach szkoleniowych)</w:t>
      </w:r>
      <w:r w:rsidRPr="00ED0C6A">
        <w:rPr>
          <w:rFonts w:asciiTheme="minorHAnsi" w:hAnsiTheme="minorHAnsi"/>
          <w:sz w:val="24"/>
          <w:lang w:val="pl-PL"/>
        </w:rPr>
        <w:t xml:space="preserve">. </w:t>
      </w:r>
      <w:r w:rsidR="007F1CA0" w:rsidRPr="00ED0C6A">
        <w:rPr>
          <w:rFonts w:asciiTheme="minorHAnsi" w:hAnsiTheme="minorHAnsi"/>
          <w:sz w:val="24"/>
          <w:lang w:val="pl-PL"/>
        </w:rPr>
        <w:t>Z jednej strony</w:t>
      </w:r>
      <w:r w:rsidR="00E925AA" w:rsidRPr="00ED0C6A">
        <w:rPr>
          <w:rFonts w:asciiTheme="minorHAnsi" w:hAnsiTheme="minorHAnsi"/>
          <w:sz w:val="24"/>
          <w:lang w:val="pl-PL"/>
        </w:rPr>
        <w:t xml:space="preserve">, motywacja działania źródła, które wykorzystało dziennikarkę celem manipulacji, szkodliwy cel </w:t>
      </w:r>
      <w:r w:rsidRPr="00ED0C6A">
        <w:rPr>
          <w:rFonts w:asciiTheme="minorHAnsi" w:hAnsiTheme="minorHAnsi"/>
          <w:sz w:val="24"/>
          <w:lang w:val="pl-PL"/>
        </w:rPr>
        <w:t>działania źródła oraz</w:t>
      </w:r>
      <w:r w:rsidR="00827554">
        <w:rPr>
          <w:rFonts w:asciiTheme="minorHAnsi" w:hAnsiTheme="minorHAnsi"/>
          <w:sz w:val="24"/>
          <w:lang w:val="pl-PL"/>
        </w:rPr>
        <w:t> </w:t>
      </w:r>
      <w:r w:rsidRPr="00ED0C6A">
        <w:rPr>
          <w:rFonts w:asciiTheme="minorHAnsi" w:hAnsiTheme="minorHAnsi"/>
          <w:sz w:val="24"/>
          <w:lang w:val="pl-PL"/>
        </w:rPr>
        <w:t>ujaw</w:t>
      </w:r>
      <w:r w:rsidR="007F1CA0" w:rsidRPr="00ED0C6A">
        <w:rPr>
          <w:rFonts w:asciiTheme="minorHAnsi" w:hAnsiTheme="minorHAnsi"/>
          <w:sz w:val="24"/>
          <w:lang w:val="pl-PL"/>
        </w:rPr>
        <w:t>nienie</w:t>
      </w:r>
      <w:r w:rsidRPr="00ED0C6A">
        <w:rPr>
          <w:rFonts w:asciiTheme="minorHAnsi" w:hAnsiTheme="minorHAnsi"/>
          <w:sz w:val="24"/>
          <w:lang w:val="pl-PL"/>
        </w:rPr>
        <w:t xml:space="preserve"> się </w:t>
      </w:r>
      <w:r w:rsidR="007F1CA0" w:rsidRPr="00ED0C6A">
        <w:rPr>
          <w:rFonts w:asciiTheme="minorHAnsi" w:hAnsiTheme="minorHAnsi"/>
          <w:sz w:val="24"/>
          <w:lang w:val="pl-PL"/>
        </w:rPr>
        <w:t xml:space="preserve">przez </w:t>
      </w:r>
      <w:r w:rsidR="00E925AA" w:rsidRPr="00ED0C6A">
        <w:rPr>
          <w:rFonts w:asciiTheme="minorHAnsi" w:hAnsiTheme="minorHAnsi"/>
          <w:sz w:val="24"/>
          <w:lang w:val="pl-PL"/>
        </w:rPr>
        <w:t xml:space="preserve">samo </w:t>
      </w:r>
      <w:r w:rsidR="007F1CA0" w:rsidRPr="00ED0C6A">
        <w:rPr>
          <w:rFonts w:asciiTheme="minorHAnsi" w:hAnsiTheme="minorHAnsi"/>
          <w:sz w:val="24"/>
          <w:lang w:val="pl-PL"/>
        </w:rPr>
        <w:t>źródło mogły</w:t>
      </w:r>
      <w:r w:rsidR="00E925AA" w:rsidRPr="00ED0C6A">
        <w:rPr>
          <w:rFonts w:asciiTheme="minorHAnsi" w:hAnsiTheme="minorHAnsi"/>
          <w:sz w:val="24"/>
          <w:lang w:val="pl-PL"/>
        </w:rPr>
        <w:t xml:space="preserve"> przemawiać za zmniejszenie</w:t>
      </w:r>
      <w:r w:rsidRPr="00ED0C6A">
        <w:rPr>
          <w:rFonts w:asciiTheme="minorHAnsi" w:hAnsiTheme="minorHAnsi"/>
          <w:sz w:val="24"/>
          <w:lang w:val="pl-PL"/>
        </w:rPr>
        <w:t xml:space="preserve">m </w:t>
      </w:r>
      <w:r w:rsidR="007F1CA0" w:rsidRPr="00ED0C6A">
        <w:rPr>
          <w:rFonts w:asciiTheme="minorHAnsi" w:hAnsiTheme="minorHAnsi"/>
          <w:sz w:val="24"/>
          <w:lang w:val="pl-PL"/>
        </w:rPr>
        <w:t>w tej sprawie</w:t>
      </w:r>
      <w:r w:rsidRPr="00ED0C6A">
        <w:rPr>
          <w:rFonts w:asciiTheme="minorHAnsi" w:hAnsiTheme="minorHAnsi"/>
          <w:sz w:val="24"/>
          <w:lang w:val="pl-PL"/>
        </w:rPr>
        <w:t xml:space="preserve"> </w:t>
      </w:r>
      <w:r w:rsidR="00E925AA" w:rsidRPr="00ED0C6A">
        <w:rPr>
          <w:rFonts w:asciiTheme="minorHAnsi" w:hAnsiTheme="minorHAnsi"/>
          <w:sz w:val="24"/>
          <w:lang w:val="pl-PL"/>
        </w:rPr>
        <w:t>poziomu</w:t>
      </w:r>
      <w:r w:rsidRPr="00ED0C6A">
        <w:rPr>
          <w:rFonts w:asciiTheme="minorHAnsi" w:hAnsiTheme="minorHAnsi"/>
          <w:sz w:val="24"/>
          <w:lang w:val="pl-PL"/>
        </w:rPr>
        <w:t xml:space="preserve"> ochrony </w:t>
      </w:r>
      <w:r w:rsidR="007F1CA0" w:rsidRPr="00ED0C6A">
        <w:rPr>
          <w:rFonts w:asciiTheme="minorHAnsi" w:hAnsiTheme="minorHAnsi"/>
          <w:sz w:val="24"/>
          <w:lang w:val="pl-PL"/>
        </w:rPr>
        <w:t>dziennikarskich źródeł informacji</w:t>
      </w:r>
      <w:r w:rsidRPr="00ED0C6A">
        <w:rPr>
          <w:rFonts w:asciiTheme="minorHAnsi" w:hAnsiTheme="minorHAnsi"/>
          <w:sz w:val="24"/>
          <w:lang w:val="pl-PL"/>
        </w:rPr>
        <w:t xml:space="preserve">, </w:t>
      </w:r>
      <w:r w:rsidR="00E925AA" w:rsidRPr="00ED0C6A">
        <w:rPr>
          <w:rFonts w:asciiTheme="minorHAnsi" w:hAnsiTheme="minorHAnsi"/>
          <w:sz w:val="24"/>
          <w:lang w:val="pl-PL"/>
        </w:rPr>
        <w:t xml:space="preserve">złożenie zaś </w:t>
      </w:r>
      <w:r w:rsidR="007F1CA0" w:rsidRPr="00ED0C6A">
        <w:rPr>
          <w:rFonts w:asciiTheme="minorHAnsi" w:hAnsiTheme="minorHAnsi"/>
          <w:sz w:val="24"/>
          <w:lang w:val="pl-PL"/>
        </w:rPr>
        <w:t>zeznani</w:t>
      </w:r>
      <w:r w:rsidR="00E925AA" w:rsidRPr="00ED0C6A">
        <w:rPr>
          <w:rFonts w:asciiTheme="minorHAnsi" w:hAnsiTheme="minorHAnsi"/>
          <w:sz w:val="24"/>
          <w:lang w:val="pl-PL"/>
        </w:rPr>
        <w:t>a przez</w:t>
      </w:r>
      <w:r w:rsidR="007F1CA0" w:rsidRPr="00ED0C6A">
        <w:rPr>
          <w:rFonts w:asciiTheme="minorHAnsi" w:hAnsiTheme="minorHAnsi"/>
          <w:sz w:val="24"/>
          <w:lang w:val="pl-PL"/>
        </w:rPr>
        <w:t xml:space="preserve"> </w:t>
      </w:r>
      <w:r w:rsidRPr="00ED0C6A">
        <w:rPr>
          <w:rFonts w:asciiTheme="minorHAnsi" w:hAnsiTheme="minorHAnsi"/>
          <w:sz w:val="24"/>
          <w:lang w:val="pl-PL"/>
        </w:rPr>
        <w:t xml:space="preserve">dziennikarza </w:t>
      </w:r>
      <w:r w:rsidR="007F1CA0" w:rsidRPr="00ED0C6A">
        <w:rPr>
          <w:rFonts w:asciiTheme="minorHAnsi" w:hAnsiTheme="minorHAnsi"/>
          <w:sz w:val="24"/>
          <w:lang w:val="pl-PL"/>
        </w:rPr>
        <w:t xml:space="preserve">w </w:t>
      </w:r>
      <w:r w:rsidR="00E925AA" w:rsidRPr="00ED0C6A">
        <w:rPr>
          <w:rFonts w:asciiTheme="minorHAnsi" w:hAnsiTheme="minorHAnsi"/>
          <w:sz w:val="24"/>
          <w:lang w:val="pl-PL"/>
        </w:rPr>
        <w:t>takiej</w:t>
      </w:r>
      <w:r w:rsidR="007F1CA0" w:rsidRPr="00ED0C6A">
        <w:rPr>
          <w:rFonts w:asciiTheme="minorHAnsi" w:hAnsiTheme="minorHAnsi"/>
          <w:sz w:val="24"/>
          <w:lang w:val="pl-PL"/>
        </w:rPr>
        <w:t xml:space="preserve"> sytuacji </w:t>
      </w:r>
      <w:r w:rsidRPr="00ED0C6A">
        <w:rPr>
          <w:rFonts w:asciiTheme="minorHAnsi" w:hAnsiTheme="minorHAnsi"/>
          <w:sz w:val="24"/>
          <w:lang w:val="pl-PL"/>
        </w:rPr>
        <w:t>mogło nie wywołać dużej szkody w odbiorze</w:t>
      </w:r>
      <w:r w:rsidR="007F1CA0" w:rsidRPr="00ED0C6A">
        <w:rPr>
          <w:rFonts w:asciiTheme="minorHAnsi" w:hAnsiTheme="minorHAnsi"/>
          <w:sz w:val="24"/>
          <w:lang w:val="pl-PL"/>
        </w:rPr>
        <w:t xml:space="preserve"> społecznym</w:t>
      </w:r>
      <w:r w:rsidRPr="00ED0C6A">
        <w:rPr>
          <w:rFonts w:asciiTheme="minorHAnsi" w:hAnsiTheme="minorHAnsi"/>
          <w:sz w:val="24"/>
          <w:lang w:val="pl-PL"/>
        </w:rPr>
        <w:t>, to jednak</w:t>
      </w:r>
      <w:r w:rsidR="008540A7" w:rsidRPr="00ED0C6A">
        <w:rPr>
          <w:rFonts w:asciiTheme="minorHAnsi" w:hAnsiTheme="minorHAnsi"/>
          <w:sz w:val="24"/>
          <w:lang w:val="pl-PL"/>
        </w:rPr>
        <w:t xml:space="preserve"> </w:t>
      </w:r>
      <w:r w:rsidRPr="00ED0C6A">
        <w:rPr>
          <w:rFonts w:asciiTheme="minorHAnsi" w:hAnsiTheme="minorHAnsi"/>
          <w:sz w:val="24"/>
          <w:lang w:val="pl-PL"/>
        </w:rPr>
        <w:t>w</w:t>
      </w:r>
      <w:r w:rsidR="00827554">
        <w:rPr>
          <w:rFonts w:asciiTheme="minorHAnsi" w:hAnsiTheme="minorHAnsi"/>
          <w:sz w:val="24"/>
          <w:lang w:val="pl-PL"/>
        </w:rPr>
        <w:t> </w:t>
      </w:r>
      <w:r w:rsidRPr="00ED0C6A">
        <w:rPr>
          <w:rFonts w:asciiTheme="minorHAnsi" w:hAnsiTheme="minorHAnsi"/>
          <w:sz w:val="24"/>
          <w:lang w:val="pl-PL"/>
        </w:rPr>
        <w:t>przedmiotowej sprawie nie wykazano, by zeznania dziennikar</w:t>
      </w:r>
      <w:r w:rsidR="007F1CA0" w:rsidRPr="00ED0C6A">
        <w:rPr>
          <w:rFonts w:asciiTheme="minorHAnsi" w:hAnsiTheme="minorHAnsi"/>
          <w:sz w:val="24"/>
          <w:lang w:val="pl-PL"/>
        </w:rPr>
        <w:t>za</w:t>
      </w:r>
      <w:r w:rsidRPr="00ED0C6A">
        <w:rPr>
          <w:rFonts w:asciiTheme="minorHAnsi" w:hAnsiTheme="minorHAnsi"/>
          <w:sz w:val="24"/>
          <w:lang w:val="pl-PL"/>
        </w:rPr>
        <w:t xml:space="preserve"> były rzeczywiście niezbędne dla prawidłowego wymiaru sprawiedliwości. </w:t>
      </w:r>
    </w:p>
    <w:p w:rsidR="006E1BFB" w:rsidRPr="00ED0C6A" w:rsidRDefault="006E1BFB" w:rsidP="009E233F">
      <w:pPr>
        <w:pStyle w:val="ClinContent"/>
        <w:spacing w:before="0"/>
        <w:rPr>
          <w:rFonts w:asciiTheme="minorHAnsi" w:hAnsiTheme="minorHAnsi"/>
          <w:sz w:val="24"/>
          <w:lang w:val="pl-PL"/>
        </w:rPr>
      </w:pPr>
    </w:p>
    <w:p w:rsidR="00817288" w:rsidRPr="00ED0C6A" w:rsidRDefault="00817288" w:rsidP="009E233F">
      <w:pPr>
        <w:pStyle w:val="ClinContent"/>
        <w:spacing w:before="0"/>
        <w:rPr>
          <w:rFonts w:asciiTheme="minorHAnsi" w:hAnsiTheme="minorHAnsi"/>
          <w:sz w:val="24"/>
          <w:lang w:val="pl-PL"/>
        </w:rPr>
      </w:pPr>
      <w:r w:rsidRPr="00ED0C6A">
        <w:rPr>
          <w:rFonts w:asciiTheme="minorHAnsi" w:hAnsiTheme="minorHAnsi"/>
          <w:sz w:val="24"/>
          <w:lang w:val="pl-PL"/>
        </w:rPr>
        <w:t xml:space="preserve">Wyrok </w:t>
      </w:r>
      <w:r w:rsidR="006E1BFB" w:rsidRPr="00ED0C6A">
        <w:rPr>
          <w:rFonts w:asciiTheme="minorHAnsi" w:hAnsiTheme="minorHAnsi"/>
          <w:sz w:val="24"/>
          <w:lang w:val="pl-PL"/>
        </w:rPr>
        <w:t xml:space="preserve">może mieć znaczenie zwłaszcza dla </w:t>
      </w:r>
      <w:r w:rsidRPr="00ED0C6A">
        <w:rPr>
          <w:rFonts w:asciiTheme="minorHAnsi" w:hAnsiTheme="minorHAnsi"/>
          <w:sz w:val="24"/>
          <w:lang w:val="pl-PL"/>
        </w:rPr>
        <w:t>sądów, prokuratury, a także dziennikarzy i</w:t>
      </w:r>
      <w:r w:rsidR="00827554">
        <w:rPr>
          <w:rFonts w:asciiTheme="minorHAnsi" w:hAnsiTheme="minorHAnsi"/>
          <w:sz w:val="24"/>
          <w:lang w:val="pl-PL"/>
        </w:rPr>
        <w:t> </w:t>
      </w:r>
      <w:r w:rsidRPr="00ED0C6A">
        <w:rPr>
          <w:rFonts w:asciiTheme="minorHAnsi" w:hAnsiTheme="minorHAnsi"/>
          <w:sz w:val="24"/>
          <w:lang w:val="pl-PL"/>
        </w:rPr>
        <w:t xml:space="preserve">organizacji dziennikarskich. </w:t>
      </w:r>
    </w:p>
    <w:p w:rsidR="00AB1DE2" w:rsidRPr="00ED0C6A" w:rsidRDefault="00AB1DE2" w:rsidP="00501E16">
      <w:pPr>
        <w:pStyle w:val="Nagwek2"/>
        <w:spacing w:before="480"/>
        <w:rPr>
          <w:rFonts w:asciiTheme="minorHAnsi" w:hAnsiTheme="minorHAnsi"/>
          <w:color w:val="auto"/>
          <w:sz w:val="24"/>
          <w:szCs w:val="24"/>
        </w:rPr>
      </w:pPr>
      <w:bookmarkStart w:id="6" w:name="_Toc524696725"/>
      <w:proofErr w:type="spellStart"/>
      <w:r w:rsidRPr="00ED0C6A">
        <w:rPr>
          <w:rFonts w:asciiTheme="minorHAnsi" w:hAnsiTheme="minorHAnsi"/>
          <w:color w:val="auto"/>
          <w:sz w:val="24"/>
          <w:szCs w:val="24"/>
        </w:rPr>
        <w:t>Burmych</w:t>
      </w:r>
      <w:proofErr w:type="spellEnd"/>
      <w:r w:rsidRPr="00ED0C6A">
        <w:rPr>
          <w:rFonts w:asciiTheme="minorHAnsi" w:hAnsiTheme="minorHAnsi"/>
          <w:color w:val="auto"/>
          <w:sz w:val="24"/>
          <w:szCs w:val="24"/>
        </w:rPr>
        <w:t xml:space="preserve"> i Inni p. Ukrainie</w:t>
      </w:r>
      <w:r w:rsidR="00B05313" w:rsidRPr="00ED0C6A">
        <w:rPr>
          <w:rFonts w:asciiTheme="minorHAnsi" w:hAnsiTheme="minorHAnsi"/>
          <w:color w:val="auto"/>
          <w:sz w:val="24"/>
          <w:szCs w:val="24"/>
        </w:rPr>
        <w:t>, skargi nr</w:t>
      </w:r>
      <w:r w:rsidRPr="00ED0C6A">
        <w:rPr>
          <w:rFonts w:asciiTheme="minorHAnsi" w:hAnsiTheme="minorHAnsi"/>
          <w:color w:val="auto"/>
          <w:sz w:val="24"/>
          <w:szCs w:val="24"/>
        </w:rPr>
        <w:t xml:space="preserve"> 46852/13, 47786/13, 54125/13 </w:t>
      </w:r>
      <w:r w:rsidR="00094458" w:rsidRPr="00ED0C6A">
        <w:rPr>
          <w:rFonts w:asciiTheme="minorHAnsi" w:hAnsiTheme="minorHAnsi"/>
          <w:color w:val="auto"/>
          <w:sz w:val="24"/>
          <w:szCs w:val="24"/>
        </w:rPr>
        <w:t>i in.</w:t>
      </w:r>
      <w:r w:rsidR="00501E16"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094458"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 12</w:t>
      </w:r>
      <w:r w:rsidR="00B4260D" w:rsidRPr="00ED0C6A">
        <w:rPr>
          <w:rFonts w:asciiTheme="minorHAnsi" w:hAnsiTheme="minorHAnsi"/>
          <w:color w:val="auto"/>
          <w:sz w:val="24"/>
          <w:szCs w:val="24"/>
        </w:rPr>
        <w:t xml:space="preserve"> października </w:t>
      </w:r>
      <w:r w:rsidRPr="00ED0C6A">
        <w:rPr>
          <w:rFonts w:asciiTheme="minorHAnsi" w:hAnsiTheme="minorHAnsi"/>
          <w:color w:val="auto"/>
          <w:sz w:val="24"/>
          <w:szCs w:val="24"/>
        </w:rPr>
        <w:t xml:space="preserve">2017 r. </w:t>
      </w:r>
      <w:r w:rsidR="00094458" w:rsidRPr="00ED0C6A">
        <w:rPr>
          <w:rFonts w:asciiTheme="minorHAnsi" w:hAnsiTheme="minorHAnsi"/>
          <w:color w:val="auto"/>
          <w:sz w:val="24"/>
          <w:szCs w:val="24"/>
        </w:rPr>
        <w:t>(skreślenie z listy spraw)</w:t>
      </w:r>
      <w:r w:rsidR="00DB5295" w:rsidRPr="00ED0C6A">
        <w:rPr>
          <w:rFonts w:asciiTheme="minorHAnsi" w:hAnsiTheme="minorHAnsi"/>
          <w:color w:val="auto"/>
          <w:sz w:val="24"/>
          <w:szCs w:val="24"/>
        </w:rPr>
        <w:t>, ostateczny</w:t>
      </w:r>
      <w:bookmarkEnd w:id="6"/>
    </w:p>
    <w:p w:rsidR="001A464B" w:rsidRPr="00ED0C6A" w:rsidRDefault="004D77A5" w:rsidP="001A464B">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d</w:t>
      </w:r>
      <w:r w:rsidR="001A464B" w:rsidRPr="00ED0C6A">
        <w:rPr>
          <w:b/>
          <w:color w:val="000000" w:themeColor="text1"/>
          <w:sz w:val="24"/>
          <w:szCs w:val="24"/>
          <w:lang w:val="pl-PL"/>
        </w:rPr>
        <w:t>oprecyzowanie przez Trybunał na gruncie art. 46 Konwencji (moc obowiązująca i</w:t>
      </w:r>
      <w:r w:rsidR="00827554">
        <w:rPr>
          <w:b/>
          <w:color w:val="000000" w:themeColor="text1"/>
          <w:sz w:val="24"/>
          <w:szCs w:val="24"/>
          <w:lang w:val="pl-PL"/>
        </w:rPr>
        <w:t> </w:t>
      </w:r>
      <w:r w:rsidR="001A464B" w:rsidRPr="00ED0C6A">
        <w:rPr>
          <w:b/>
          <w:color w:val="000000" w:themeColor="text1"/>
          <w:sz w:val="24"/>
          <w:szCs w:val="24"/>
          <w:lang w:val="pl-PL"/>
        </w:rPr>
        <w:t>wykonywanie wyroków Trybunału) podziału obowiązków między Trybunałem a</w:t>
      </w:r>
      <w:r w:rsidR="00827554">
        <w:rPr>
          <w:b/>
          <w:color w:val="000000" w:themeColor="text1"/>
          <w:sz w:val="24"/>
          <w:szCs w:val="24"/>
          <w:lang w:val="pl-PL"/>
        </w:rPr>
        <w:t> </w:t>
      </w:r>
      <w:r w:rsidR="001A464B" w:rsidRPr="00ED0C6A">
        <w:rPr>
          <w:b/>
          <w:color w:val="000000" w:themeColor="text1"/>
          <w:sz w:val="24"/>
          <w:szCs w:val="24"/>
          <w:lang w:val="pl-PL"/>
        </w:rPr>
        <w:t xml:space="preserve">Komitetem Ministrów </w:t>
      </w:r>
      <w:r w:rsidR="005F20C8" w:rsidRPr="00ED0C6A">
        <w:rPr>
          <w:b/>
          <w:color w:val="000000" w:themeColor="text1"/>
          <w:sz w:val="24"/>
          <w:szCs w:val="24"/>
          <w:lang w:val="pl-PL"/>
        </w:rPr>
        <w:t xml:space="preserve">Rady Europy </w:t>
      </w:r>
      <w:r w:rsidR="001A464B" w:rsidRPr="00ED0C6A">
        <w:rPr>
          <w:b/>
          <w:color w:val="000000" w:themeColor="text1"/>
          <w:sz w:val="24"/>
          <w:szCs w:val="24"/>
          <w:lang w:val="pl-PL"/>
        </w:rPr>
        <w:t xml:space="preserve">w sytuacji braku wykonania wyroku pilotażowego przez pozwane Państwo </w:t>
      </w:r>
    </w:p>
    <w:p w:rsidR="00455DC3" w:rsidRPr="00ED0C6A" w:rsidRDefault="004D77A5" w:rsidP="001A464B">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s</w:t>
      </w:r>
      <w:r w:rsidR="00455DC3" w:rsidRPr="00ED0C6A">
        <w:rPr>
          <w:b/>
          <w:color w:val="000000" w:themeColor="text1"/>
          <w:sz w:val="24"/>
          <w:szCs w:val="24"/>
          <w:lang w:val="pl-PL"/>
        </w:rPr>
        <w:t>twierdzenie przez Trybunał, że 5 skarg będących przedmiotem wyroku oraz 12</w:t>
      </w:r>
      <w:r w:rsidR="00E82F19" w:rsidRPr="00ED0C6A">
        <w:rPr>
          <w:b/>
          <w:color w:val="000000" w:themeColor="text1"/>
          <w:sz w:val="24"/>
          <w:szCs w:val="24"/>
          <w:lang w:val="pl-PL"/>
        </w:rPr>
        <w:t>.</w:t>
      </w:r>
      <w:r w:rsidR="00455DC3" w:rsidRPr="00ED0C6A">
        <w:rPr>
          <w:b/>
          <w:color w:val="000000" w:themeColor="text1"/>
          <w:sz w:val="24"/>
          <w:szCs w:val="24"/>
          <w:lang w:val="pl-PL"/>
        </w:rPr>
        <w:t xml:space="preserve">143 </w:t>
      </w:r>
      <w:r w:rsidR="00E77187" w:rsidRPr="00ED0C6A">
        <w:rPr>
          <w:b/>
          <w:color w:val="000000" w:themeColor="text1"/>
          <w:sz w:val="24"/>
          <w:szCs w:val="24"/>
          <w:lang w:val="pl-PL"/>
        </w:rPr>
        <w:t>skargi</w:t>
      </w:r>
      <w:r w:rsidR="00455DC3" w:rsidRPr="00ED0C6A">
        <w:rPr>
          <w:b/>
          <w:color w:val="000000" w:themeColor="text1"/>
          <w:sz w:val="24"/>
          <w:szCs w:val="24"/>
          <w:lang w:val="pl-PL"/>
        </w:rPr>
        <w:t xml:space="preserve"> wymienione w załącznikach powinny być rozpatrzone zgodnie z obowiązkiem wynikającym z wyroku pilotażowego w sprawie </w:t>
      </w:r>
      <w:proofErr w:type="spellStart"/>
      <w:r w:rsidR="00455DC3" w:rsidRPr="00ED0C6A">
        <w:rPr>
          <w:b/>
          <w:color w:val="000000" w:themeColor="text1"/>
          <w:sz w:val="24"/>
          <w:szCs w:val="24"/>
          <w:lang w:val="pl-PL"/>
        </w:rPr>
        <w:t>Yuriy</w:t>
      </w:r>
      <w:proofErr w:type="spellEnd"/>
      <w:r w:rsidR="00455DC3" w:rsidRPr="00ED0C6A">
        <w:rPr>
          <w:b/>
          <w:color w:val="000000" w:themeColor="text1"/>
          <w:sz w:val="24"/>
          <w:szCs w:val="24"/>
          <w:lang w:val="pl-PL"/>
        </w:rPr>
        <w:t xml:space="preserve"> </w:t>
      </w:r>
      <w:proofErr w:type="spellStart"/>
      <w:r w:rsidR="00455DC3" w:rsidRPr="00ED0C6A">
        <w:rPr>
          <w:b/>
          <w:color w:val="000000" w:themeColor="text1"/>
          <w:sz w:val="24"/>
          <w:szCs w:val="24"/>
          <w:lang w:val="pl-PL"/>
        </w:rPr>
        <w:t>Nikolayevich</w:t>
      </w:r>
      <w:proofErr w:type="spellEnd"/>
      <w:r w:rsidR="00455DC3" w:rsidRPr="00ED0C6A">
        <w:rPr>
          <w:b/>
          <w:color w:val="000000" w:themeColor="text1"/>
          <w:sz w:val="24"/>
          <w:szCs w:val="24"/>
          <w:lang w:val="pl-PL"/>
        </w:rPr>
        <w:t xml:space="preserve"> </w:t>
      </w:r>
      <w:proofErr w:type="spellStart"/>
      <w:r w:rsidR="00455DC3" w:rsidRPr="00ED0C6A">
        <w:rPr>
          <w:b/>
          <w:color w:val="000000" w:themeColor="text1"/>
          <w:sz w:val="24"/>
          <w:szCs w:val="24"/>
          <w:lang w:val="pl-PL"/>
        </w:rPr>
        <w:t>Ivanov</w:t>
      </w:r>
      <w:proofErr w:type="spellEnd"/>
      <w:r w:rsidR="00455DC3" w:rsidRPr="00ED0C6A">
        <w:rPr>
          <w:b/>
          <w:color w:val="000000" w:themeColor="text1"/>
          <w:sz w:val="24"/>
          <w:szCs w:val="24"/>
          <w:lang w:val="pl-PL"/>
        </w:rPr>
        <w:t xml:space="preserve"> p. Ukrainie, w którym Trybunał stwierdził </w:t>
      </w:r>
      <w:r w:rsidR="00E77187" w:rsidRPr="00ED0C6A">
        <w:rPr>
          <w:b/>
          <w:color w:val="000000" w:themeColor="text1"/>
          <w:sz w:val="24"/>
          <w:szCs w:val="24"/>
          <w:lang w:val="pl-PL"/>
        </w:rPr>
        <w:t xml:space="preserve">w 2009 r. </w:t>
      </w:r>
      <w:r w:rsidR="00455DC3" w:rsidRPr="00ED0C6A">
        <w:rPr>
          <w:b/>
          <w:color w:val="000000" w:themeColor="text1"/>
          <w:sz w:val="24"/>
          <w:szCs w:val="24"/>
          <w:lang w:val="pl-PL"/>
        </w:rPr>
        <w:t>istnienie systemowego problemu braku egzekucji lub opóźnionej egzekucji orzeczeń krajowych,</w:t>
      </w:r>
      <w:r w:rsidR="00E77187" w:rsidRPr="00ED0C6A">
        <w:rPr>
          <w:b/>
          <w:color w:val="000000" w:themeColor="text1"/>
          <w:sz w:val="24"/>
          <w:szCs w:val="24"/>
          <w:lang w:val="pl-PL"/>
        </w:rPr>
        <w:t xml:space="preserve"> naruszającego</w:t>
      </w:r>
      <w:r w:rsidR="00455DC3" w:rsidRPr="00ED0C6A">
        <w:rPr>
          <w:b/>
          <w:color w:val="000000" w:themeColor="text1"/>
          <w:sz w:val="24"/>
          <w:szCs w:val="24"/>
          <w:lang w:val="pl-PL"/>
        </w:rPr>
        <w:t xml:space="preserve"> art. 6 ust. 1 (prawo do rzetelnego procesu sądowego) i art. 13 Konwencji (prawo do skutecznego środka odwoławczego), a także art. 1 Protokołu nr 1 do Konwencji (ochrona własności)</w:t>
      </w:r>
    </w:p>
    <w:p w:rsidR="00455DC3" w:rsidRPr="00ED0C6A" w:rsidRDefault="004D77A5" w:rsidP="001A464B">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s</w:t>
      </w:r>
      <w:r w:rsidR="00455DC3" w:rsidRPr="00ED0C6A">
        <w:rPr>
          <w:b/>
          <w:color w:val="000000" w:themeColor="text1"/>
          <w:sz w:val="24"/>
          <w:szCs w:val="24"/>
          <w:lang w:val="pl-PL"/>
        </w:rPr>
        <w:t>kreślenie wszystkich powyższych skarg z listy skarg Trybunału na podstawie art. 37 ust. 1 lit. c Konwencji i przekazanie ich Komitetowi Ministrów Rady Europy</w:t>
      </w:r>
      <w:r w:rsidR="00876578" w:rsidRPr="00ED0C6A">
        <w:rPr>
          <w:b/>
          <w:color w:val="000000" w:themeColor="text1"/>
          <w:sz w:val="24"/>
          <w:szCs w:val="24"/>
          <w:lang w:val="pl-PL"/>
        </w:rPr>
        <w:t xml:space="preserve"> w celu zapewnienia ich </w:t>
      </w:r>
      <w:r w:rsidR="00455DC3" w:rsidRPr="00ED0C6A">
        <w:rPr>
          <w:b/>
          <w:color w:val="000000" w:themeColor="text1"/>
          <w:sz w:val="24"/>
          <w:szCs w:val="24"/>
          <w:lang w:val="pl-PL"/>
        </w:rPr>
        <w:t>rozpatrz</w:t>
      </w:r>
      <w:r w:rsidR="00876578" w:rsidRPr="00ED0C6A">
        <w:rPr>
          <w:b/>
          <w:color w:val="000000" w:themeColor="text1"/>
          <w:sz w:val="24"/>
          <w:szCs w:val="24"/>
          <w:lang w:val="pl-PL"/>
        </w:rPr>
        <w:t>enia</w:t>
      </w:r>
      <w:r w:rsidR="00455DC3" w:rsidRPr="00ED0C6A">
        <w:rPr>
          <w:b/>
          <w:color w:val="000000" w:themeColor="text1"/>
          <w:sz w:val="24"/>
          <w:szCs w:val="24"/>
          <w:lang w:val="pl-PL"/>
        </w:rPr>
        <w:t xml:space="preserve"> w ramach środków generalnych</w:t>
      </w:r>
      <w:r w:rsidR="00876578" w:rsidRPr="00ED0C6A">
        <w:rPr>
          <w:b/>
          <w:color w:val="000000" w:themeColor="text1"/>
          <w:sz w:val="24"/>
          <w:szCs w:val="24"/>
          <w:lang w:val="pl-PL"/>
        </w:rPr>
        <w:t xml:space="preserve"> na poziomie krajowym</w:t>
      </w:r>
      <w:r w:rsidR="00455DC3" w:rsidRPr="00ED0C6A">
        <w:rPr>
          <w:b/>
          <w:color w:val="000000" w:themeColor="text1"/>
          <w:sz w:val="24"/>
          <w:szCs w:val="24"/>
          <w:lang w:val="pl-PL"/>
        </w:rPr>
        <w:t xml:space="preserve"> mających na celu wykonanie wyroku pilotażowego </w:t>
      </w:r>
      <w:r w:rsidR="00146EA2" w:rsidRPr="00ED0C6A">
        <w:rPr>
          <w:b/>
          <w:color w:val="000000" w:themeColor="text1"/>
          <w:sz w:val="24"/>
          <w:szCs w:val="24"/>
          <w:lang w:val="pl-PL"/>
        </w:rPr>
        <w:t xml:space="preserve">Trybunału </w:t>
      </w:r>
      <w:r w:rsidR="00455DC3" w:rsidRPr="00ED0C6A">
        <w:rPr>
          <w:b/>
          <w:color w:val="000000" w:themeColor="text1"/>
          <w:sz w:val="24"/>
          <w:szCs w:val="24"/>
          <w:lang w:val="pl-PL"/>
        </w:rPr>
        <w:t xml:space="preserve">w sprawie </w:t>
      </w:r>
      <w:proofErr w:type="spellStart"/>
      <w:r w:rsidR="00455DC3" w:rsidRPr="00ED0C6A">
        <w:rPr>
          <w:b/>
          <w:color w:val="000000" w:themeColor="text1"/>
          <w:sz w:val="24"/>
          <w:szCs w:val="24"/>
          <w:lang w:val="pl-PL"/>
        </w:rPr>
        <w:t>Yuriy</w:t>
      </w:r>
      <w:proofErr w:type="spellEnd"/>
      <w:r w:rsidR="00455DC3" w:rsidRPr="00ED0C6A">
        <w:rPr>
          <w:b/>
          <w:color w:val="000000" w:themeColor="text1"/>
          <w:sz w:val="24"/>
          <w:szCs w:val="24"/>
          <w:lang w:val="pl-PL"/>
        </w:rPr>
        <w:t xml:space="preserve"> </w:t>
      </w:r>
      <w:proofErr w:type="spellStart"/>
      <w:r w:rsidR="00455DC3" w:rsidRPr="00ED0C6A">
        <w:rPr>
          <w:b/>
          <w:color w:val="000000" w:themeColor="text1"/>
          <w:sz w:val="24"/>
          <w:szCs w:val="24"/>
          <w:lang w:val="pl-PL"/>
        </w:rPr>
        <w:t>Nikolayevich</w:t>
      </w:r>
      <w:proofErr w:type="spellEnd"/>
      <w:r w:rsidR="00455DC3" w:rsidRPr="00ED0C6A">
        <w:rPr>
          <w:b/>
          <w:color w:val="000000" w:themeColor="text1"/>
          <w:sz w:val="24"/>
          <w:szCs w:val="24"/>
          <w:lang w:val="pl-PL"/>
        </w:rPr>
        <w:t xml:space="preserve"> </w:t>
      </w:r>
      <w:proofErr w:type="spellStart"/>
      <w:r w:rsidR="00455DC3" w:rsidRPr="00ED0C6A">
        <w:rPr>
          <w:b/>
          <w:color w:val="000000" w:themeColor="text1"/>
          <w:sz w:val="24"/>
          <w:szCs w:val="24"/>
          <w:lang w:val="pl-PL"/>
        </w:rPr>
        <w:t>Ivanov</w:t>
      </w:r>
      <w:proofErr w:type="spellEnd"/>
      <w:r w:rsidR="00455DC3" w:rsidRPr="00ED0C6A">
        <w:rPr>
          <w:b/>
          <w:color w:val="000000" w:themeColor="text1"/>
          <w:sz w:val="24"/>
          <w:szCs w:val="24"/>
          <w:lang w:val="pl-PL"/>
        </w:rPr>
        <w:t xml:space="preserve"> p. Ukrainie, w tym udzielenie zadośćuczynienia za brak egzekucji lub opóźnienie egzekucji orzeczeń krajowych</w:t>
      </w:r>
    </w:p>
    <w:p w:rsidR="00AB1DE2" w:rsidRPr="00ED0C6A" w:rsidRDefault="00904041"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 sprawie tej Trybunał rozpatrzył grupę ponad 12 tysięcy </w:t>
      </w:r>
      <w:r w:rsidR="00446BA0">
        <w:rPr>
          <w:rFonts w:asciiTheme="minorHAnsi" w:hAnsiTheme="minorHAnsi"/>
          <w:sz w:val="24"/>
          <w:lang w:val="pl-PL"/>
        </w:rPr>
        <w:t xml:space="preserve">zawisłych przed nim </w:t>
      </w:r>
      <w:r w:rsidR="00AB1DE2" w:rsidRPr="00ED0C6A">
        <w:rPr>
          <w:rFonts w:asciiTheme="minorHAnsi" w:hAnsiTheme="minorHAnsi"/>
          <w:sz w:val="24"/>
          <w:lang w:val="pl-PL"/>
        </w:rPr>
        <w:t>podobnych skarg</w:t>
      </w:r>
      <w:r w:rsidR="00283E16" w:rsidRPr="00ED0C6A">
        <w:rPr>
          <w:rFonts w:asciiTheme="minorHAnsi" w:hAnsiTheme="minorHAnsi"/>
          <w:sz w:val="24"/>
          <w:lang w:val="pl-PL"/>
        </w:rPr>
        <w:t>. Sprawy te</w:t>
      </w:r>
      <w:r w:rsidR="00870317" w:rsidRPr="00ED0C6A">
        <w:rPr>
          <w:rFonts w:asciiTheme="minorHAnsi" w:hAnsiTheme="minorHAnsi"/>
          <w:sz w:val="24"/>
          <w:lang w:val="pl-PL"/>
        </w:rPr>
        <w:t xml:space="preserve"> wywodz</w:t>
      </w:r>
      <w:r w:rsidR="00283E16" w:rsidRPr="00ED0C6A">
        <w:rPr>
          <w:rFonts w:asciiTheme="minorHAnsi" w:hAnsiTheme="minorHAnsi"/>
          <w:sz w:val="24"/>
          <w:lang w:val="pl-PL"/>
        </w:rPr>
        <w:t>iły</w:t>
      </w:r>
      <w:r w:rsidR="00870317" w:rsidRPr="00ED0C6A">
        <w:rPr>
          <w:rFonts w:asciiTheme="minorHAnsi" w:hAnsiTheme="minorHAnsi"/>
          <w:sz w:val="24"/>
          <w:lang w:val="pl-PL"/>
        </w:rPr>
        <w:t xml:space="preserve"> </w:t>
      </w:r>
      <w:r w:rsidR="00AB1DE2" w:rsidRPr="00ED0C6A">
        <w:rPr>
          <w:rFonts w:asciiTheme="minorHAnsi" w:hAnsiTheme="minorHAnsi"/>
          <w:sz w:val="24"/>
          <w:lang w:val="pl-PL"/>
        </w:rPr>
        <w:t xml:space="preserve">się z </w:t>
      </w:r>
      <w:r w:rsidR="00283E16" w:rsidRPr="00ED0C6A">
        <w:rPr>
          <w:rFonts w:asciiTheme="minorHAnsi" w:hAnsiTheme="minorHAnsi"/>
          <w:sz w:val="24"/>
          <w:lang w:val="pl-PL"/>
        </w:rPr>
        <w:t xml:space="preserve">tego samego </w:t>
      </w:r>
      <w:r w:rsidR="00AB1DE2" w:rsidRPr="00ED0C6A">
        <w:rPr>
          <w:rFonts w:asciiTheme="minorHAnsi" w:hAnsiTheme="minorHAnsi"/>
          <w:sz w:val="24"/>
          <w:lang w:val="pl-PL"/>
        </w:rPr>
        <w:t>problemu, który został zidentyfikowany w</w:t>
      </w:r>
      <w:r w:rsidR="00827554">
        <w:rPr>
          <w:rFonts w:asciiTheme="minorHAnsi" w:hAnsiTheme="minorHAnsi"/>
          <w:sz w:val="24"/>
          <w:lang w:val="pl-PL"/>
        </w:rPr>
        <w:t> </w:t>
      </w:r>
      <w:r w:rsidR="00AB1DE2" w:rsidRPr="00ED0C6A">
        <w:rPr>
          <w:rFonts w:asciiTheme="minorHAnsi" w:hAnsiTheme="minorHAnsi"/>
          <w:sz w:val="24"/>
          <w:lang w:val="pl-PL"/>
        </w:rPr>
        <w:t xml:space="preserve">wyroku pilotażowym w sprawie </w:t>
      </w:r>
      <w:proofErr w:type="spellStart"/>
      <w:r w:rsidR="00AB1DE2" w:rsidRPr="00ED0C6A">
        <w:rPr>
          <w:rFonts w:asciiTheme="minorHAnsi" w:hAnsiTheme="minorHAnsi"/>
          <w:i/>
          <w:sz w:val="24"/>
          <w:lang w:val="pl-PL"/>
        </w:rPr>
        <w:t>Yuriy</w:t>
      </w:r>
      <w:proofErr w:type="spellEnd"/>
      <w:r w:rsidR="00AB1DE2" w:rsidRPr="00ED0C6A">
        <w:rPr>
          <w:rFonts w:asciiTheme="minorHAnsi" w:hAnsiTheme="minorHAnsi"/>
          <w:i/>
          <w:sz w:val="24"/>
          <w:lang w:val="pl-PL"/>
        </w:rPr>
        <w:t xml:space="preserve"> </w:t>
      </w:r>
      <w:proofErr w:type="spellStart"/>
      <w:r w:rsidR="00AB1DE2" w:rsidRPr="00ED0C6A">
        <w:rPr>
          <w:rFonts w:asciiTheme="minorHAnsi" w:hAnsiTheme="minorHAnsi"/>
          <w:i/>
          <w:sz w:val="24"/>
          <w:lang w:val="pl-PL"/>
        </w:rPr>
        <w:t>Nikolayevich</w:t>
      </w:r>
      <w:proofErr w:type="spellEnd"/>
      <w:r w:rsidR="00AB1DE2" w:rsidRPr="00ED0C6A">
        <w:rPr>
          <w:rFonts w:asciiTheme="minorHAnsi" w:hAnsiTheme="minorHAnsi"/>
          <w:i/>
          <w:sz w:val="24"/>
          <w:lang w:val="pl-PL"/>
        </w:rPr>
        <w:t xml:space="preserve">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i/>
          <w:sz w:val="24"/>
          <w:lang w:val="pl-PL"/>
        </w:rPr>
        <w:t xml:space="preserve"> p. Ukrainie</w:t>
      </w:r>
      <w:r w:rsidR="00AB1DE2" w:rsidRPr="00ED0C6A">
        <w:rPr>
          <w:rFonts w:asciiTheme="minorHAnsi" w:hAnsiTheme="minorHAnsi"/>
          <w:sz w:val="24"/>
          <w:lang w:val="pl-PL"/>
        </w:rPr>
        <w:t xml:space="preserve"> (skarga nr 40450/04, wyrok z 15 października 2009 r.), a mianowicie systemowego problemu </w:t>
      </w:r>
      <w:r w:rsidR="00283E16" w:rsidRPr="00ED0C6A">
        <w:rPr>
          <w:rFonts w:asciiTheme="minorHAnsi" w:hAnsiTheme="minorHAnsi"/>
          <w:sz w:val="24"/>
          <w:lang w:val="pl-PL"/>
        </w:rPr>
        <w:t>nie</w:t>
      </w:r>
      <w:r w:rsidR="00AB1DE2" w:rsidRPr="00ED0C6A">
        <w:rPr>
          <w:rFonts w:asciiTheme="minorHAnsi" w:hAnsiTheme="minorHAnsi"/>
          <w:sz w:val="24"/>
          <w:lang w:val="pl-PL"/>
        </w:rPr>
        <w:t>wykon</w:t>
      </w:r>
      <w:r w:rsidR="00283E16" w:rsidRPr="00ED0C6A">
        <w:rPr>
          <w:rFonts w:asciiTheme="minorHAnsi" w:hAnsiTheme="minorHAnsi"/>
          <w:sz w:val="24"/>
          <w:lang w:val="pl-PL"/>
        </w:rPr>
        <w:t>yw</w:t>
      </w:r>
      <w:r w:rsidR="00AB1DE2" w:rsidRPr="00ED0C6A">
        <w:rPr>
          <w:rFonts w:asciiTheme="minorHAnsi" w:hAnsiTheme="minorHAnsi"/>
          <w:sz w:val="24"/>
          <w:lang w:val="pl-PL"/>
        </w:rPr>
        <w:t>ania lub</w:t>
      </w:r>
      <w:r w:rsidR="00827554">
        <w:rPr>
          <w:rFonts w:asciiTheme="minorHAnsi" w:hAnsiTheme="minorHAnsi"/>
          <w:sz w:val="24"/>
          <w:lang w:val="pl-PL"/>
        </w:rPr>
        <w:t> </w:t>
      </w:r>
      <w:r w:rsidR="00AB1DE2" w:rsidRPr="00ED0C6A">
        <w:rPr>
          <w:rFonts w:asciiTheme="minorHAnsi" w:hAnsiTheme="minorHAnsi"/>
          <w:sz w:val="24"/>
          <w:lang w:val="pl-PL"/>
        </w:rPr>
        <w:t>opóźni</w:t>
      </w:r>
      <w:r w:rsidR="00283E16" w:rsidRPr="00ED0C6A">
        <w:rPr>
          <w:rFonts w:asciiTheme="minorHAnsi" w:hAnsiTheme="minorHAnsi"/>
          <w:sz w:val="24"/>
          <w:lang w:val="pl-PL"/>
        </w:rPr>
        <w:t>onego</w:t>
      </w:r>
      <w:r w:rsidR="00AB1DE2" w:rsidRPr="00ED0C6A">
        <w:rPr>
          <w:rFonts w:asciiTheme="minorHAnsi" w:hAnsiTheme="minorHAnsi"/>
          <w:sz w:val="24"/>
          <w:lang w:val="pl-PL"/>
        </w:rPr>
        <w:t xml:space="preserve"> wykonywania orzeczeń sądów krajowych w powiązaniu z brakiem skutecznych środków </w:t>
      </w:r>
      <w:r w:rsidR="001F7776">
        <w:rPr>
          <w:rFonts w:asciiTheme="minorHAnsi" w:hAnsiTheme="minorHAnsi"/>
          <w:sz w:val="24"/>
          <w:lang w:val="pl-PL"/>
        </w:rPr>
        <w:t>prawn</w:t>
      </w:r>
      <w:r w:rsidR="00AB1DE2" w:rsidRPr="00ED0C6A">
        <w:rPr>
          <w:rFonts w:asciiTheme="minorHAnsi" w:hAnsiTheme="minorHAnsi"/>
          <w:sz w:val="24"/>
          <w:lang w:val="pl-PL"/>
        </w:rPr>
        <w:t xml:space="preserve">ych w odniesieniu do </w:t>
      </w:r>
      <w:r w:rsidR="00B67E17" w:rsidRPr="00ED0C6A">
        <w:rPr>
          <w:rFonts w:asciiTheme="minorHAnsi" w:hAnsiTheme="minorHAnsi"/>
          <w:sz w:val="24"/>
          <w:lang w:val="pl-PL"/>
        </w:rPr>
        <w:t>tego rodzaju nieprawidłowych</w:t>
      </w:r>
      <w:r w:rsidR="00AB1DE2" w:rsidRPr="00ED0C6A">
        <w:rPr>
          <w:rFonts w:asciiTheme="minorHAnsi" w:hAnsiTheme="minorHAnsi"/>
          <w:sz w:val="24"/>
          <w:lang w:val="pl-PL"/>
        </w:rPr>
        <w:t xml:space="preserve"> sytuacji.</w:t>
      </w:r>
    </w:p>
    <w:p w:rsidR="00AB1DE2" w:rsidRPr="00ED0C6A" w:rsidRDefault="00904041" w:rsidP="00F11942">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AB1DE2" w:rsidRPr="00ED0C6A" w:rsidRDefault="00904041" w:rsidP="00F11942">
      <w:pPr>
        <w:pStyle w:val="ClinContent"/>
        <w:spacing w:before="0"/>
        <w:rPr>
          <w:rFonts w:asciiTheme="minorHAnsi" w:hAnsiTheme="minorHAnsi"/>
          <w:sz w:val="24"/>
          <w:lang w:val="pl-PL"/>
        </w:rPr>
      </w:pPr>
      <w:r w:rsidRPr="00ED0C6A">
        <w:rPr>
          <w:rFonts w:asciiTheme="minorHAnsi" w:hAnsiTheme="minorHAnsi"/>
          <w:sz w:val="24"/>
          <w:lang w:val="pl-PL"/>
        </w:rPr>
        <w:t>Trybunał na wstępie rozważył sprawę z punktu widzenia kwestii wykonywania wyroków Trybunału na podstawie art. 46 Konwencji. Uznał, że i</w:t>
      </w:r>
      <w:r w:rsidR="00AB1DE2" w:rsidRPr="00ED0C6A">
        <w:rPr>
          <w:rFonts w:asciiTheme="minorHAnsi" w:hAnsiTheme="minorHAnsi"/>
          <w:sz w:val="24"/>
          <w:lang w:val="pl-PL"/>
        </w:rPr>
        <w:t xml:space="preserve">stota sprawy dotyczy </w:t>
      </w:r>
      <w:r w:rsidR="00AB1DE2" w:rsidRPr="00ED0C6A">
        <w:rPr>
          <w:rFonts w:asciiTheme="minorHAnsi" w:hAnsiTheme="minorHAnsi"/>
          <w:i/>
          <w:sz w:val="24"/>
          <w:u w:val="single"/>
          <w:lang w:val="pl-PL"/>
        </w:rPr>
        <w:t>podziału kompetencji</w:t>
      </w:r>
      <w:r w:rsidR="00AB1DE2" w:rsidRPr="00ED0C6A">
        <w:rPr>
          <w:rFonts w:asciiTheme="minorHAnsi" w:hAnsiTheme="minorHAnsi"/>
          <w:sz w:val="24"/>
          <w:lang w:val="pl-PL"/>
        </w:rPr>
        <w:t xml:space="preserve"> na mocy Konwencji między Trybunał, którego funkcją jest „zapewnienie przestrzegania zobowiązań wynikających dla Wysokich Układających się Stron z Konwencji i</w:t>
      </w:r>
      <w:r w:rsidR="00827554">
        <w:rPr>
          <w:rFonts w:asciiTheme="minorHAnsi" w:hAnsiTheme="minorHAnsi"/>
          <w:sz w:val="24"/>
          <w:lang w:val="pl-PL"/>
        </w:rPr>
        <w:t> </w:t>
      </w:r>
      <w:r w:rsidR="00AB1DE2" w:rsidRPr="00ED0C6A">
        <w:rPr>
          <w:rFonts w:asciiTheme="minorHAnsi" w:hAnsiTheme="minorHAnsi"/>
          <w:sz w:val="24"/>
          <w:lang w:val="pl-PL"/>
        </w:rPr>
        <w:t>jej protokołów”</w:t>
      </w:r>
      <w:r w:rsidR="005C513D" w:rsidRPr="00ED0C6A">
        <w:rPr>
          <w:rFonts w:asciiTheme="minorHAnsi" w:hAnsiTheme="minorHAnsi"/>
          <w:sz w:val="24"/>
          <w:lang w:val="pl-PL"/>
        </w:rPr>
        <w:t xml:space="preserve"> z jednej strony</w:t>
      </w:r>
      <w:r w:rsidR="00AB1DE2" w:rsidRPr="00ED0C6A">
        <w:rPr>
          <w:rFonts w:asciiTheme="minorHAnsi" w:hAnsiTheme="minorHAnsi"/>
          <w:sz w:val="24"/>
          <w:lang w:val="pl-PL"/>
        </w:rPr>
        <w:t xml:space="preserve">, a </w:t>
      </w:r>
      <w:r w:rsidR="00B67E17" w:rsidRPr="00ED0C6A">
        <w:rPr>
          <w:rFonts w:asciiTheme="minorHAnsi" w:hAnsiTheme="minorHAnsi"/>
          <w:sz w:val="24"/>
          <w:lang w:val="pl-PL"/>
        </w:rPr>
        <w:t>Komitet</w:t>
      </w:r>
      <w:r w:rsidR="00AB1DE2" w:rsidRPr="00ED0C6A">
        <w:rPr>
          <w:rFonts w:asciiTheme="minorHAnsi" w:hAnsiTheme="minorHAnsi"/>
          <w:sz w:val="24"/>
          <w:lang w:val="pl-PL"/>
        </w:rPr>
        <w:t xml:space="preserve"> Ministrów, którego funkcją jest czuwanie nad wykon</w:t>
      </w:r>
      <w:r w:rsidR="005C513D" w:rsidRPr="00ED0C6A">
        <w:rPr>
          <w:rFonts w:asciiTheme="minorHAnsi" w:hAnsiTheme="minorHAnsi"/>
          <w:sz w:val="24"/>
          <w:lang w:val="pl-PL"/>
        </w:rPr>
        <w:t>yw</w:t>
      </w:r>
      <w:r w:rsidR="00AB1DE2" w:rsidRPr="00ED0C6A">
        <w:rPr>
          <w:rFonts w:asciiTheme="minorHAnsi" w:hAnsiTheme="minorHAnsi"/>
          <w:sz w:val="24"/>
          <w:lang w:val="pl-PL"/>
        </w:rPr>
        <w:t>aniem ostatecznych wyroków Trybunału</w:t>
      </w:r>
      <w:r w:rsidR="005C513D" w:rsidRPr="00ED0C6A">
        <w:rPr>
          <w:rFonts w:asciiTheme="minorHAnsi" w:hAnsiTheme="minorHAnsi"/>
          <w:sz w:val="24"/>
          <w:lang w:val="pl-PL"/>
        </w:rPr>
        <w:t xml:space="preserve"> z drugiej strony</w:t>
      </w:r>
      <w:r w:rsidR="00AB1DE2" w:rsidRPr="00ED0C6A">
        <w:rPr>
          <w:rFonts w:asciiTheme="minorHAnsi" w:hAnsiTheme="minorHAnsi"/>
          <w:sz w:val="24"/>
          <w:lang w:val="pl-PL"/>
        </w:rPr>
        <w:t>.</w:t>
      </w:r>
    </w:p>
    <w:p w:rsidR="00904041" w:rsidRPr="00ED0C6A" w:rsidRDefault="00904041" w:rsidP="00F11942">
      <w:pPr>
        <w:pStyle w:val="ClinContent"/>
        <w:spacing w:before="0"/>
        <w:rPr>
          <w:rFonts w:asciiTheme="minorHAnsi" w:hAnsiTheme="minorHAnsi"/>
          <w:sz w:val="24"/>
          <w:lang w:val="pl-PL"/>
        </w:rPr>
      </w:pPr>
    </w:p>
    <w:p w:rsidR="00625D9F" w:rsidRPr="00ED0C6A" w:rsidRDefault="00904041" w:rsidP="00F11942">
      <w:pPr>
        <w:pStyle w:val="ClinContent"/>
        <w:spacing w:before="0"/>
        <w:rPr>
          <w:rFonts w:asciiTheme="minorHAnsi" w:hAnsiTheme="minorHAnsi"/>
          <w:sz w:val="24"/>
          <w:lang w:val="pl-PL"/>
        </w:rPr>
      </w:pPr>
      <w:r w:rsidRPr="00ED0C6A">
        <w:rPr>
          <w:rFonts w:asciiTheme="minorHAnsi" w:hAnsiTheme="minorHAnsi"/>
          <w:sz w:val="24"/>
          <w:lang w:val="pl-PL"/>
        </w:rPr>
        <w:t>Przypomniał</w:t>
      </w:r>
      <w:r w:rsidR="00625D9F" w:rsidRPr="00ED0C6A">
        <w:rPr>
          <w:rFonts w:asciiTheme="minorHAnsi" w:hAnsiTheme="minorHAnsi"/>
          <w:sz w:val="24"/>
          <w:lang w:val="pl-PL"/>
        </w:rPr>
        <w:t>, że</w:t>
      </w:r>
      <w:r w:rsidRPr="00ED0C6A">
        <w:rPr>
          <w:rFonts w:asciiTheme="minorHAnsi" w:hAnsiTheme="minorHAnsi"/>
          <w:sz w:val="24"/>
          <w:lang w:val="pl-PL"/>
        </w:rPr>
        <w:t xml:space="preserve"> </w:t>
      </w:r>
      <w:r w:rsidR="00625D9F" w:rsidRPr="00ED0C6A">
        <w:rPr>
          <w:rFonts w:asciiTheme="minorHAnsi" w:hAnsiTheme="minorHAnsi"/>
          <w:sz w:val="24"/>
          <w:lang w:val="pl-PL"/>
        </w:rPr>
        <w:t>s</w:t>
      </w:r>
      <w:r w:rsidR="00AB1DE2" w:rsidRPr="00ED0C6A">
        <w:rPr>
          <w:rFonts w:asciiTheme="minorHAnsi" w:hAnsiTheme="minorHAnsi"/>
          <w:sz w:val="24"/>
          <w:lang w:val="pl-PL"/>
        </w:rPr>
        <w:t xml:space="preserve">posób rozumienia tego podziału obowiązków ewoluował w świetle orzecznictwa Trybunału, w tym zwłaszcza </w:t>
      </w:r>
      <w:r w:rsidR="005C513D" w:rsidRPr="00ED0C6A">
        <w:rPr>
          <w:rFonts w:asciiTheme="minorHAnsi" w:hAnsiTheme="minorHAnsi"/>
          <w:sz w:val="24"/>
          <w:lang w:val="pl-PL"/>
        </w:rPr>
        <w:t>w miarę</w:t>
      </w:r>
      <w:r w:rsidR="00625D9F" w:rsidRPr="00ED0C6A">
        <w:rPr>
          <w:rFonts w:asciiTheme="minorHAnsi" w:hAnsiTheme="minorHAnsi"/>
          <w:sz w:val="24"/>
          <w:lang w:val="pl-PL"/>
        </w:rPr>
        <w:t xml:space="preserve"> </w:t>
      </w:r>
      <w:r w:rsidR="00AB1DE2" w:rsidRPr="00ED0C6A">
        <w:rPr>
          <w:rFonts w:asciiTheme="minorHAnsi" w:hAnsiTheme="minorHAnsi"/>
          <w:sz w:val="24"/>
          <w:lang w:val="pl-PL"/>
        </w:rPr>
        <w:t>wzrost</w:t>
      </w:r>
      <w:r w:rsidR="00625D9F" w:rsidRPr="00ED0C6A">
        <w:rPr>
          <w:rFonts w:asciiTheme="minorHAnsi" w:hAnsiTheme="minorHAnsi"/>
          <w:sz w:val="24"/>
          <w:lang w:val="pl-PL"/>
        </w:rPr>
        <w:t>u</w:t>
      </w:r>
      <w:r w:rsidR="00AB1DE2" w:rsidRPr="00ED0C6A">
        <w:rPr>
          <w:rFonts w:asciiTheme="minorHAnsi" w:hAnsiTheme="minorHAnsi"/>
          <w:sz w:val="24"/>
          <w:lang w:val="pl-PL"/>
        </w:rPr>
        <w:t xml:space="preserve"> liczby naruszeń Konwencji o</w:t>
      </w:r>
      <w:r w:rsidR="00827554">
        <w:rPr>
          <w:rFonts w:asciiTheme="minorHAnsi" w:hAnsiTheme="minorHAnsi"/>
          <w:sz w:val="24"/>
          <w:lang w:val="pl-PL"/>
        </w:rPr>
        <w:t> </w:t>
      </w:r>
      <w:r w:rsidR="00AB1DE2" w:rsidRPr="00ED0C6A">
        <w:rPr>
          <w:rFonts w:asciiTheme="minorHAnsi" w:hAnsiTheme="minorHAnsi"/>
          <w:sz w:val="24"/>
          <w:lang w:val="pl-PL"/>
        </w:rPr>
        <w:t xml:space="preserve">charakterze strukturalnym i systemowym. Wprowadzenie </w:t>
      </w:r>
      <w:r w:rsidR="005C513D" w:rsidRPr="00ED0C6A">
        <w:rPr>
          <w:rFonts w:asciiTheme="minorHAnsi" w:hAnsiTheme="minorHAnsi"/>
          <w:sz w:val="24"/>
          <w:lang w:val="pl-PL"/>
        </w:rPr>
        <w:t xml:space="preserve">przez Trybunał </w:t>
      </w:r>
      <w:r w:rsidR="00AB1DE2" w:rsidRPr="00ED0C6A">
        <w:rPr>
          <w:rFonts w:asciiTheme="minorHAnsi" w:hAnsiTheme="minorHAnsi"/>
          <w:sz w:val="24"/>
          <w:lang w:val="pl-PL"/>
        </w:rPr>
        <w:t xml:space="preserve">procedury wyroku pilotażowego miało </w:t>
      </w:r>
      <w:r w:rsidR="00625D9F" w:rsidRPr="00ED0C6A">
        <w:rPr>
          <w:rFonts w:asciiTheme="minorHAnsi" w:hAnsiTheme="minorHAnsi"/>
          <w:sz w:val="24"/>
          <w:lang w:val="pl-PL"/>
        </w:rPr>
        <w:t xml:space="preserve">właśnie </w:t>
      </w:r>
      <w:r w:rsidR="00AB1DE2" w:rsidRPr="00ED0C6A">
        <w:rPr>
          <w:rFonts w:asciiTheme="minorHAnsi" w:hAnsiTheme="minorHAnsi"/>
          <w:sz w:val="24"/>
          <w:lang w:val="pl-PL"/>
        </w:rPr>
        <w:t>na celu zaradzenie zjawisku powtarzalnych</w:t>
      </w:r>
      <w:r w:rsidR="00196819" w:rsidRPr="00ED0C6A">
        <w:rPr>
          <w:rFonts w:asciiTheme="minorHAnsi" w:hAnsiTheme="minorHAnsi"/>
          <w:sz w:val="24"/>
          <w:lang w:val="pl-PL"/>
        </w:rPr>
        <w:t xml:space="preserve"> </w:t>
      </w:r>
      <w:r w:rsidR="005C513D" w:rsidRPr="00ED0C6A">
        <w:rPr>
          <w:rFonts w:asciiTheme="minorHAnsi" w:hAnsiTheme="minorHAnsi"/>
          <w:sz w:val="24"/>
          <w:lang w:val="pl-PL"/>
        </w:rPr>
        <w:t xml:space="preserve">spraw </w:t>
      </w:r>
      <w:r w:rsidR="00AB1DE2" w:rsidRPr="00ED0C6A">
        <w:rPr>
          <w:rFonts w:asciiTheme="minorHAnsi" w:hAnsiTheme="minorHAnsi"/>
          <w:sz w:val="24"/>
          <w:lang w:val="pl-PL"/>
        </w:rPr>
        <w:t xml:space="preserve">wynikających z takich naruszeń. </w:t>
      </w:r>
    </w:p>
    <w:p w:rsidR="00625D9F" w:rsidRPr="00ED0C6A" w:rsidRDefault="00625D9F" w:rsidP="00F11942">
      <w:pPr>
        <w:pStyle w:val="ClinContent"/>
        <w:spacing w:before="0"/>
        <w:rPr>
          <w:rFonts w:asciiTheme="minorHAnsi" w:hAnsiTheme="minorHAnsi"/>
          <w:sz w:val="24"/>
          <w:lang w:val="pl-PL"/>
        </w:rPr>
      </w:pPr>
    </w:p>
    <w:p w:rsidR="00625D9F"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Obecnie konieczne stało się wyjaśnienie przez Trybunał, jak rozkładają się obowiązki </w:t>
      </w:r>
      <w:r w:rsidR="00625D9F" w:rsidRPr="00ED0C6A">
        <w:rPr>
          <w:rFonts w:asciiTheme="minorHAnsi" w:hAnsiTheme="minorHAnsi"/>
          <w:sz w:val="24"/>
          <w:lang w:val="pl-PL"/>
        </w:rPr>
        <w:t xml:space="preserve">między nim a Komitetem Ministrów </w:t>
      </w:r>
      <w:r w:rsidRPr="00ED0C6A">
        <w:rPr>
          <w:rFonts w:asciiTheme="minorHAnsi" w:hAnsiTheme="minorHAnsi"/>
          <w:sz w:val="24"/>
          <w:lang w:val="pl-PL"/>
        </w:rPr>
        <w:t>w odniesieniu do kwestii wynikających z braku wykonania wyroku pilotażowego</w:t>
      </w:r>
      <w:r w:rsidR="00625D9F" w:rsidRPr="00ED0C6A">
        <w:rPr>
          <w:rFonts w:asciiTheme="minorHAnsi" w:hAnsiTheme="minorHAnsi"/>
          <w:sz w:val="24"/>
          <w:lang w:val="pl-PL"/>
        </w:rPr>
        <w:t xml:space="preserve"> przez pozwane Państwo</w:t>
      </w:r>
      <w:r w:rsidRPr="00ED0C6A">
        <w:rPr>
          <w:rFonts w:asciiTheme="minorHAnsi" w:hAnsiTheme="minorHAnsi"/>
          <w:sz w:val="24"/>
          <w:lang w:val="pl-PL"/>
        </w:rPr>
        <w:t>.</w:t>
      </w:r>
    </w:p>
    <w:p w:rsidR="00625D9F" w:rsidRPr="00ED0C6A" w:rsidRDefault="00625D9F" w:rsidP="00F11942">
      <w:pPr>
        <w:pStyle w:val="ClinContent"/>
        <w:spacing w:before="0"/>
        <w:rPr>
          <w:rFonts w:asciiTheme="minorHAnsi" w:hAnsiTheme="minorHAnsi"/>
          <w:sz w:val="24"/>
          <w:lang w:val="pl-PL"/>
        </w:rPr>
      </w:pPr>
    </w:p>
    <w:p w:rsidR="00AB1DE2" w:rsidRPr="00ED0C6A" w:rsidRDefault="005C513D"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Choć </w:t>
      </w:r>
      <w:r w:rsidR="00AB1DE2" w:rsidRPr="00ED0C6A">
        <w:rPr>
          <w:rFonts w:asciiTheme="minorHAnsi" w:hAnsiTheme="minorHAnsi"/>
          <w:sz w:val="24"/>
          <w:lang w:val="pl-PL"/>
        </w:rPr>
        <w:t xml:space="preserve">od wydania </w:t>
      </w:r>
      <w:r w:rsidR="00625D9F" w:rsidRPr="00ED0C6A">
        <w:rPr>
          <w:rFonts w:asciiTheme="minorHAnsi" w:hAnsiTheme="minorHAnsi"/>
          <w:sz w:val="24"/>
          <w:lang w:val="pl-PL"/>
        </w:rPr>
        <w:t xml:space="preserve">przez Trybunał </w:t>
      </w:r>
      <w:r w:rsidRPr="00ED0C6A">
        <w:rPr>
          <w:rFonts w:asciiTheme="minorHAnsi" w:hAnsiTheme="minorHAnsi"/>
          <w:sz w:val="24"/>
          <w:lang w:val="pl-PL"/>
        </w:rPr>
        <w:t xml:space="preserve">w październiku 2009 r. </w:t>
      </w:r>
      <w:r w:rsidR="00AB1DE2" w:rsidRPr="00ED0C6A">
        <w:rPr>
          <w:rFonts w:asciiTheme="minorHAnsi" w:hAnsiTheme="minorHAnsi"/>
          <w:sz w:val="24"/>
          <w:lang w:val="pl-PL"/>
        </w:rPr>
        <w:t xml:space="preserve">wyroku pilotażowego </w:t>
      </w:r>
      <w:r w:rsidRPr="00ED0C6A">
        <w:rPr>
          <w:rFonts w:asciiTheme="minorHAnsi" w:hAnsiTheme="minorHAnsi"/>
          <w:sz w:val="24"/>
          <w:lang w:val="pl-PL"/>
        </w:rPr>
        <w:t xml:space="preserve">w sprawie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i/>
          <w:sz w:val="24"/>
          <w:lang w:val="pl-PL"/>
        </w:rPr>
        <w:t xml:space="preserve"> </w:t>
      </w:r>
      <w:r w:rsidRPr="00ED0C6A">
        <w:rPr>
          <w:rFonts w:asciiTheme="minorHAnsi" w:hAnsiTheme="minorHAnsi"/>
          <w:sz w:val="24"/>
          <w:lang w:val="pl-PL"/>
        </w:rPr>
        <w:t xml:space="preserve">minęło sporo czasu, </w:t>
      </w:r>
      <w:r w:rsidR="00AB1DE2" w:rsidRPr="00ED0C6A">
        <w:rPr>
          <w:rFonts w:asciiTheme="minorHAnsi" w:hAnsiTheme="minorHAnsi"/>
          <w:sz w:val="24"/>
          <w:lang w:val="pl-PL"/>
        </w:rPr>
        <w:t>Rząd Ukrainy nie wdrożył koniecznych środków generalnych</w:t>
      </w:r>
      <w:r w:rsidRPr="00ED0C6A">
        <w:rPr>
          <w:rFonts w:asciiTheme="minorHAnsi" w:hAnsiTheme="minorHAnsi"/>
          <w:sz w:val="24"/>
          <w:lang w:val="pl-PL"/>
        </w:rPr>
        <w:t>, które mogłyby</w:t>
      </w:r>
      <w:r w:rsidR="00AB1DE2" w:rsidRPr="00ED0C6A">
        <w:rPr>
          <w:rFonts w:asciiTheme="minorHAnsi" w:hAnsiTheme="minorHAnsi"/>
          <w:sz w:val="24"/>
          <w:lang w:val="pl-PL"/>
        </w:rPr>
        <w:t xml:space="preserve"> usunąć główne przyczyny problemu systemowego i zapewnić </w:t>
      </w:r>
      <w:r w:rsidRPr="00ED0C6A">
        <w:rPr>
          <w:rFonts w:asciiTheme="minorHAnsi" w:hAnsiTheme="minorHAnsi"/>
          <w:sz w:val="24"/>
          <w:lang w:val="pl-PL"/>
        </w:rPr>
        <w:t xml:space="preserve">na poziomie krajowym </w:t>
      </w:r>
      <w:r w:rsidR="00AB1DE2" w:rsidRPr="00ED0C6A">
        <w:rPr>
          <w:rFonts w:asciiTheme="minorHAnsi" w:hAnsiTheme="minorHAnsi"/>
          <w:sz w:val="24"/>
          <w:lang w:val="pl-PL"/>
        </w:rPr>
        <w:t xml:space="preserve">skuteczny środek odwoławczy gwarantujący zadośćuczynienie dla wszystkich ofiar </w:t>
      </w:r>
      <w:r w:rsidR="00625D9F" w:rsidRPr="00ED0C6A">
        <w:rPr>
          <w:rFonts w:asciiTheme="minorHAnsi" w:hAnsiTheme="minorHAnsi"/>
          <w:sz w:val="24"/>
          <w:lang w:val="pl-PL"/>
        </w:rPr>
        <w:t>tego naruszenia</w:t>
      </w:r>
      <w:r w:rsidR="00AB1DE2" w:rsidRPr="00ED0C6A">
        <w:rPr>
          <w:rFonts w:asciiTheme="minorHAnsi" w:hAnsiTheme="minorHAnsi"/>
          <w:sz w:val="24"/>
          <w:lang w:val="pl-PL"/>
        </w:rPr>
        <w:t xml:space="preserve">. </w:t>
      </w:r>
      <w:r w:rsidRPr="00ED0C6A">
        <w:rPr>
          <w:rFonts w:asciiTheme="minorHAnsi" w:hAnsiTheme="minorHAnsi"/>
          <w:sz w:val="24"/>
          <w:lang w:val="pl-PL"/>
        </w:rPr>
        <w:t xml:space="preserve">Wobec ciągłego braku </w:t>
      </w:r>
      <w:r w:rsidR="00AB1DE2" w:rsidRPr="00ED0C6A">
        <w:rPr>
          <w:rFonts w:asciiTheme="minorHAnsi" w:hAnsiTheme="minorHAnsi"/>
          <w:sz w:val="24"/>
          <w:lang w:val="pl-PL"/>
        </w:rPr>
        <w:t xml:space="preserve">podjęcia odpowiednich środków generalnych </w:t>
      </w:r>
      <w:r w:rsidR="00625D9F" w:rsidRPr="00ED0C6A">
        <w:rPr>
          <w:rFonts w:asciiTheme="minorHAnsi" w:hAnsiTheme="minorHAnsi"/>
          <w:sz w:val="24"/>
          <w:lang w:val="pl-PL"/>
        </w:rPr>
        <w:t xml:space="preserve">przez Rząd </w:t>
      </w:r>
      <w:r w:rsidR="00AB1DE2" w:rsidRPr="00ED0C6A">
        <w:rPr>
          <w:rFonts w:asciiTheme="minorHAnsi" w:hAnsiTheme="minorHAnsi"/>
          <w:sz w:val="24"/>
          <w:lang w:val="pl-PL"/>
        </w:rPr>
        <w:t xml:space="preserve">Trybunał </w:t>
      </w:r>
      <w:r w:rsidRPr="00ED0C6A">
        <w:rPr>
          <w:rFonts w:asciiTheme="minorHAnsi" w:hAnsiTheme="minorHAnsi"/>
          <w:sz w:val="24"/>
          <w:lang w:val="pl-PL"/>
        </w:rPr>
        <w:t>przyjął praktykę</w:t>
      </w:r>
      <w:r w:rsidR="00AB1DE2" w:rsidRPr="00ED0C6A">
        <w:rPr>
          <w:rFonts w:asciiTheme="minorHAnsi" w:hAnsiTheme="minorHAnsi"/>
          <w:sz w:val="24"/>
          <w:lang w:val="pl-PL"/>
        </w:rPr>
        <w:t xml:space="preserve"> rozpatrywania kolejnych spraw z grupy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sz w:val="24"/>
          <w:lang w:val="pl-PL"/>
        </w:rPr>
        <w:t xml:space="preserve"> w</w:t>
      </w:r>
      <w:r w:rsidR="00827554">
        <w:rPr>
          <w:rFonts w:asciiTheme="minorHAnsi" w:hAnsiTheme="minorHAnsi"/>
          <w:sz w:val="24"/>
          <w:lang w:val="pl-PL"/>
        </w:rPr>
        <w:t> </w:t>
      </w:r>
      <w:r w:rsidR="00AB1DE2" w:rsidRPr="00ED0C6A">
        <w:rPr>
          <w:rFonts w:asciiTheme="minorHAnsi" w:hAnsiTheme="minorHAnsi"/>
          <w:sz w:val="24"/>
          <w:lang w:val="pl-PL"/>
        </w:rPr>
        <w:t xml:space="preserve">przyspieszonym i uproszczonym postępowaniu, w którym </w:t>
      </w:r>
      <w:r w:rsidRPr="00ED0C6A">
        <w:rPr>
          <w:rFonts w:asciiTheme="minorHAnsi" w:hAnsiTheme="minorHAnsi"/>
          <w:sz w:val="24"/>
          <w:lang w:val="pl-PL"/>
        </w:rPr>
        <w:t xml:space="preserve">w odniesieniu do grup skarg </w:t>
      </w:r>
      <w:r w:rsidR="00AB1DE2" w:rsidRPr="00ED0C6A">
        <w:rPr>
          <w:rFonts w:asciiTheme="minorHAnsi" w:hAnsiTheme="minorHAnsi"/>
          <w:sz w:val="24"/>
          <w:lang w:val="pl-PL"/>
        </w:rPr>
        <w:t xml:space="preserve">wydawane były wyroki </w:t>
      </w:r>
      <w:r w:rsidR="00625D9F" w:rsidRPr="00ED0C6A">
        <w:rPr>
          <w:rFonts w:asciiTheme="minorHAnsi" w:hAnsiTheme="minorHAnsi"/>
          <w:sz w:val="24"/>
          <w:lang w:val="pl-PL"/>
        </w:rPr>
        <w:t>lub</w:t>
      </w:r>
      <w:r w:rsidR="00AB1DE2" w:rsidRPr="00ED0C6A">
        <w:rPr>
          <w:rFonts w:asciiTheme="minorHAnsi" w:hAnsiTheme="minorHAnsi"/>
          <w:sz w:val="24"/>
          <w:lang w:val="pl-PL"/>
        </w:rPr>
        <w:t xml:space="preserve"> decyzje o skreśleniu</w:t>
      </w:r>
      <w:r w:rsidRPr="00ED0C6A">
        <w:rPr>
          <w:rFonts w:asciiTheme="minorHAnsi" w:hAnsiTheme="minorHAnsi"/>
          <w:sz w:val="24"/>
          <w:lang w:val="pl-PL"/>
        </w:rPr>
        <w:t xml:space="preserve"> z listy</w:t>
      </w:r>
      <w:r w:rsidR="00AB1DE2" w:rsidRPr="00ED0C6A">
        <w:rPr>
          <w:rFonts w:asciiTheme="minorHAnsi" w:hAnsiTheme="minorHAnsi"/>
          <w:sz w:val="24"/>
          <w:lang w:val="pl-PL"/>
        </w:rPr>
        <w:t xml:space="preserve">, </w:t>
      </w:r>
      <w:r w:rsidRPr="00ED0C6A">
        <w:rPr>
          <w:rFonts w:asciiTheme="minorHAnsi" w:hAnsiTheme="minorHAnsi"/>
          <w:sz w:val="24"/>
          <w:lang w:val="pl-PL"/>
        </w:rPr>
        <w:t xml:space="preserve">co do zasady </w:t>
      </w:r>
      <w:r w:rsidR="00AB1DE2" w:rsidRPr="00ED0C6A">
        <w:rPr>
          <w:rFonts w:asciiTheme="minorHAnsi" w:hAnsiTheme="minorHAnsi"/>
          <w:sz w:val="24"/>
          <w:lang w:val="pl-PL"/>
        </w:rPr>
        <w:t>ogranicz</w:t>
      </w:r>
      <w:r w:rsidRPr="00ED0C6A">
        <w:rPr>
          <w:rFonts w:asciiTheme="minorHAnsi" w:hAnsiTheme="minorHAnsi"/>
          <w:sz w:val="24"/>
          <w:lang w:val="pl-PL"/>
        </w:rPr>
        <w:t>ające</w:t>
      </w:r>
      <w:r w:rsidR="00625D9F" w:rsidRPr="00ED0C6A">
        <w:rPr>
          <w:rFonts w:asciiTheme="minorHAnsi" w:hAnsiTheme="minorHAnsi"/>
          <w:sz w:val="24"/>
          <w:lang w:val="pl-PL"/>
        </w:rPr>
        <w:t xml:space="preserve"> się</w:t>
      </w:r>
      <w:r w:rsidR="00E57D35">
        <w:rPr>
          <w:rFonts w:asciiTheme="minorHAnsi" w:hAnsiTheme="minorHAnsi"/>
          <w:sz w:val="24"/>
          <w:lang w:val="pl-PL"/>
        </w:rPr>
        <w:t> </w:t>
      </w:r>
      <w:r w:rsidR="00625D9F" w:rsidRPr="00ED0C6A">
        <w:rPr>
          <w:rFonts w:asciiTheme="minorHAnsi" w:hAnsiTheme="minorHAnsi"/>
          <w:sz w:val="24"/>
          <w:lang w:val="pl-PL"/>
        </w:rPr>
        <w:t>d</w:t>
      </w:r>
      <w:r w:rsidR="00AB1DE2" w:rsidRPr="00ED0C6A">
        <w:rPr>
          <w:rFonts w:asciiTheme="minorHAnsi" w:hAnsiTheme="minorHAnsi"/>
          <w:sz w:val="24"/>
          <w:lang w:val="pl-PL"/>
        </w:rPr>
        <w:t>o</w:t>
      </w:r>
      <w:r w:rsidR="00827554">
        <w:rPr>
          <w:rFonts w:asciiTheme="minorHAnsi" w:hAnsiTheme="minorHAnsi"/>
          <w:sz w:val="24"/>
          <w:lang w:val="pl-PL"/>
        </w:rPr>
        <w:t> </w:t>
      </w:r>
      <w:r w:rsidR="00AB1DE2" w:rsidRPr="00ED0C6A">
        <w:rPr>
          <w:rFonts w:asciiTheme="minorHAnsi" w:hAnsiTheme="minorHAnsi"/>
          <w:sz w:val="24"/>
          <w:lang w:val="pl-PL"/>
        </w:rPr>
        <w:t>stwierdzenia naruszenia i zasądzenia słusznego zadośćuczynienia. Nie miało to</w:t>
      </w:r>
      <w:r w:rsidR="00E57D35">
        <w:rPr>
          <w:rFonts w:asciiTheme="minorHAnsi" w:hAnsiTheme="minorHAnsi"/>
          <w:sz w:val="24"/>
          <w:lang w:val="pl-PL"/>
        </w:rPr>
        <w:t> </w:t>
      </w:r>
      <w:r w:rsidR="00AB1DE2" w:rsidRPr="00ED0C6A">
        <w:rPr>
          <w:rFonts w:asciiTheme="minorHAnsi" w:hAnsiTheme="minorHAnsi"/>
          <w:sz w:val="24"/>
          <w:lang w:val="pl-PL"/>
        </w:rPr>
        <w:t>jednakże żadnego znaczącego wpływu na ogólny problem systemowy ani</w:t>
      </w:r>
      <w:r w:rsidR="00E57D35">
        <w:rPr>
          <w:rFonts w:asciiTheme="minorHAnsi" w:hAnsiTheme="minorHAnsi"/>
          <w:sz w:val="24"/>
          <w:lang w:val="pl-PL"/>
        </w:rPr>
        <w:t> </w:t>
      </w:r>
      <w:r w:rsidR="00AB1DE2" w:rsidRPr="00ED0C6A">
        <w:rPr>
          <w:rFonts w:asciiTheme="minorHAnsi" w:hAnsiTheme="minorHAnsi"/>
          <w:sz w:val="24"/>
          <w:lang w:val="pl-PL"/>
        </w:rPr>
        <w:t>nie</w:t>
      </w:r>
      <w:r w:rsidR="00E57D35">
        <w:rPr>
          <w:rFonts w:asciiTheme="minorHAnsi" w:hAnsiTheme="minorHAnsi"/>
          <w:sz w:val="24"/>
          <w:lang w:val="pl-PL"/>
        </w:rPr>
        <w:t> </w:t>
      </w:r>
      <w:r w:rsidR="00AB1DE2" w:rsidRPr="00ED0C6A">
        <w:rPr>
          <w:rFonts w:asciiTheme="minorHAnsi" w:hAnsiTheme="minorHAnsi"/>
          <w:sz w:val="24"/>
          <w:lang w:val="pl-PL"/>
        </w:rPr>
        <w:t>doprowadziło do</w:t>
      </w:r>
      <w:r w:rsidR="00827554">
        <w:rPr>
          <w:rFonts w:asciiTheme="minorHAnsi" w:hAnsiTheme="minorHAnsi"/>
          <w:sz w:val="24"/>
          <w:lang w:val="pl-PL"/>
        </w:rPr>
        <w:t> </w:t>
      </w:r>
      <w:r w:rsidR="00AB1DE2" w:rsidRPr="00ED0C6A">
        <w:rPr>
          <w:rFonts w:asciiTheme="minorHAnsi" w:hAnsiTheme="minorHAnsi"/>
          <w:sz w:val="24"/>
          <w:lang w:val="pl-PL"/>
        </w:rPr>
        <w:t>dostrzegalnego postępu w procedurze wykonywania</w:t>
      </w:r>
      <w:r w:rsidR="00625D9F" w:rsidRPr="00ED0C6A">
        <w:rPr>
          <w:rFonts w:asciiTheme="minorHAnsi" w:hAnsiTheme="minorHAnsi"/>
          <w:sz w:val="24"/>
          <w:lang w:val="pl-PL"/>
        </w:rPr>
        <w:t xml:space="preserve"> wyroku </w:t>
      </w:r>
      <w:proofErr w:type="spellStart"/>
      <w:r w:rsidR="00625D9F" w:rsidRPr="00ED0C6A">
        <w:rPr>
          <w:rFonts w:asciiTheme="minorHAnsi" w:hAnsiTheme="minorHAnsi"/>
          <w:i/>
          <w:sz w:val="24"/>
          <w:lang w:val="pl-PL"/>
        </w:rPr>
        <w:t>Ivanov</w:t>
      </w:r>
      <w:proofErr w:type="spellEnd"/>
      <w:r w:rsidR="00AB1DE2" w:rsidRPr="00ED0C6A">
        <w:rPr>
          <w:rFonts w:asciiTheme="minorHAnsi" w:hAnsiTheme="minorHAnsi"/>
          <w:sz w:val="24"/>
          <w:lang w:val="pl-PL"/>
        </w:rPr>
        <w:t xml:space="preserve">.  </w:t>
      </w:r>
    </w:p>
    <w:p w:rsidR="00625D9F" w:rsidRPr="00ED0C6A" w:rsidRDefault="00625D9F"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Od wniesienia pierwszych skarg w 1999 r. Trybunał otrzymał ok. 29.000 skarg </w:t>
      </w:r>
      <w:r w:rsidR="00C60E8F" w:rsidRPr="00ED0C6A">
        <w:rPr>
          <w:rFonts w:asciiTheme="minorHAnsi" w:hAnsiTheme="minorHAnsi"/>
          <w:sz w:val="24"/>
          <w:lang w:val="pl-PL"/>
        </w:rPr>
        <w:t>z grupy</w:t>
      </w:r>
      <w:r w:rsidRPr="00ED0C6A">
        <w:rPr>
          <w:rFonts w:asciiTheme="minorHAnsi" w:hAnsiTheme="minorHAnsi"/>
          <w:sz w:val="24"/>
          <w:lang w:val="pl-PL"/>
        </w:rPr>
        <w:t xml:space="preserve"> </w:t>
      </w:r>
      <w:proofErr w:type="spellStart"/>
      <w:r w:rsidRPr="00ED0C6A">
        <w:rPr>
          <w:rFonts w:asciiTheme="minorHAnsi" w:hAnsiTheme="minorHAnsi"/>
          <w:i/>
          <w:sz w:val="24"/>
          <w:lang w:val="pl-PL"/>
        </w:rPr>
        <w:t>Ivanov</w:t>
      </w:r>
      <w:proofErr w:type="spellEnd"/>
      <w:r w:rsidR="00625D9F" w:rsidRPr="00ED0C6A">
        <w:rPr>
          <w:rFonts w:asciiTheme="minorHAnsi" w:hAnsiTheme="minorHAnsi"/>
          <w:sz w:val="24"/>
          <w:lang w:val="pl-PL"/>
        </w:rPr>
        <w:t>, z których 14</w:t>
      </w:r>
      <w:r w:rsidR="00C35281" w:rsidRPr="00ED0C6A">
        <w:rPr>
          <w:rFonts w:asciiTheme="minorHAnsi" w:hAnsiTheme="minorHAnsi"/>
          <w:sz w:val="24"/>
          <w:lang w:val="pl-PL"/>
        </w:rPr>
        <w:t>.</w:t>
      </w:r>
      <w:r w:rsidRPr="00ED0C6A">
        <w:rPr>
          <w:rFonts w:asciiTheme="minorHAnsi" w:hAnsiTheme="minorHAnsi"/>
          <w:sz w:val="24"/>
          <w:lang w:val="pl-PL"/>
        </w:rPr>
        <w:t>430 zostało rozpatrzonych przez Trybunał w różnych składach sędziowskich. Jednak 12</w:t>
      </w:r>
      <w:r w:rsidR="00C35281" w:rsidRPr="00ED0C6A">
        <w:rPr>
          <w:rFonts w:asciiTheme="minorHAnsi" w:hAnsiTheme="minorHAnsi"/>
          <w:sz w:val="24"/>
          <w:lang w:val="pl-PL"/>
        </w:rPr>
        <w:t>.</w:t>
      </w:r>
      <w:r w:rsidRPr="00ED0C6A">
        <w:rPr>
          <w:rFonts w:asciiTheme="minorHAnsi" w:hAnsiTheme="minorHAnsi"/>
          <w:sz w:val="24"/>
          <w:lang w:val="pl-PL"/>
        </w:rPr>
        <w:t>143 z tych skarg, wniesionych głównie w latach 2013-2017, wciąż oczekuje na</w:t>
      </w:r>
      <w:r w:rsidR="00827554">
        <w:rPr>
          <w:rFonts w:asciiTheme="minorHAnsi" w:hAnsiTheme="minorHAnsi"/>
          <w:sz w:val="24"/>
          <w:lang w:val="pl-PL"/>
        </w:rPr>
        <w:t> </w:t>
      </w:r>
      <w:r w:rsidRPr="00ED0C6A">
        <w:rPr>
          <w:rFonts w:asciiTheme="minorHAnsi" w:hAnsiTheme="minorHAnsi"/>
          <w:sz w:val="24"/>
          <w:lang w:val="pl-PL"/>
        </w:rPr>
        <w:t>rozpatrzenie przez sędziów</w:t>
      </w:r>
      <w:r w:rsidR="00625D9F" w:rsidRPr="00ED0C6A">
        <w:rPr>
          <w:rFonts w:asciiTheme="minorHAnsi" w:hAnsiTheme="minorHAnsi"/>
          <w:sz w:val="24"/>
          <w:lang w:val="pl-PL"/>
        </w:rPr>
        <w:t xml:space="preserve"> Trybunału</w:t>
      </w:r>
      <w:r w:rsidRPr="00ED0C6A">
        <w:rPr>
          <w:rFonts w:asciiTheme="minorHAnsi" w:hAnsiTheme="minorHAnsi"/>
          <w:sz w:val="24"/>
          <w:lang w:val="pl-PL"/>
        </w:rPr>
        <w:t>. W świetle danych przedstawionych Komitetowi Ministrów przez Rząd, liczba osób, które nie uzyskały wykonania orzeczeń sądowych na</w:t>
      </w:r>
      <w:r w:rsidR="00827554">
        <w:rPr>
          <w:rFonts w:asciiTheme="minorHAnsi" w:hAnsiTheme="minorHAnsi"/>
          <w:sz w:val="24"/>
          <w:lang w:val="pl-PL"/>
        </w:rPr>
        <w:t> </w:t>
      </w:r>
      <w:r w:rsidRPr="00ED0C6A">
        <w:rPr>
          <w:rFonts w:asciiTheme="minorHAnsi" w:hAnsiTheme="minorHAnsi"/>
          <w:sz w:val="24"/>
          <w:lang w:val="pl-PL"/>
        </w:rPr>
        <w:t xml:space="preserve">Ukrainie, sięga ok. 120.000.  </w:t>
      </w:r>
    </w:p>
    <w:p w:rsidR="00625D9F" w:rsidRPr="00ED0C6A" w:rsidRDefault="00625D9F" w:rsidP="00F11942">
      <w:pPr>
        <w:pStyle w:val="ClinContent"/>
        <w:spacing w:before="0"/>
        <w:rPr>
          <w:rFonts w:asciiTheme="minorHAnsi" w:hAnsiTheme="minorHAnsi"/>
          <w:sz w:val="24"/>
          <w:lang w:val="pl-PL"/>
        </w:rPr>
      </w:pPr>
    </w:p>
    <w:p w:rsidR="00625D9F"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Gdyby Trybunał rozpatrywał obecne i wszystkie inne sprawy z tej grupy w ten sam lub</w:t>
      </w:r>
      <w:r w:rsidR="00827554">
        <w:rPr>
          <w:rFonts w:asciiTheme="minorHAnsi" w:hAnsiTheme="minorHAnsi"/>
          <w:sz w:val="24"/>
          <w:lang w:val="pl-PL"/>
        </w:rPr>
        <w:t> </w:t>
      </w:r>
      <w:r w:rsidRPr="00ED0C6A">
        <w:rPr>
          <w:rFonts w:asciiTheme="minorHAnsi" w:hAnsiTheme="minorHAnsi"/>
          <w:sz w:val="24"/>
          <w:lang w:val="pl-PL"/>
        </w:rPr>
        <w:t xml:space="preserve">podobny sposób, </w:t>
      </w:r>
      <w:r w:rsidR="00C60E8F" w:rsidRPr="00ED0C6A">
        <w:rPr>
          <w:rFonts w:asciiTheme="minorHAnsi" w:hAnsiTheme="minorHAnsi"/>
          <w:sz w:val="24"/>
          <w:lang w:val="pl-PL"/>
        </w:rPr>
        <w:t xml:space="preserve">nieuchronnie </w:t>
      </w:r>
      <w:r w:rsidRPr="00ED0C6A">
        <w:rPr>
          <w:rFonts w:asciiTheme="minorHAnsi" w:hAnsiTheme="minorHAnsi"/>
          <w:sz w:val="24"/>
          <w:lang w:val="pl-PL"/>
        </w:rPr>
        <w:t>stanąłby przed perspektywą wzrostu liczby skarżących na</w:t>
      </w:r>
      <w:r w:rsidR="00827554">
        <w:rPr>
          <w:rFonts w:asciiTheme="minorHAnsi" w:hAnsiTheme="minorHAnsi"/>
          <w:sz w:val="24"/>
          <w:lang w:val="pl-PL"/>
        </w:rPr>
        <w:t> </w:t>
      </w:r>
      <w:r w:rsidRPr="00ED0C6A">
        <w:rPr>
          <w:rFonts w:asciiTheme="minorHAnsi" w:hAnsiTheme="minorHAnsi"/>
          <w:sz w:val="24"/>
          <w:lang w:val="pl-PL"/>
        </w:rPr>
        <w:t>Ukrainie, którzy zwracaliby się do niego o zadośćuczynienie w przyszłości. Przed</w:t>
      </w:r>
      <w:r w:rsidR="00E57D35">
        <w:rPr>
          <w:rFonts w:asciiTheme="minorHAnsi" w:hAnsiTheme="minorHAnsi"/>
          <w:sz w:val="24"/>
          <w:lang w:val="pl-PL"/>
        </w:rPr>
        <w:t> </w:t>
      </w:r>
      <w:r w:rsidRPr="00ED0C6A">
        <w:rPr>
          <w:rFonts w:asciiTheme="minorHAnsi" w:hAnsiTheme="minorHAnsi"/>
          <w:sz w:val="24"/>
          <w:lang w:val="pl-PL"/>
        </w:rPr>
        <w:t xml:space="preserve">Trybunałem pojawiło się </w:t>
      </w:r>
      <w:r w:rsidR="00625D9F" w:rsidRPr="00ED0C6A">
        <w:rPr>
          <w:rFonts w:asciiTheme="minorHAnsi" w:hAnsiTheme="minorHAnsi"/>
          <w:sz w:val="24"/>
          <w:lang w:val="pl-PL"/>
        </w:rPr>
        <w:t xml:space="preserve">więc </w:t>
      </w:r>
      <w:r w:rsidRPr="00ED0C6A">
        <w:rPr>
          <w:rFonts w:asciiTheme="minorHAnsi" w:hAnsiTheme="minorHAnsi"/>
          <w:sz w:val="24"/>
          <w:lang w:val="pl-PL"/>
        </w:rPr>
        <w:t xml:space="preserve">ryzyko, że będzie </w:t>
      </w:r>
      <w:r w:rsidR="00C60E8F" w:rsidRPr="00ED0C6A">
        <w:rPr>
          <w:rFonts w:asciiTheme="minorHAnsi" w:hAnsiTheme="minorHAnsi"/>
          <w:sz w:val="24"/>
          <w:lang w:val="pl-PL"/>
        </w:rPr>
        <w:t xml:space="preserve">on występował w charakterze części </w:t>
      </w:r>
      <w:r w:rsidRPr="00ED0C6A">
        <w:rPr>
          <w:rFonts w:asciiTheme="minorHAnsi" w:hAnsiTheme="minorHAnsi"/>
          <w:sz w:val="24"/>
          <w:lang w:val="pl-PL"/>
        </w:rPr>
        <w:t xml:space="preserve">ukraińskiego systemu egzekucyjnego, zastępując władze ukraińskie. </w:t>
      </w:r>
      <w:r w:rsidR="002413F8" w:rsidRPr="00ED0C6A">
        <w:rPr>
          <w:rFonts w:asciiTheme="minorHAnsi" w:hAnsiTheme="minorHAnsi"/>
          <w:sz w:val="24"/>
          <w:lang w:val="pl-PL"/>
        </w:rPr>
        <w:t>Zadanie to n</w:t>
      </w:r>
      <w:r w:rsidRPr="00ED0C6A">
        <w:rPr>
          <w:rFonts w:asciiTheme="minorHAnsi" w:hAnsiTheme="minorHAnsi"/>
          <w:sz w:val="24"/>
          <w:lang w:val="pl-PL"/>
        </w:rPr>
        <w:t xml:space="preserve">ie </w:t>
      </w:r>
      <w:r w:rsidR="00625D9F" w:rsidRPr="00ED0C6A">
        <w:rPr>
          <w:rFonts w:asciiTheme="minorHAnsi" w:hAnsiTheme="minorHAnsi"/>
          <w:sz w:val="24"/>
          <w:lang w:val="pl-PL"/>
        </w:rPr>
        <w:t xml:space="preserve">byłoby jednak </w:t>
      </w:r>
      <w:r w:rsidRPr="00ED0C6A">
        <w:rPr>
          <w:rFonts w:asciiTheme="minorHAnsi" w:hAnsiTheme="minorHAnsi"/>
          <w:sz w:val="24"/>
          <w:lang w:val="pl-PL"/>
        </w:rPr>
        <w:t>zgodne z subsydiarną rolą, którą Trybunał ma odgrywać na podstawie art. 1 i 19 Konwencji, i stanowi</w:t>
      </w:r>
      <w:r w:rsidR="002413F8" w:rsidRPr="00ED0C6A">
        <w:rPr>
          <w:rFonts w:asciiTheme="minorHAnsi" w:hAnsiTheme="minorHAnsi"/>
          <w:sz w:val="24"/>
          <w:lang w:val="pl-PL"/>
        </w:rPr>
        <w:t>łoby bezpośrednie</w:t>
      </w:r>
      <w:r w:rsidR="00C35281" w:rsidRPr="00ED0C6A">
        <w:rPr>
          <w:rFonts w:asciiTheme="minorHAnsi" w:hAnsiTheme="minorHAnsi"/>
          <w:sz w:val="24"/>
          <w:lang w:val="pl-PL"/>
        </w:rPr>
        <w:t xml:space="preserve"> </w:t>
      </w:r>
      <w:r w:rsidRPr="00ED0C6A">
        <w:rPr>
          <w:rFonts w:asciiTheme="minorHAnsi" w:hAnsiTheme="minorHAnsi"/>
          <w:sz w:val="24"/>
          <w:lang w:val="pl-PL"/>
        </w:rPr>
        <w:t>zaprzeczenie idei procedury wyroku pilotażowego rozwiniętej przez Trybunał.</w:t>
      </w:r>
    </w:p>
    <w:p w:rsidR="00BD537A" w:rsidRPr="00ED0C6A" w:rsidRDefault="00BD537A"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Trybunał musi zatem rozważyć, w jaki sposób najlepiej odpowiedzieć na tę sytuację z</w:t>
      </w:r>
      <w:r w:rsidR="00827554">
        <w:rPr>
          <w:rFonts w:asciiTheme="minorHAnsi" w:hAnsiTheme="minorHAnsi"/>
          <w:sz w:val="24"/>
          <w:lang w:val="pl-PL"/>
        </w:rPr>
        <w:t> </w:t>
      </w:r>
      <w:r w:rsidRPr="00ED0C6A">
        <w:rPr>
          <w:rFonts w:asciiTheme="minorHAnsi" w:hAnsiTheme="minorHAnsi"/>
          <w:sz w:val="24"/>
          <w:lang w:val="pl-PL"/>
        </w:rPr>
        <w:t>poszanowaniem celu procedury wyroku pilotażowego i w zgodzie z zasadą subsydiarności, która leży u podstaw tego celu. W szczególności, musi zbadać, czy powinien działać jako</w:t>
      </w:r>
      <w:r w:rsidR="00827554">
        <w:rPr>
          <w:rFonts w:asciiTheme="minorHAnsi" w:hAnsiTheme="minorHAnsi"/>
          <w:sz w:val="24"/>
          <w:lang w:val="pl-PL"/>
        </w:rPr>
        <w:t> </w:t>
      </w:r>
      <w:r w:rsidRPr="00ED0C6A">
        <w:rPr>
          <w:rFonts w:asciiTheme="minorHAnsi" w:hAnsiTheme="minorHAnsi"/>
          <w:sz w:val="24"/>
          <w:lang w:val="pl-PL"/>
        </w:rPr>
        <w:t xml:space="preserve">mechanizm zasądzania odszkodowania w odniesieniu do dużych liczb powtarzalnych </w:t>
      </w:r>
      <w:r w:rsidR="002413F8" w:rsidRPr="00ED0C6A">
        <w:rPr>
          <w:rFonts w:asciiTheme="minorHAnsi" w:hAnsiTheme="minorHAnsi"/>
          <w:sz w:val="24"/>
          <w:lang w:val="pl-PL"/>
        </w:rPr>
        <w:t>skarg napływających po wyrokach</w:t>
      </w:r>
      <w:r w:rsidRPr="00ED0C6A">
        <w:rPr>
          <w:rFonts w:asciiTheme="minorHAnsi" w:hAnsiTheme="minorHAnsi"/>
          <w:sz w:val="24"/>
          <w:lang w:val="pl-PL"/>
        </w:rPr>
        <w:t xml:space="preserve"> pilotażowych i wyrok</w:t>
      </w:r>
      <w:r w:rsidR="002413F8" w:rsidRPr="00ED0C6A">
        <w:rPr>
          <w:rFonts w:asciiTheme="minorHAnsi" w:hAnsiTheme="minorHAnsi"/>
          <w:sz w:val="24"/>
          <w:lang w:val="pl-PL"/>
        </w:rPr>
        <w:t>ach</w:t>
      </w:r>
      <w:r w:rsidRPr="00ED0C6A">
        <w:rPr>
          <w:rFonts w:asciiTheme="minorHAnsi" w:hAnsiTheme="minorHAnsi"/>
          <w:sz w:val="24"/>
          <w:lang w:val="pl-PL"/>
        </w:rPr>
        <w:t xml:space="preserve"> wiodących, których wykon</w:t>
      </w:r>
      <w:r w:rsidR="002413F8" w:rsidRPr="00ED0C6A">
        <w:rPr>
          <w:rFonts w:asciiTheme="minorHAnsi" w:hAnsiTheme="minorHAnsi"/>
          <w:sz w:val="24"/>
          <w:lang w:val="pl-PL"/>
        </w:rPr>
        <w:t>yw</w:t>
      </w:r>
      <w:r w:rsidRPr="00ED0C6A">
        <w:rPr>
          <w:rFonts w:asciiTheme="minorHAnsi" w:hAnsiTheme="minorHAnsi"/>
          <w:sz w:val="24"/>
          <w:lang w:val="pl-PL"/>
        </w:rPr>
        <w:t xml:space="preserve">anie ma być nadzorowane przez Komitet Ministrów. </w:t>
      </w:r>
    </w:p>
    <w:p w:rsidR="00625D9F" w:rsidRPr="00ED0C6A" w:rsidRDefault="00625D9F" w:rsidP="00F11942">
      <w:pPr>
        <w:pStyle w:val="ClinContent"/>
        <w:spacing w:before="0"/>
        <w:rPr>
          <w:rFonts w:asciiTheme="minorHAnsi" w:hAnsiTheme="minorHAnsi"/>
          <w:sz w:val="24"/>
          <w:lang w:val="pl-PL"/>
        </w:rPr>
      </w:pPr>
    </w:p>
    <w:p w:rsidR="00AB1DE2" w:rsidRPr="00ED0C6A" w:rsidRDefault="00625D9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wskazał następnie na </w:t>
      </w:r>
      <w:r w:rsidRPr="00ED0C6A">
        <w:rPr>
          <w:rFonts w:asciiTheme="minorHAnsi" w:hAnsiTheme="minorHAnsi"/>
          <w:i/>
          <w:sz w:val="24"/>
          <w:u w:val="single"/>
          <w:lang w:val="pl-PL"/>
        </w:rPr>
        <w:t>p</w:t>
      </w:r>
      <w:r w:rsidR="00AB1DE2" w:rsidRPr="00ED0C6A">
        <w:rPr>
          <w:rFonts w:asciiTheme="minorHAnsi" w:hAnsiTheme="minorHAnsi"/>
          <w:i/>
          <w:sz w:val="24"/>
          <w:u w:val="single"/>
          <w:lang w:val="pl-PL"/>
        </w:rPr>
        <w:t>rzedmiot i ce</w:t>
      </w:r>
      <w:r w:rsidRPr="00ED0C6A">
        <w:rPr>
          <w:rFonts w:asciiTheme="minorHAnsi" w:hAnsiTheme="minorHAnsi"/>
          <w:i/>
          <w:sz w:val="24"/>
          <w:u w:val="single"/>
          <w:lang w:val="pl-PL"/>
        </w:rPr>
        <w:t>l procedury wyroku pilotażowego</w:t>
      </w:r>
      <w:r w:rsidRPr="00ED0C6A">
        <w:rPr>
          <w:rFonts w:asciiTheme="minorHAnsi" w:hAnsiTheme="minorHAnsi"/>
          <w:i/>
          <w:sz w:val="24"/>
          <w:lang w:val="pl-PL"/>
        </w:rPr>
        <w:t xml:space="preserve">. </w:t>
      </w:r>
      <w:r w:rsidRPr="00ED0C6A">
        <w:rPr>
          <w:rFonts w:asciiTheme="minorHAnsi" w:hAnsiTheme="minorHAnsi"/>
          <w:sz w:val="24"/>
          <w:lang w:val="pl-PL"/>
        </w:rPr>
        <w:t>Przypomniał, że p</w:t>
      </w:r>
      <w:r w:rsidR="00AB1DE2" w:rsidRPr="00ED0C6A">
        <w:rPr>
          <w:rFonts w:asciiTheme="minorHAnsi" w:hAnsiTheme="minorHAnsi"/>
          <w:sz w:val="24"/>
          <w:lang w:val="pl-PL"/>
        </w:rPr>
        <w:t xml:space="preserve">rocedura wyroku pilotażowego została pomyślana jako odpowiedź na wzrost liczby spraw </w:t>
      </w:r>
      <w:r w:rsidR="00254B67" w:rsidRPr="00ED0C6A">
        <w:rPr>
          <w:rFonts w:asciiTheme="minorHAnsi" w:hAnsiTheme="minorHAnsi"/>
          <w:sz w:val="24"/>
          <w:lang w:val="pl-PL"/>
        </w:rPr>
        <w:t xml:space="preserve">zawisłych </w:t>
      </w:r>
      <w:r w:rsidR="00AB1DE2" w:rsidRPr="00ED0C6A">
        <w:rPr>
          <w:rFonts w:asciiTheme="minorHAnsi" w:hAnsiTheme="minorHAnsi"/>
          <w:sz w:val="24"/>
          <w:lang w:val="pl-PL"/>
        </w:rPr>
        <w:t xml:space="preserve">przed Trybunałem </w:t>
      </w:r>
      <w:r w:rsidR="00254B67" w:rsidRPr="00ED0C6A">
        <w:rPr>
          <w:rFonts w:asciiTheme="minorHAnsi" w:hAnsiTheme="minorHAnsi"/>
          <w:sz w:val="24"/>
          <w:lang w:val="pl-PL"/>
        </w:rPr>
        <w:t xml:space="preserve">spowodowany </w:t>
      </w:r>
      <w:r w:rsidR="00AB1DE2" w:rsidRPr="00ED0C6A">
        <w:rPr>
          <w:rFonts w:asciiTheme="minorHAnsi" w:hAnsiTheme="minorHAnsi"/>
          <w:sz w:val="24"/>
          <w:lang w:val="pl-PL"/>
        </w:rPr>
        <w:t>napływem kolejnych spraw wywodzących się z tej samej dysfunkcji o charakterze strukturalnym lub systemowym</w:t>
      </w:r>
      <w:r w:rsidR="006D635D" w:rsidRPr="00ED0C6A">
        <w:rPr>
          <w:rStyle w:val="Odwoanieprzypisudolnego"/>
          <w:rFonts w:asciiTheme="minorHAnsi" w:hAnsiTheme="minorHAnsi"/>
          <w:sz w:val="24"/>
          <w:lang w:val="pl-PL"/>
        </w:rPr>
        <w:footnoteReference w:id="7"/>
      </w:r>
      <w:r w:rsidRPr="00ED0C6A">
        <w:rPr>
          <w:rFonts w:asciiTheme="minorHAnsi" w:hAnsiTheme="minorHAnsi"/>
          <w:sz w:val="24"/>
          <w:lang w:val="pl-PL"/>
        </w:rPr>
        <w:t xml:space="preserve">. </w:t>
      </w:r>
      <w:r w:rsidR="00254B67" w:rsidRPr="00ED0C6A">
        <w:rPr>
          <w:rFonts w:asciiTheme="minorHAnsi" w:hAnsiTheme="minorHAnsi"/>
          <w:sz w:val="24"/>
          <w:lang w:val="pl-PL"/>
        </w:rPr>
        <w:t>Jej zadaniem jest zapewnienie</w:t>
      </w:r>
      <w:r w:rsidR="00AB1DE2" w:rsidRPr="00ED0C6A">
        <w:rPr>
          <w:rFonts w:asciiTheme="minorHAnsi" w:hAnsiTheme="minorHAnsi"/>
          <w:sz w:val="24"/>
          <w:lang w:val="pl-PL"/>
        </w:rPr>
        <w:t xml:space="preserve"> długoterminowej skuteczności mechanizmów ustanowionych przez Konwencję. </w:t>
      </w:r>
      <w:r w:rsidR="00254B67" w:rsidRPr="00ED0C6A">
        <w:rPr>
          <w:rFonts w:asciiTheme="minorHAnsi" w:hAnsiTheme="minorHAnsi"/>
          <w:sz w:val="24"/>
          <w:lang w:val="pl-PL"/>
        </w:rPr>
        <w:t>Procedurze tej przyświeca p</w:t>
      </w:r>
      <w:r w:rsidR="00AB1DE2" w:rsidRPr="00ED0C6A">
        <w:rPr>
          <w:rFonts w:asciiTheme="minorHAnsi" w:hAnsiTheme="minorHAnsi"/>
          <w:sz w:val="24"/>
          <w:lang w:val="pl-PL"/>
        </w:rPr>
        <w:t>odwójny cel</w:t>
      </w:r>
      <w:r w:rsidR="00C35281" w:rsidRPr="00ED0C6A">
        <w:rPr>
          <w:rFonts w:asciiTheme="minorHAnsi" w:hAnsiTheme="minorHAnsi"/>
          <w:sz w:val="24"/>
          <w:lang w:val="pl-PL"/>
        </w:rPr>
        <w:t>,</w:t>
      </w:r>
      <w:r w:rsidR="00254B67" w:rsidRPr="00ED0C6A">
        <w:rPr>
          <w:rFonts w:asciiTheme="minorHAnsi" w:hAnsiTheme="minorHAnsi"/>
          <w:sz w:val="24"/>
          <w:lang w:val="pl-PL"/>
        </w:rPr>
        <w:t xml:space="preserve"> który</w:t>
      </w:r>
      <w:r w:rsidR="00C35281" w:rsidRPr="00ED0C6A">
        <w:rPr>
          <w:rFonts w:asciiTheme="minorHAnsi" w:hAnsiTheme="minorHAnsi"/>
          <w:sz w:val="24"/>
          <w:lang w:val="pl-PL"/>
        </w:rPr>
        <w:t xml:space="preserve"> z jednej strony</w:t>
      </w:r>
      <w:r w:rsidR="00254B67" w:rsidRPr="00ED0C6A">
        <w:rPr>
          <w:rFonts w:asciiTheme="minorHAnsi" w:hAnsiTheme="minorHAnsi"/>
          <w:sz w:val="24"/>
          <w:lang w:val="pl-PL"/>
        </w:rPr>
        <w:t xml:space="preserve"> polega</w:t>
      </w:r>
      <w:r w:rsidR="00C35281" w:rsidRPr="00ED0C6A">
        <w:rPr>
          <w:rFonts w:asciiTheme="minorHAnsi" w:hAnsiTheme="minorHAnsi"/>
          <w:sz w:val="24"/>
          <w:lang w:val="pl-PL"/>
        </w:rPr>
        <w:t xml:space="preserve"> na zmniejszaniu zagrożenia</w:t>
      </w:r>
      <w:r w:rsidR="00AB1DE2" w:rsidRPr="00ED0C6A">
        <w:rPr>
          <w:rFonts w:asciiTheme="minorHAnsi" w:hAnsiTheme="minorHAnsi"/>
          <w:sz w:val="24"/>
          <w:lang w:val="pl-PL"/>
        </w:rPr>
        <w:t xml:space="preserve"> dla skutecznego funkcjonowania systemu Konwen</w:t>
      </w:r>
      <w:r w:rsidR="00254B67" w:rsidRPr="00ED0C6A">
        <w:rPr>
          <w:rFonts w:asciiTheme="minorHAnsi" w:hAnsiTheme="minorHAnsi"/>
          <w:sz w:val="24"/>
          <w:lang w:val="pl-PL"/>
        </w:rPr>
        <w:t>cji, a z drugiej strony –</w:t>
      </w:r>
      <w:r w:rsidR="00C35281" w:rsidRPr="00ED0C6A">
        <w:rPr>
          <w:rFonts w:asciiTheme="minorHAnsi" w:hAnsiTheme="minorHAnsi"/>
          <w:sz w:val="24"/>
          <w:lang w:val="pl-PL"/>
        </w:rPr>
        <w:t>na</w:t>
      </w:r>
      <w:r w:rsidR="00827554">
        <w:rPr>
          <w:rFonts w:asciiTheme="minorHAnsi" w:hAnsiTheme="minorHAnsi"/>
          <w:sz w:val="24"/>
          <w:lang w:val="pl-PL"/>
        </w:rPr>
        <w:t> </w:t>
      </w:r>
      <w:r w:rsidR="00254B67" w:rsidRPr="00ED0C6A">
        <w:rPr>
          <w:rFonts w:asciiTheme="minorHAnsi" w:hAnsiTheme="minorHAnsi"/>
          <w:sz w:val="24"/>
          <w:lang w:val="pl-PL"/>
        </w:rPr>
        <w:t>umożliwi</w:t>
      </w:r>
      <w:r w:rsidR="00595D81" w:rsidRPr="00ED0C6A">
        <w:rPr>
          <w:rFonts w:asciiTheme="minorHAnsi" w:hAnsiTheme="minorHAnsi"/>
          <w:sz w:val="24"/>
          <w:lang w:val="pl-PL"/>
        </w:rPr>
        <w:t>e</w:t>
      </w:r>
      <w:r w:rsidR="00254B67" w:rsidRPr="00ED0C6A">
        <w:rPr>
          <w:rFonts w:asciiTheme="minorHAnsi" w:hAnsiTheme="minorHAnsi"/>
          <w:sz w:val="24"/>
          <w:lang w:val="pl-PL"/>
        </w:rPr>
        <w:t>niu</w:t>
      </w:r>
      <w:r w:rsidR="00AB1DE2" w:rsidRPr="00ED0C6A">
        <w:rPr>
          <w:rFonts w:asciiTheme="minorHAnsi" w:hAnsiTheme="minorHAnsi"/>
          <w:sz w:val="24"/>
          <w:lang w:val="pl-PL"/>
        </w:rPr>
        <w:t xml:space="preserve"> </w:t>
      </w:r>
      <w:r w:rsidR="00C35281" w:rsidRPr="00ED0C6A">
        <w:rPr>
          <w:rFonts w:asciiTheme="minorHAnsi" w:hAnsiTheme="minorHAnsi"/>
          <w:sz w:val="24"/>
          <w:lang w:val="pl-PL"/>
        </w:rPr>
        <w:t xml:space="preserve">jak </w:t>
      </w:r>
      <w:r w:rsidR="00AB1DE2" w:rsidRPr="00ED0C6A">
        <w:rPr>
          <w:rFonts w:asciiTheme="minorHAnsi" w:hAnsiTheme="minorHAnsi"/>
          <w:sz w:val="24"/>
          <w:lang w:val="pl-PL"/>
        </w:rPr>
        <w:t>najszybsze</w:t>
      </w:r>
      <w:r w:rsidR="00C35281" w:rsidRPr="00ED0C6A">
        <w:rPr>
          <w:rFonts w:asciiTheme="minorHAnsi" w:hAnsiTheme="minorHAnsi"/>
          <w:sz w:val="24"/>
          <w:lang w:val="pl-PL"/>
        </w:rPr>
        <w:t>go</w:t>
      </w:r>
      <w:r w:rsidR="00AB1DE2" w:rsidRPr="00ED0C6A">
        <w:rPr>
          <w:rFonts w:asciiTheme="minorHAnsi" w:hAnsiTheme="minorHAnsi"/>
          <w:sz w:val="24"/>
          <w:lang w:val="pl-PL"/>
        </w:rPr>
        <w:t xml:space="preserve"> i najskuteczniejsze</w:t>
      </w:r>
      <w:r w:rsidR="00C35281" w:rsidRPr="00ED0C6A">
        <w:rPr>
          <w:rFonts w:asciiTheme="minorHAnsi" w:hAnsiTheme="minorHAnsi"/>
          <w:sz w:val="24"/>
          <w:lang w:val="pl-PL"/>
        </w:rPr>
        <w:t>go</w:t>
      </w:r>
      <w:r w:rsidR="00AB1DE2" w:rsidRPr="00ED0C6A">
        <w:rPr>
          <w:rFonts w:asciiTheme="minorHAnsi" w:hAnsiTheme="minorHAnsi"/>
          <w:sz w:val="24"/>
          <w:lang w:val="pl-PL"/>
        </w:rPr>
        <w:t xml:space="preserve"> rozwiązani</w:t>
      </w:r>
      <w:r w:rsidR="00595D81" w:rsidRPr="00ED0C6A">
        <w:rPr>
          <w:rFonts w:asciiTheme="minorHAnsi" w:hAnsiTheme="minorHAnsi"/>
          <w:sz w:val="24"/>
          <w:lang w:val="pl-PL"/>
        </w:rPr>
        <w:t>a</w:t>
      </w:r>
      <w:r w:rsidR="00AB1DE2" w:rsidRPr="00ED0C6A">
        <w:rPr>
          <w:rFonts w:asciiTheme="minorHAnsi" w:hAnsiTheme="minorHAnsi"/>
          <w:sz w:val="24"/>
          <w:lang w:val="pl-PL"/>
        </w:rPr>
        <w:t xml:space="preserve"> dysfunkcji wpływając</w:t>
      </w:r>
      <w:r w:rsidR="00595D81" w:rsidRPr="00ED0C6A">
        <w:rPr>
          <w:rFonts w:asciiTheme="minorHAnsi" w:hAnsiTheme="minorHAnsi"/>
          <w:sz w:val="24"/>
          <w:lang w:val="pl-PL"/>
        </w:rPr>
        <w:t>ych</w:t>
      </w:r>
      <w:r w:rsidR="00AB1DE2" w:rsidRPr="00ED0C6A">
        <w:rPr>
          <w:rFonts w:asciiTheme="minorHAnsi" w:hAnsiTheme="minorHAnsi"/>
          <w:sz w:val="24"/>
          <w:lang w:val="pl-PL"/>
        </w:rPr>
        <w:t xml:space="preserve"> na ochronę praw konwencyjnych w krajowym porządku prawnym. Poprzez </w:t>
      </w:r>
      <w:r w:rsidR="00595D81" w:rsidRPr="00ED0C6A">
        <w:rPr>
          <w:rFonts w:asciiTheme="minorHAnsi" w:hAnsiTheme="minorHAnsi"/>
          <w:sz w:val="24"/>
          <w:lang w:val="pl-PL"/>
        </w:rPr>
        <w:t>uwzględnienie w</w:t>
      </w:r>
      <w:r w:rsidR="00827554">
        <w:rPr>
          <w:rFonts w:asciiTheme="minorHAnsi" w:hAnsiTheme="minorHAnsi"/>
          <w:sz w:val="24"/>
          <w:lang w:val="pl-PL"/>
        </w:rPr>
        <w:t> </w:t>
      </w:r>
      <w:r w:rsidR="00595D81" w:rsidRPr="00ED0C6A">
        <w:rPr>
          <w:rFonts w:asciiTheme="minorHAnsi" w:hAnsiTheme="minorHAnsi"/>
          <w:sz w:val="24"/>
          <w:lang w:val="pl-PL"/>
        </w:rPr>
        <w:t>procesie</w:t>
      </w:r>
      <w:r w:rsidR="00AB1DE2" w:rsidRPr="00ED0C6A">
        <w:rPr>
          <w:rFonts w:asciiTheme="minorHAnsi" w:hAnsiTheme="minorHAnsi"/>
          <w:sz w:val="24"/>
          <w:lang w:val="pl-PL"/>
        </w:rPr>
        <w:t xml:space="preserve"> wykonania wyroku pilotażowego interesów wszystkich innych </w:t>
      </w:r>
      <w:r w:rsidR="00595D81" w:rsidRPr="00ED0C6A">
        <w:rPr>
          <w:rFonts w:asciiTheme="minorHAnsi" w:hAnsiTheme="minorHAnsi"/>
          <w:sz w:val="24"/>
          <w:lang w:val="pl-PL"/>
        </w:rPr>
        <w:t>faktycznych</w:t>
      </w:r>
      <w:r w:rsidR="00AB1DE2" w:rsidRPr="00ED0C6A">
        <w:rPr>
          <w:rFonts w:asciiTheme="minorHAnsi" w:hAnsiTheme="minorHAnsi"/>
          <w:sz w:val="24"/>
          <w:lang w:val="pl-PL"/>
        </w:rPr>
        <w:t xml:space="preserve"> lub</w:t>
      </w:r>
      <w:r w:rsidR="00827554">
        <w:rPr>
          <w:rFonts w:asciiTheme="minorHAnsi" w:hAnsiTheme="minorHAnsi"/>
          <w:sz w:val="24"/>
          <w:lang w:val="pl-PL"/>
        </w:rPr>
        <w:t> </w:t>
      </w:r>
      <w:r w:rsidR="00AB1DE2" w:rsidRPr="00ED0C6A">
        <w:rPr>
          <w:rFonts w:asciiTheme="minorHAnsi" w:hAnsiTheme="minorHAnsi"/>
          <w:sz w:val="24"/>
          <w:lang w:val="pl-PL"/>
        </w:rPr>
        <w:t xml:space="preserve">potencjalnych ofiar zidentyfikowanego problemu systemowego, procedura ta ma na celu zapewnienie odpowiedniego zadośćuczynienia wszystkim rzeczywistym lub potencjalnym ofiarom dysfunkcji, jak też konkretnemu skarżącemu w sprawie pilotażowej. </w:t>
      </w:r>
    </w:p>
    <w:p w:rsidR="00625D9F" w:rsidRPr="00ED0C6A" w:rsidRDefault="00625D9F" w:rsidP="00F11942">
      <w:pPr>
        <w:pStyle w:val="ClinContent"/>
        <w:spacing w:before="0"/>
        <w:rPr>
          <w:rFonts w:asciiTheme="minorHAnsi" w:hAnsiTheme="minorHAnsi"/>
          <w:sz w:val="24"/>
          <w:lang w:val="pl-PL"/>
        </w:rPr>
      </w:pPr>
    </w:p>
    <w:p w:rsidR="00625D9F" w:rsidRPr="00ED0C6A" w:rsidRDefault="00625D9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zauważył, że </w:t>
      </w:r>
      <w:r w:rsidR="00AB1DE2" w:rsidRPr="00ED0C6A">
        <w:rPr>
          <w:rFonts w:asciiTheme="minorHAnsi" w:hAnsiTheme="minorHAnsi"/>
          <w:sz w:val="24"/>
          <w:lang w:val="pl-PL"/>
        </w:rPr>
        <w:t xml:space="preserve">wyrok pilotażowy w sprawie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i/>
          <w:sz w:val="24"/>
          <w:lang w:val="pl-PL"/>
        </w:rPr>
        <w:t xml:space="preserve"> </w:t>
      </w:r>
      <w:r w:rsidR="00595D81" w:rsidRPr="00ED0C6A">
        <w:rPr>
          <w:rFonts w:asciiTheme="minorHAnsi" w:hAnsiTheme="minorHAnsi"/>
          <w:sz w:val="24"/>
          <w:lang w:val="pl-PL"/>
        </w:rPr>
        <w:t xml:space="preserve">w sposób oczywisty </w:t>
      </w:r>
      <w:r w:rsidR="00AB1DE2" w:rsidRPr="00ED0C6A">
        <w:rPr>
          <w:rFonts w:asciiTheme="minorHAnsi" w:hAnsiTheme="minorHAnsi"/>
          <w:sz w:val="24"/>
          <w:lang w:val="pl-PL"/>
        </w:rPr>
        <w:t>nie zdołał</w:t>
      </w:r>
      <w:r w:rsidR="00AB1DE2" w:rsidRPr="00ED0C6A">
        <w:rPr>
          <w:rFonts w:asciiTheme="minorHAnsi" w:hAnsiTheme="minorHAnsi"/>
          <w:i/>
          <w:sz w:val="24"/>
          <w:lang w:val="pl-PL"/>
        </w:rPr>
        <w:t xml:space="preserve"> </w:t>
      </w:r>
      <w:r w:rsidR="00AB1DE2" w:rsidRPr="00ED0C6A">
        <w:rPr>
          <w:rFonts w:asciiTheme="minorHAnsi" w:hAnsiTheme="minorHAnsi"/>
          <w:sz w:val="24"/>
          <w:lang w:val="pl-PL"/>
        </w:rPr>
        <w:t>osiągnąć tego celu. Sprawy wniesione po wyroku</w:t>
      </w:r>
      <w:r w:rsidR="00AB1DE2" w:rsidRPr="00ED0C6A">
        <w:rPr>
          <w:rFonts w:asciiTheme="minorHAnsi" w:hAnsiTheme="minorHAnsi"/>
          <w:i/>
          <w:sz w:val="24"/>
          <w:lang w:val="pl-PL"/>
        </w:rPr>
        <w:t xml:space="preserve">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i/>
          <w:sz w:val="24"/>
          <w:lang w:val="pl-PL"/>
        </w:rPr>
        <w:t xml:space="preserve"> </w:t>
      </w:r>
      <w:r w:rsidR="00AB1DE2" w:rsidRPr="00ED0C6A">
        <w:rPr>
          <w:rFonts w:asciiTheme="minorHAnsi" w:hAnsiTheme="minorHAnsi"/>
          <w:sz w:val="24"/>
          <w:lang w:val="pl-PL"/>
        </w:rPr>
        <w:t>stanowią prawie jedną trzecią wszystkich s</w:t>
      </w:r>
      <w:r w:rsidR="00595D81" w:rsidRPr="00ED0C6A">
        <w:rPr>
          <w:rFonts w:asciiTheme="minorHAnsi" w:hAnsiTheme="minorHAnsi"/>
          <w:sz w:val="24"/>
          <w:lang w:val="pl-PL"/>
        </w:rPr>
        <w:t>karg</w:t>
      </w:r>
      <w:r w:rsidR="00AB1DE2" w:rsidRPr="00ED0C6A">
        <w:rPr>
          <w:rFonts w:asciiTheme="minorHAnsi" w:hAnsiTheme="minorHAnsi"/>
          <w:sz w:val="24"/>
          <w:lang w:val="pl-PL"/>
        </w:rPr>
        <w:t xml:space="preserve"> powtarzalnych</w:t>
      </w:r>
      <w:r w:rsidR="00AB1DE2" w:rsidRPr="00ED0C6A">
        <w:rPr>
          <w:rFonts w:asciiTheme="minorHAnsi" w:hAnsiTheme="minorHAnsi"/>
          <w:i/>
          <w:sz w:val="24"/>
          <w:lang w:val="pl-PL"/>
        </w:rPr>
        <w:t xml:space="preserve"> </w:t>
      </w:r>
      <w:r w:rsidR="00AB1DE2" w:rsidRPr="00ED0C6A">
        <w:rPr>
          <w:rFonts w:asciiTheme="minorHAnsi" w:hAnsiTheme="minorHAnsi"/>
          <w:sz w:val="24"/>
          <w:lang w:val="pl-PL"/>
        </w:rPr>
        <w:t xml:space="preserve">zawisłych przed Trybunałem, a liczba tych spraw nadal rośnie pomimo podjętych środków i udzielonych wskazówek. </w:t>
      </w:r>
      <w:r w:rsidR="00595D81" w:rsidRPr="00ED0C6A">
        <w:rPr>
          <w:rFonts w:asciiTheme="minorHAnsi" w:hAnsiTheme="minorHAnsi"/>
          <w:sz w:val="24"/>
          <w:lang w:val="pl-PL"/>
        </w:rPr>
        <w:t>P</w:t>
      </w:r>
      <w:r w:rsidR="00AB1DE2" w:rsidRPr="00ED0C6A">
        <w:rPr>
          <w:rFonts w:asciiTheme="minorHAnsi" w:hAnsiTheme="minorHAnsi"/>
          <w:sz w:val="24"/>
          <w:lang w:val="pl-PL"/>
        </w:rPr>
        <w:t xml:space="preserve">owtarzanie przez Trybunał </w:t>
      </w:r>
      <w:r w:rsidR="00595D81" w:rsidRPr="00ED0C6A">
        <w:rPr>
          <w:rFonts w:asciiTheme="minorHAnsi" w:hAnsiTheme="minorHAnsi"/>
          <w:sz w:val="24"/>
          <w:lang w:val="pl-PL"/>
        </w:rPr>
        <w:t xml:space="preserve">wciąż </w:t>
      </w:r>
      <w:r w:rsidR="00AB1DE2" w:rsidRPr="00ED0C6A">
        <w:rPr>
          <w:rFonts w:asciiTheme="minorHAnsi" w:hAnsiTheme="minorHAnsi"/>
          <w:sz w:val="24"/>
          <w:lang w:val="pl-PL"/>
        </w:rPr>
        <w:t>tych samych stwierdzeń w odniesieniu do długich list kolejnych podobnych spraw do</w:t>
      </w:r>
      <w:r w:rsidR="00827554">
        <w:rPr>
          <w:rFonts w:asciiTheme="minorHAnsi" w:hAnsiTheme="minorHAnsi"/>
          <w:sz w:val="24"/>
          <w:lang w:val="pl-PL"/>
        </w:rPr>
        <w:t> </w:t>
      </w:r>
      <w:r w:rsidR="00AB1DE2" w:rsidRPr="00ED0C6A">
        <w:rPr>
          <w:rFonts w:asciiTheme="minorHAnsi" w:hAnsiTheme="minorHAnsi"/>
          <w:sz w:val="24"/>
          <w:lang w:val="pl-PL"/>
        </w:rPr>
        <w:t xml:space="preserve">niczego </w:t>
      </w:r>
      <w:r w:rsidR="00595D81" w:rsidRPr="00ED0C6A">
        <w:rPr>
          <w:rFonts w:asciiTheme="minorHAnsi" w:hAnsiTheme="minorHAnsi"/>
          <w:sz w:val="24"/>
          <w:lang w:val="pl-PL"/>
        </w:rPr>
        <w:t xml:space="preserve">by </w:t>
      </w:r>
      <w:r w:rsidR="00AB1DE2" w:rsidRPr="00ED0C6A">
        <w:rPr>
          <w:rFonts w:asciiTheme="minorHAnsi" w:hAnsiTheme="minorHAnsi"/>
          <w:sz w:val="24"/>
          <w:lang w:val="pl-PL"/>
        </w:rPr>
        <w:t>nie doprowadzi</w:t>
      </w:r>
      <w:r w:rsidR="00595D81" w:rsidRPr="00ED0C6A">
        <w:rPr>
          <w:rFonts w:asciiTheme="minorHAnsi" w:hAnsiTheme="minorHAnsi"/>
          <w:sz w:val="24"/>
          <w:lang w:val="pl-PL"/>
        </w:rPr>
        <w:t>ło</w:t>
      </w:r>
      <w:r w:rsidR="00AB1DE2" w:rsidRPr="00ED0C6A">
        <w:rPr>
          <w:rFonts w:asciiTheme="minorHAnsi" w:hAnsiTheme="minorHAnsi"/>
          <w:sz w:val="24"/>
          <w:lang w:val="pl-PL"/>
        </w:rPr>
        <w:t xml:space="preserve"> ani nie służy</w:t>
      </w:r>
      <w:r w:rsidR="00595D81" w:rsidRPr="00ED0C6A">
        <w:rPr>
          <w:rFonts w:asciiTheme="minorHAnsi" w:hAnsiTheme="minorHAnsi"/>
          <w:sz w:val="24"/>
          <w:lang w:val="pl-PL"/>
        </w:rPr>
        <w:t>ło</w:t>
      </w:r>
      <w:r w:rsidR="00AB1DE2" w:rsidRPr="00ED0C6A">
        <w:rPr>
          <w:rFonts w:asciiTheme="minorHAnsi" w:hAnsiTheme="minorHAnsi"/>
          <w:sz w:val="24"/>
          <w:lang w:val="pl-PL"/>
        </w:rPr>
        <w:t xml:space="preserve"> najlepszemu interesowi wymiaru sprawiedliwości</w:t>
      </w:r>
      <w:r w:rsidR="00595D81" w:rsidRPr="00ED0C6A">
        <w:rPr>
          <w:rFonts w:asciiTheme="minorHAnsi" w:hAnsiTheme="minorHAnsi"/>
          <w:sz w:val="24"/>
          <w:lang w:val="pl-PL"/>
        </w:rPr>
        <w:t>. Skutkiem tego byłoby natomiast istotne obciążenie</w:t>
      </w:r>
      <w:r w:rsidR="00AB1DE2" w:rsidRPr="00ED0C6A">
        <w:rPr>
          <w:rFonts w:asciiTheme="minorHAnsi" w:hAnsiTheme="minorHAnsi"/>
          <w:sz w:val="24"/>
          <w:lang w:val="pl-PL"/>
        </w:rPr>
        <w:t xml:space="preserve"> </w:t>
      </w:r>
      <w:r w:rsidR="00595D81" w:rsidRPr="00ED0C6A">
        <w:rPr>
          <w:rFonts w:asciiTheme="minorHAnsi" w:hAnsiTheme="minorHAnsi"/>
          <w:sz w:val="24"/>
          <w:lang w:val="pl-PL"/>
        </w:rPr>
        <w:t>zasobów</w:t>
      </w:r>
      <w:r w:rsidR="00AB1DE2" w:rsidRPr="00ED0C6A">
        <w:rPr>
          <w:rFonts w:asciiTheme="minorHAnsi" w:hAnsiTheme="minorHAnsi"/>
          <w:sz w:val="24"/>
          <w:lang w:val="pl-PL"/>
        </w:rPr>
        <w:t xml:space="preserve"> Trybunału, co</w:t>
      </w:r>
      <w:r w:rsidR="00827554">
        <w:rPr>
          <w:rFonts w:asciiTheme="minorHAnsi" w:hAnsiTheme="minorHAnsi"/>
          <w:sz w:val="24"/>
          <w:lang w:val="pl-PL"/>
        </w:rPr>
        <w:t> </w:t>
      </w:r>
      <w:r w:rsidR="00AB1DE2" w:rsidRPr="00ED0C6A">
        <w:rPr>
          <w:rFonts w:asciiTheme="minorHAnsi" w:hAnsiTheme="minorHAnsi"/>
          <w:sz w:val="24"/>
          <w:lang w:val="pl-PL"/>
        </w:rPr>
        <w:t>z kolei wpłyn</w:t>
      </w:r>
      <w:r w:rsidR="00595D81" w:rsidRPr="00ED0C6A">
        <w:rPr>
          <w:rFonts w:asciiTheme="minorHAnsi" w:hAnsiTheme="minorHAnsi"/>
          <w:sz w:val="24"/>
          <w:lang w:val="pl-PL"/>
        </w:rPr>
        <w:t>ęłoby</w:t>
      </w:r>
      <w:r w:rsidR="00AB1DE2" w:rsidRPr="00ED0C6A">
        <w:rPr>
          <w:rFonts w:asciiTheme="minorHAnsi" w:hAnsiTheme="minorHAnsi"/>
          <w:sz w:val="24"/>
          <w:lang w:val="pl-PL"/>
        </w:rPr>
        <w:t xml:space="preserve"> na znaczną liczbę zawisłych przed nim spraw. </w:t>
      </w:r>
    </w:p>
    <w:p w:rsidR="00625D9F" w:rsidRPr="00ED0C6A" w:rsidRDefault="00625D9F" w:rsidP="00F11942">
      <w:pPr>
        <w:pStyle w:val="ClinContent"/>
        <w:spacing w:before="0"/>
        <w:rPr>
          <w:rFonts w:asciiTheme="minorHAnsi" w:hAnsiTheme="minorHAnsi"/>
          <w:sz w:val="24"/>
          <w:lang w:val="pl-PL"/>
        </w:rPr>
      </w:pPr>
    </w:p>
    <w:p w:rsidR="00AB1DE2" w:rsidRPr="00ED0C6A" w:rsidRDefault="00625D9F" w:rsidP="00F11942">
      <w:pPr>
        <w:pStyle w:val="ClinContent"/>
        <w:spacing w:before="0"/>
        <w:rPr>
          <w:rFonts w:asciiTheme="minorHAnsi" w:hAnsiTheme="minorHAnsi"/>
          <w:sz w:val="24"/>
          <w:lang w:val="pl-PL"/>
        </w:rPr>
      </w:pPr>
      <w:r w:rsidRPr="00ED0C6A">
        <w:rPr>
          <w:rFonts w:asciiTheme="minorHAnsi" w:hAnsiTheme="minorHAnsi"/>
          <w:sz w:val="24"/>
          <w:lang w:val="pl-PL"/>
        </w:rPr>
        <w:t>Trybunał podkreślił, że j</w:t>
      </w:r>
      <w:r w:rsidR="00AB1DE2" w:rsidRPr="00ED0C6A">
        <w:rPr>
          <w:rFonts w:asciiTheme="minorHAnsi" w:hAnsiTheme="minorHAnsi"/>
          <w:sz w:val="24"/>
          <w:lang w:val="pl-PL"/>
        </w:rPr>
        <w:t>edynie trwałe rozwiązanie głównych przyczyn problemu</w:t>
      </w:r>
      <w:r w:rsidR="00A730B6" w:rsidRPr="00ED0C6A">
        <w:rPr>
          <w:rFonts w:asciiTheme="minorHAnsi" w:hAnsiTheme="minorHAnsi"/>
          <w:sz w:val="24"/>
          <w:lang w:val="pl-PL"/>
        </w:rPr>
        <w:t>,</w:t>
      </w:r>
      <w:r w:rsidR="00AB1DE2" w:rsidRPr="00ED0C6A">
        <w:rPr>
          <w:rFonts w:asciiTheme="minorHAnsi" w:hAnsiTheme="minorHAnsi"/>
          <w:sz w:val="24"/>
          <w:lang w:val="pl-PL"/>
        </w:rPr>
        <w:t xml:space="preserve"> przyjęte w</w:t>
      </w:r>
      <w:r w:rsidR="00827554">
        <w:rPr>
          <w:rFonts w:asciiTheme="minorHAnsi" w:hAnsiTheme="minorHAnsi"/>
          <w:sz w:val="24"/>
          <w:lang w:val="pl-PL"/>
        </w:rPr>
        <w:t> </w:t>
      </w:r>
      <w:r w:rsidR="00AB1DE2" w:rsidRPr="00ED0C6A">
        <w:rPr>
          <w:rFonts w:asciiTheme="minorHAnsi" w:hAnsiTheme="minorHAnsi"/>
          <w:sz w:val="24"/>
          <w:lang w:val="pl-PL"/>
        </w:rPr>
        <w:t>ramach procedury wykonywania</w:t>
      </w:r>
      <w:r w:rsidR="00A730B6" w:rsidRPr="00ED0C6A">
        <w:rPr>
          <w:rFonts w:asciiTheme="minorHAnsi" w:hAnsiTheme="minorHAnsi"/>
          <w:sz w:val="24"/>
          <w:lang w:val="pl-PL"/>
        </w:rPr>
        <w:t>,</w:t>
      </w:r>
      <w:r w:rsidR="00AB1DE2" w:rsidRPr="00ED0C6A">
        <w:rPr>
          <w:rFonts w:asciiTheme="minorHAnsi" w:hAnsiTheme="minorHAnsi"/>
          <w:sz w:val="24"/>
          <w:lang w:val="pl-PL"/>
        </w:rPr>
        <w:t xml:space="preserve"> może stanowić </w:t>
      </w:r>
      <w:r w:rsidR="00595D81" w:rsidRPr="00ED0C6A">
        <w:rPr>
          <w:rFonts w:asciiTheme="minorHAnsi" w:hAnsiTheme="minorHAnsi"/>
          <w:sz w:val="24"/>
          <w:lang w:val="pl-PL"/>
        </w:rPr>
        <w:t>adekwatną reakcję</w:t>
      </w:r>
      <w:r w:rsidR="00AB1DE2" w:rsidRPr="00ED0C6A">
        <w:rPr>
          <w:rFonts w:asciiTheme="minorHAnsi" w:hAnsiTheme="minorHAnsi"/>
          <w:sz w:val="24"/>
          <w:lang w:val="pl-PL"/>
        </w:rPr>
        <w:t xml:space="preserve"> w obecnej sprawie.</w:t>
      </w:r>
    </w:p>
    <w:p w:rsidR="00625D9F" w:rsidRPr="00ED0C6A" w:rsidRDefault="00625D9F" w:rsidP="00F11942">
      <w:pPr>
        <w:pStyle w:val="ClinContent"/>
        <w:spacing w:before="0"/>
        <w:rPr>
          <w:rFonts w:asciiTheme="minorHAnsi" w:hAnsiTheme="minorHAnsi"/>
          <w:sz w:val="24"/>
          <w:lang w:val="pl-PL"/>
        </w:rPr>
      </w:pPr>
    </w:p>
    <w:p w:rsidR="00AB1DE2" w:rsidRPr="00ED0C6A" w:rsidRDefault="00625D9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Rozważył następnie, </w:t>
      </w:r>
      <w:r w:rsidRPr="00ED0C6A">
        <w:rPr>
          <w:rFonts w:asciiTheme="minorHAnsi" w:hAnsiTheme="minorHAnsi"/>
          <w:i/>
          <w:sz w:val="24"/>
          <w:lang w:val="pl-PL"/>
        </w:rPr>
        <w:t>czy</w:t>
      </w:r>
      <w:r w:rsidRPr="00ED0C6A">
        <w:rPr>
          <w:rFonts w:asciiTheme="minorHAnsi" w:hAnsiTheme="minorHAnsi"/>
          <w:sz w:val="24"/>
          <w:lang w:val="pl-PL"/>
        </w:rPr>
        <w:t xml:space="preserve"> </w:t>
      </w:r>
      <w:r w:rsidR="00AB1DE2" w:rsidRPr="00ED0C6A">
        <w:rPr>
          <w:rFonts w:asciiTheme="minorHAnsi" w:hAnsiTheme="minorHAnsi"/>
          <w:i/>
          <w:sz w:val="24"/>
          <w:lang w:val="pl-PL"/>
        </w:rPr>
        <w:t xml:space="preserve">uzasadnione </w:t>
      </w:r>
      <w:r w:rsidR="00135EBB" w:rsidRPr="00ED0C6A">
        <w:rPr>
          <w:rFonts w:asciiTheme="minorHAnsi" w:hAnsiTheme="minorHAnsi"/>
          <w:i/>
          <w:sz w:val="24"/>
          <w:lang w:val="pl-PL"/>
        </w:rPr>
        <w:t xml:space="preserve">jest </w:t>
      </w:r>
      <w:r w:rsidR="00AB1DE2" w:rsidRPr="00ED0C6A">
        <w:rPr>
          <w:rFonts w:asciiTheme="minorHAnsi" w:hAnsiTheme="minorHAnsi"/>
          <w:i/>
          <w:sz w:val="24"/>
          <w:lang w:val="pl-PL"/>
        </w:rPr>
        <w:t xml:space="preserve">dalsze rozpatrywanie </w:t>
      </w:r>
      <w:r w:rsidRPr="00ED0C6A">
        <w:rPr>
          <w:rFonts w:asciiTheme="minorHAnsi" w:hAnsiTheme="minorHAnsi"/>
          <w:i/>
          <w:sz w:val="24"/>
          <w:lang w:val="pl-PL"/>
        </w:rPr>
        <w:t xml:space="preserve">przez Trybunał </w:t>
      </w:r>
      <w:r w:rsidR="00AB1DE2" w:rsidRPr="00ED0C6A">
        <w:rPr>
          <w:rFonts w:asciiTheme="minorHAnsi" w:hAnsiTheme="minorHAnsi"/>
          <w:i/>
          <w:sz w:val="24"/>
          <w:lang w:val="pl-PL"/>
        </w:rPr>
        <w:t>spraw</w:t>
      </w:r>
      <w:r w:rsidR="004618D4" w:rsidRPr="00ED0C6A">
        <w:rPr>
          <w:rFonts w:asciiTheme="minorHAnsi" w:hAnsiTheme="minorHAnsi"/>
          <w:i/>
          <w:sz w:val="24"/>
          <w:lang w:val="pl-PL"/>
        </w:rPr>
        <w:t xml:space="preserve"> z grupy</w:t>
      </w:r>
      <w:r w:rsidR="00AB1DE2" w:rsidRPr="00ED0C6A">
        <w:rPr>
          <w:rFonts w:asciiTheme="minorHAnsi" w:hAnsiTheme="minorHAnsi"/>
          <w:i/>
          <w:sz w:val="24"/>
          <w:lang w:val="pl-PL"/>
        </w:rPr>
        <w:t xml:space="preserve">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i/>
          <w:sz w:val="24"/>
          <w:lang w:val="pl-PL"/>
        </w:rPr>
        <w:t>, mając na w</w:t>
      </w:r>
      <w:r w:rsidR="00135EBB" w:rsidRPr="00ED0C6A">
        <w:rPr>
          <w:rFonts w:asciiTheme="minorHAnsi" w:hAnsiTheme="minorHAnsi"/>
          <w:i/>
          <w:sz w:val="24"/>
          <w:lang w:val="pl-PL"/>
        </w:rPr>
        <w:t>zględzie art. 19 i 46 Konwencji.</w:t>
      </w:r>
      <w:r w:rsidR="00AB1DE2" w:rsidRPr="00ED0C6A">
        <w:rPr>
          <w:rFonts w:asciiTheme="minorHAnsi" w:hAnsiTheme="minorHAnsi"/>
          <w:i/>
          <w:sz w:val="24"/>
          <w:lang w:val="pl-PL"/>
        </w:rPr>
        <w:t xml:space="preserve"> </w:t>
      </w:r>
      <w:r w:rsidR="00135EBB" w:rsidRPr="00ED0C6A">
        <w:rPr>
          <w:rFonts w:asciiTheme="minorHAnsi" w:hAnsiTheme="minorHAnsi"/>
          <w:sz w:val="24"/>
          <w:lang w:val="pl-PL"/>
        </w:rPr>
        <w:t>Uznał, że w</w:t>
      </w:r>
      <w:r w:rsidR="00AB1DE2" w:rsidRPr="00ED0C6A">
        <w:rPr>
          <w:rFonts w:asciiTheme="minorHAnsi" w:hAnsiTheme="minorHAnsi"/>
          <w:sz w:val="24"/>
          <w:lang w:val="pl-PL"/>
        </w:rPr>
        <w:t xml:space="preserve">ymaganie, by </w:t>
      </w:r>
      <w:r w:rsidR="004618D4" w:rsidRPr="00ED0C6A">
        <w:rPr>
          <w:rFonts w:asciiTheme="minorHAnsi" w:hAnsiTheme="minorHAnsi"/>
          <w:sz w:val="24"/>
          <w:lang w:val="pl-PL"/>
        </w:rPr>
        <w:t xml:space="preserve">Trybunał </w:t>
      </w:r>
      <w:r w:rsidR="00AB1DE2" w:rsidRPr="00ED0C6A">
        <w:rPr>
          <w:rFonts w:asciiTheme="minorHAnsi" w:hAnsiTheme="minorHAnsi"/>
          <w:sz w:val="24"/>
          <w:lang w:val="pl-PL"/>
        </w:rPr>
        <w:t>w</w:t>
      </w:r>
      <w:r w:rsidR="00135EBB" w:rsidRPr="00ED0C6A">
        <w:rPr>
          <w:rFonts w:asciiTheme="minorHAnsi" w:hAnsiTheme="minorHAnsi"/>
          <w:sz w:val="24"/>
          <w:lang w:val="pl-PL"/>
        </w:rPr>
        <w:t>ciąż wydawał</w:t>
      </w:r>
      <w:r w:rsidR="00AB1DE2" w:rsidRPr="00ED0C6A">
        <w:rPr>
          <w:rFonts w:asciiTheme="minorHAnsi" w:hAnsiTheme="minorHAnsi"/>
          <w:sz w:val="24"/>
          <w:lang w:val="pl-PL"/>
        </w:rPr>
        <w:t xml:space="preserve"> indywidualne orzeczenia w sprawach, w których brak</w:t>
      </w:r>
      <w:r w:rsidR="00135EBB" w:rsidRPr="00ED0C6A">
        <w:rPr>
          <w:rFonts w:asciiTheme="minorHAnsi" w:hAnsiTheme="minorHAnsi"/>
          <w:sz w:val="24"/>
          <w:lang w:val="pl-PL"/>
        </w:rPr>
        <w:t xml:space="preserve"> jest jakiejkolwiek </w:t>
      </w:r>
      <w:r w:rsidR="004618D4" w:rsidRPr="00ED0C6A">
        <w:rPr>
          <w:rFonts w:asciiTheme="minorHAnsi" w:hAnsiTheme="minorHAnsi"/>
          <w:sz w:val="24"/>
          <w:lang w:val="pl-PL"/>
        </w:rPr>
        <w:t xml:space="preserve">żywotnej </w:t>
      </w:r>
      <w:r w:rsidR="00AB1DE2" w:rsidRPr="00ED0C6A">
        <w:rPr>
          <w:rFonts w:asciiTheme="minorHAnsi" w:hAnsiTheme="minorHAnsi"/>
          <w:sz w:val="24"/>
          <w:lang w:val="pl-PL"/>
        </w:rPr>
        <w:t xml:space="preserve">kwestii </w:t>
      </w:r>
      <w:r w:rsidR="00135EBB" w:rsidRPr="00ED0C6A">
        <w:rPr>
          <w:rFonts w:asciiTheme="minorHAnsi" w:hAnsiTheme="minorHAnsi"/>
          <w:sz w:val="24"/>
          <w:lang w:val="pl-PL"/>
        </w:rPr>
        <w:t xml:space="preserve">do rozstrzygnięcia </w:t>
      </w:r>
      <w:r w:rsidR="00AB1DE2" w:rsidRPr="00ED0C6A">
        <w:rPr>
          <w:rFonts w:asciiTheme="minorHAnsi" w:hAnsiTheme="minorHAnsi"/>
          <w:sz w:val="24"/>
          <w:lang w:val="pl-PL"/>
        </w:rPr>
        <w:t xml:space="preserve">na </w:t>
      </w:r>
      <w:r w:rsidR="004618D4" w:rsidRPr="00ED0C6A">
        <w:rPr>
          <w:rFonts w:asciiTheme="minorHAnsi" w:hAnsiTheme="minorHAnsi"/>
          <w:sz w:val="24"/>
          <w:lang w:val="pl-PL"/>
        </w:rPr>
        <w:t>gruncie</w:t>
      </w:r>
      <w:r w:rsidR="00AB1DE2" w:rsidRPr="00ED0C6A">
        <w:rPr>
          <w:rFonts w:asciiTheme="minorHAnsi" w:hAnsiTheme="minorHAnsi"/>
          <w:sz w:val="24"/>
          <w:lang w:val="pl-PL"/>
        </w:rPr>
        <w:t xml:space="preserve"> Konwencji, nie może być uznane za zgodne z</w:t>
      </w:r>
      <w:r w:rsidR="00827554">
        <w:rPr>
          <w:rFonts w:asciiTheme="minorHAnsi" w:hAnsiTheme="minorHAnsi"/>
          <w:sz w:val="24"/>
          <w:lang w:val="pl-PL"/>
        </w:rPr>
        <w:t> </w:t>
      </w:r>
      <w:r w:rsidR="00AB1DE2" w:rsidRPr="00ED0C6A">
        <w:rPr>
          <w:rFonts w:asciiTheme="minorHAnsi" w:hAnsiTheme="minorHAnsi"/>
          <w:sz w:val="24"/>
          <w:lang w:val="pl-PL"/>
        </w:rPr>
        <w:t xml:space="preserve">podstawowym zadaniem Trybunału </w:t>
      </w:r>
      <w:r w:rsidR="004618D4" w:rsidRPr="00ED0C6A">
        <w:rPr>
          <w:rFonts w:asciiTheme="minorHAnsi" w:hAnsiTheme="minorHAnsi"/>
          <w:sz w:val="24"/>
          <w:lang w:val="pl-PL"/>
        </w:rPr>
        <w:t>przewidzianym n</w:t>
      </w:r>
      <w:r w:rsidR="00AB1DE2" w:rsidRPr="00ED0C6A">
        <w:rPr>
          <w:rFonts w:asciiTheme="minorHAnsi" w:hAnsiTheme="minorHAnsi"/>
          <w:sz w:val="24"/>
          <w:lang w:val="pl-PL"/>
        </w:rPr>
        <w:t>a podstawie art. 19</w:t>
      </w:r>
      <w:r w:rsidR="004618D4" w:rsidRPr="00ED0C6A">
        <w:rPr>
          <w:rFonts w:asciiTheme="minorHAnsi" w:hAnsiTheme="minorHAnsi"/>
          <w:sz w:val="24"/>
          <w:lang w:val="pl-PL"/>
        </w:rPr>
        <w:t xml:space="preserve"> Konwencji</w:t>
      </w:r>
      <w:r w:rsidR="00AB1DE2" w:rsidRPr="00ED0C6A">
        <w:rPr>
          <w:rFonts w:asciiTheme="minorHAnsi" w:hAnsiTheme="minorHAnsi"/>
          <w:sz w:val="24"/>
          <w:lang w:val="pl-PL"/>
        </w:rPr>
        <w:t>. Nie</w:t>
      </w:r>
      <w:r w:rsidR="00827554">
        <w:rPr>
          <w:rFonts w:asciiTheme="minorHAnsi" w:hAnsiTheme="minorHAnsi"/>
          <w:sz w:val="24"/>
          <w:lang w:val="pl-PL"/>
        </w:rPr>
        <w:t> </w:t>
      </w:r>
      <w:r w:rsidR="00AB1DE2" w:rsidRPr="00ED0C6A">
        <w:rPr>
          <w:rFonts w:asciiTheme="minorHAnsi" w:hAnsiTheme="minorHAnsi"/>
          <w:sz w:val="24"/>
          <w:lang w:val="pl-PL"/>
        </w:rPr>
        <w:t>można też stwierdzić, by tego typu praktyka sądowa mogła w jakikolwiek użyteczny lub</w:t>
      </w:r>
      <w:r w:rsidR="00827554">
        <w:rPr>
          <w:rFonts w:asciiTheme="minorHAnsi" w:hAnsiTheme="minorHAnsi"/>
          <w:sz w:val="24"/>
          <w:lang w:val="pl-PL"/>
        </w:rPr>
        <w:t> </w:t>
      </w:r>
      <w:r w:rsidR="00AB1DE2" w:rsidRPr="00ED0C6A">
        <w:rPr>
          <w:rFonts w:asciiTheme="minorHAnsi" w:hAnsiTheme="minorHAnsi"/>
          <w:sz w:val="24"/>
          <w:lang w:val="pl-PL"/>
        </w:rPr>
        <w:t xml:space="preserve">znaczący sposób przyczynić się do umocnienia ochrony praw człowieka na podstawie Konwencji. Nadszedł </w:t>
      </w:r>
      <w:r w:rsidR="00135EBB" w:rsidRPr="00ED0C6A">
        <w:rPr>
          <w:rFonts w:asciiTheme="minorHAnsi" w:hAnsiTheme="minorHAnsi"/>
          <w:sz w:val="24"/>
          <w:lang w:val="pl-PL"/>
        </w:rPr>
        <w:t xml:space="preserve">więc </w:t>
      </w:r>
      <w:r w:rsidR="00AB1DE2" w:rsidRPr="00ED0C6A">
        <w:rPr>
          <w:rFonts w:asciiTheme="minorHAnsi" w:hAnsiTheme="minorHAnsi"/>
          <w:sz w:val="24"/>
          <w:lang w:val="pl-PL"/>
        </w:rPr>
        <w:t xml:space="preserve">czas, by Trybunał </w:t>
      </w:r>
      <w:r w:rsidR="004618D4" w:rsidRPr="00ED0C6A">
        <w:rPr>
          <w:rFonts w:asciiTheme="minorHAnsi" w:hAnsiTheme="minorHAnsi"/>
          <w:sz w:val="24"/>
          <w:lang w:val="pl-PL"/>
        </w:rPr>
        <w:t>przed</w:t>
      </w:r>
      <w:r w:rsidR="00AB1DE2" w:rsidRPr="00ED0C6A">
        <w:rPr>
          <w:rFonts w:asciiTheme="minorHAnsi" w:hAnsiTheme="minorHAnsi"/>
          <w:sz w:val="24"/>
          <w:lang w:val="pl-PL"/>
        </w:rPr>
        <w:t xml:space="preserve">efiniował swą rolę w </w:t>
      </w:r>
      <w:r w:rsidR="004618D4" w:rsidRPr="00ED0C6A">
        <w:rPr>
          <w:rFonts w:asciiTheme="minorHAnsi" w:hAnsiTheme="minorHAnsi"/>
          <w:sz w:val="24"/>
          <w:lang w:val="pl-PL"/>
        </w:rPr>
        <w:t>sytuacjach</w:t>
      </w:r>
      <w:r w:rsidR="00AB1DE2" w:rsidRPr="00ED0C6A">
        <w:rPr>
          <w:rFonts w:asciiTheme="minorHAnsi" w:hAnsiTheme="minorHAnsi"/>
          <w:sz w:val="24"/>
          <w:lang w:val="pl-PL"/>
        </w:rPr>
        <w:t>, w któr</w:t>
      </w:r>
      <w:r w:rsidR="004618D4" w:rsidRPr="00ED0C6A">
        <w:rPr>
          <w:rFonts w:asciiTheme="minorHAnsi" w:hAnsiTheme="minorHAnsi"/>
          <w:sz w:val="24"/>
          <w:lang w:val="pl-PL"/>
        </w:rPr>
        <w:t>ych</w:t>
      </w:r>
      <w:r w:rsidR="00AB1DE2" w:rsidRPr="00ED0C6A">
        <w:rPr>
          <w:rFonts w:asciiTheme="minorHAnsi" w:hAnsiTheme="minorHAnsi"/>
          <w:sz w:val="24"/>
          <w:lang w:val="pl-PL"/>
        </w:rPr>
        <w:t xml:space="preserve"> pozwane Państwo </w:t>
      </w:r>
      <w:r w:rsidR="004618D4" w:rsidRPr="00ED0C6A">
        <w:rPr>
          <w:rFonts w:asciiTheme="minorHAnsi" w:hAnsiTheme="minorHAnsi"/>
          <w:sz w:val="24"/>
          <w:lang w:val="pl-PL"/>
        </w:rPr>
        <w:t xml:space="preserve">nie podjęło </w:t>
      </w:r>
      <w:r w:rsidR="00AB1DE2" w:rsidRPr="00ED0C6A">
        <w:rPr>
          <w:rFonts w:asciiTheme="minorHAnsi" w:hAnsiTheme="minorHAnsi"/>
          <w:sz w:val="24"/>
          <w:lang w:val="pl-PL"/>
        </w:rPr>
        <w:t xml:space="preserve">generalnych środków naprawczych w rozsądnym terminie, </w:t>
      </w:r>
      <w:r w:rsidR="004618D4" w:rsidRPr="00ED0C6A">
        <w:rPr>
          <w:rFonts w:asciiTheme="minorHAnsi" w:hAnsiTheme="minorHAnsi"/>
          <w:sz w:val="24"/>
          <w:lang w:val="pl-PL"/>
        </w:rPr>
        <w:t xml:space="preserve">oraz konsekwencje, jakie należy wyciągnąć w takiej sytuacji </w:t>
      </w:r>
      <w:r w:rsidR="00AB1DE2" w:rsidRPr="00ED0C6A">
        <w:rPr>
          <w:rFonts w:asciiTheme="minorHAnsi" w:hAnsiTheme="minorHAnsi"/>
          <w:sz w:val="24"/>
          <w:lang w:val="pl-PL"/>
        </w:rPr>
        <w:t xml:space="preserve">w świetle art. 46 Konwencji. </w:t>
      </w:r>
    </w:p>
    <w:p w:rsidR="00135EBB" w:rsidRPr="00ED0C6A" w:rsidRDefault="00135EBB" w:rsidP="00F11942">
      <w:pPr>
        <w:pStyle w:val="ClinContent"/>
        <w:spacing w:before="0"/>
        <w:rPr>
          <w:rFonts w:asciiTheme="minorHAnsi" w:hAnsiTheme="minorHAnsi"/>
          <w:sz w:val="24"/>
          <w:lang w:val="pl-PL"/>
        </w:rPr>
      </w:pPr>
    </w:p>
    <w:p w:rsidR="00AB1DE2" w:rsidRPr="00ED0C6A" w:rsidRDefault="00135EBB" w:rsidP="00F11942">
      <w:pPr>
        <w:pStyle w:val="ClinContent"/>
        <w:spacing w:before="0"/>
        <w:rPr>
          <w:rFonts w:asciiTheme="minorHAnsi" w:hAnsiTheme="minorHAnsi"/>
          <w:sz w:val="24"/>
          <w:lang w:val="pl-PL"/>
        </w:rPr>
      </w:pPr>
      <w:r w:rsidRPr="00ED0C6A">
        <w:rPr>
          <w:rFonts w:asciiTheme="minorHAnsi" w:hAnsiTheme="minorHAnsi"/>
          <w:sz w:val="24"/>
          <w:lang w:val="pl-PL"/>
        </w:rPr>
        <w:t>W opinii Trybunału, p</w:t>
      </w:r>
      <w:r w:rsidR="00AB1DE2" w:rsidRPr="00ED0C6A">
        <w:rPr>
          <w:rFonts w:asciiTheme="minorHAnsi" w:hAnsiTheme="minorHAnsi"/>
          <w:sz w:val="24"/>
          <w:lang w:val="pl-PL"/>
        </w:rPr>
        <w:t>odział zadań między Trybunał</w:t>
      </w:r>
      <w:r w:rsidR="008A4D97" w:rsidRPr="00ED0C6A">
        <w:rPr>
          <w:rFonts w:asciiTheme="minorHAnsi" w:hAnsiTheme="minorHAnsi"/>
          <w:sz w:val="24"/>
          <w:lang w:val="pl-PL"/>
        </w:rPr>
        <w:t xml:space="preserve"> a Komitet</w:t>
      </w:r>
      <w:r w:rsidR="00AB1DE2" w:rsidRPr="00ED0C6A">
        <w:rPr>
          <w:rFonts w:asciiTheme="minorHAnsi" w:hAnsiTheme="minorHAnsi"/>
          <w:sz w:val="24"/>
          <w:lang w:val="pl-PL"/>
        </w:rPr>
        <w:t xml:space="preserve"> Ministrów jest jasny – Trybunał może pomagać pozwanemu Państwu w wypełnianiu jego obowiązków na</w:t>
      </w:r>
      <w:r w:rsidR="00827554">
        <w:rPr>
          <w:rFonts w:asciiTheme="minorHAnsi" w:hAnsiTheme="minorHAnsi"/>
          <w:sz w:val="24"/>
          <w:lang w:val="pl-PL"/>
        </w:rPr>
        <w:t> </w:t>
      </w:r>
      <w:r w:rsidR="00AB1DE2" w:rsidRPr="00ED0C6A">
        <w:rPr>
          <w:rFonts w:asciiTheme="minorHAnsi" w:hAnsiTheme="minorHAnsi"/>
          <w:sz w:val="24"/>
          <w:lang w:val="pl-PL"/>
        </w:rPr>
        <w:t xml:space="preserve">podstawie art. 46, starając się wskazywać rodzaj środków, które mogłyby zostać podjęte przez Państwo w celu </w:t>
      </w:r>
      <w:r w:rsidR="00A423D2" w:rsidRPr="00ED0C6A">
        <w:rPr>
          <w:rFonts w:asciiTheme="minorHAnsi" w:hAnsiTheme="minorHAnsi"/>
          <w:sz w:val="24"/>
          <w:lang w:val="pl-PL"/>
        </w:rPr>
        <w:t>zażegnania zidentyfikowanego problemu systemowego</w:t>
      </w:r>
      <w:r w:rsidR="00AB1DE2" w:rsidRPr="00ED0C6A">
        <w:rPr>
          <w:rFonts w:asciiTheme="minorHAnsi" w:hAnsiTheme="minorHAnsi"/>
          <w:sz w:val="24"/>
          <w:lang w:val="pl-PL"/>
        </w:rPr>
        <w:t>. Jednakże to</w:t>
      </w:r>
      <w:r w:rsidR="00827554">
        <w:rPr>
          <w:rFonts w:asciiTheme="minorHAnsi" w:hAnsiTheme="minorHAnsi"/>
          <w:sz w:val="24"/>
          <w:lang w:val="pl-PL"/>
        </w:rPr>
        <w:t> </w:t>
      </w:r>
      <w:r w:rsidR="00AB1DE2" w:rsidRPr="00ED0C6A">
        <w:rPr>
          <w:rFonts w:asciiTheme="minorHAnsi" w:hAnsiTheme="minorHAnsi"/>
          <w:sz w:val="24"/>
          <w:lang w:val="pl-PL"/>
        </w:rPr>
        <w:t>do Komitetu Ministrów należy czuwanie nad wykonaniem wyroku i zapewni</w:t>
      </w:r>
      <w:r w:rsidR="00A423D2" w:rsidRPr="00ED0C6A">
        <w:rPr>
          <w:rFonts w:asciiTheme="minorHAnsi" w:hAnsiTheme="minorHAnsi"/>
          <w:sz w:val="24"/>
          <w:lang w:val="pl-PL"/>
        </w:rPr>
        <w:t>e</w:t>
      </w:r>
      <w:r w:rsidR="00AB1DE2" w:rsidRPr="00ED0C6A">
        <w:rPr>
          <w:rFonts w:asciiTheme="minorHAnsi" w:hAnsiTheme="minorHAnsi"/>
          <w:sz w:val="24"/>
          <w:lang w:val="pl-PL"/>
        </w:rPr>
        <w:t>nie, by</w:t>
      </w:r>
      <w:r w:rsidR="00827554">
        <w:rPr>
          <w:rFonts w:asciiTheme="minorHAnsi" w:hAnsiTheme="minorHAnsi"/>
          <w:sz w:val="24"/>
          <w:lang w:val="pl-PL"/>
        </w:rPr>
        <w:t> </w:t>
      </w:r>
      <w:r w:rsidR="00AB1DE2" w:rsidRPr="00ED0C6A">
        <w:rPr>
          <w:rFonts w:asciiTheme="minorHAnsi" w:hAnsiTheme="minorHAnsi"/>
          <w:sz w:val="24"/>
          <w:lang w:val="pl-PL"/>
        </w:rPr>
        <w:t>Państwo zrealizowało swój obowiązek prawny wynikający z art. 46 Konwencji, w</w:t>
      </w:r>
      <w:r w:rsidR="00E57D35">
        <w:rPr>
          <w:rFonts w:asciiTheme="minorHAnsi" w:hAnsiTheme="minorHAnsi"/>
          <w:sz w:val="24"/>
          <w:lang w:val="pl-PL"/>
        </w:rPr>
        <w:t> </w:t>
      </w:r>
      <w:r w:rsidR="00AB1DE2" w:rsidRPr="00ED0C6A">
        <w:rPr>
          <w:rFonts w:asciiTheme="minorHAnsi" w:hAnsiTheme="minorHAnsi"/>
          <w:sz w:val="24"/>
          <w:lang w:val="pl-PL"/>
        </w:rPr>
        <w:t>tym</w:t>
      </w:r>
      <w:r w:rsidR="00E57D35">
        <w:rPr>
          <w:rFonts w:asciiTheme="minorHAnsi" w:hAnsiTheme="minorHAnsi"/>
          <w:sz w:val="24"/>
          <w:lang w:val="pl-PL"/>
        </w:rPr>
        <w:t> </w:t>
      </w:r>
      <w:r w:rsidRPr="00ED0C6A">
        <w:rPr>
          <w:rFonts w:asciiTheme="minorHAnsi" w:hAnsiTheme="minorHAnsi"/>
          <w:sz w:val="24"/>
          <w:lang w:val="pl-PL"/>
        </w:rPr>
        <w:t>by</w:t>
      </w:r>
      <w:r w:rsidR="00827554">
        <w:rPr>
          <w:rFonts w:asciiTheme="minorHAnsi" w:hAnsiTheme="minorHAnsi"/>
          <w:sz w:val="24"/>
          <w:lang w:val="pl-PL"/>
        </w:rPr>
        <w:t> </w:t>
      </w:r>
      <w:r w:rsidRPr="00ED0C6A">
        <w:rPr>
          <w:rFonts w:asciiTheme="minorHAnsi" w:hAnsiTheme="minorHAnsi"/>
          <w:sz w:val="24"/>
          <w:lang w:val="pl-PL"/>
        </w:rPr>
        <w:t>podjęło takie generalne środki naprawcze</w:t>
      </w:r>
      <w:r w:rsidR="00AB1DE2" w:rsidRPr="00ED0C6A">
        <w:rPr>
          <w:rFonts w:asciiTheme="minorHAnsi" w:hAnsiTheme="minorHAnsi"/>
          <w:sz w:val="24"/>
          <w:lang w:val="pl-PL"/>
        </w:rPr>
        <w:t>, jaki</w:t>
      </w:r>
      <w:r w:rsidR="00A423D2" w:rsidRPr="00ED0C6A">
        <w:rPr>
          <w:rFonts w:asciiTheme="minorHAnsi" w:hAnsiTheme="minorHAnsi"/>
          <w:sz w:val="24"/>
          <w:lang w:val="pl-PL"/>
        </w:rPr>
        <w:t>ch wymaga</w:t>
      </w:r>
      <w:r w:rsidR="00AB1DE2" w:rsidRPr="00ED0C6A">
        <w:rPr>
          <w:rFonts w:asciiTheme="minorHAnsi" w:hAnsiTheme="minorHAnsi"/>
          <w:sz w:val="24"/>
          <w:lang w:val="pl-PL"/>
        </w:rPr>
        <w:t xml:space="preserve"> </w:t>
      </w:r>
      <w:r w:rsidRPr="00ED0C6A">
        <w:rPr>
          <w:rFonts w:asciiTheme="minorHAnsi" w:hAnsiTheme="minorHAnsi"/>
          <w:sz w:val="24"/>
          <w:lang w:val="pl-PL"/>
        </w:rPr>
        <w:t>wyrok pilotażowy w</w:t>
      </w:r>
      <w:r w:rsidR="00E57D35">
        <w:rPr>
          <w:rFonts w:asciiTheme="minorHAnsi" w:hAnsiTheme="minorHAnsi"/>
          <w:sz w:val="24"/>
          <w:lang w:val="pl-PL"/>
        </w:rPr>
        <w:t> </w:t>
      </w:r>
      <w:r w:rsidRPr="00ED0C6A">
        <w:rPr>
          <w:rFonts w:asciiTheme="minorHAnsi" w:hAnsiTheme="minorHAnsi"/>
          <w:sz w:val="24"/>
          <w:lang w:val="pl-PL"/>
        </w:rPr>
        <w:t>celu</w:t>
      </w:r>
      <w:r w:rsidR="00E57D35">
        <w:rPr>
          <w:rFonts w:asciiTheme="minorHAnsi" w:hAnsiTheme="minorHAnsi"/>
          <w:sz w:val="24"/>
          <w:lang w:val="pl-PL"/>
        </w:rPr>
        <w:t> </w:t>
      </w:r>
      <w:r w:rsidR="00AB1DE2" w:rsidRPr="00ED0C6A">
        <w:rPr>
          <w:rFonts w:asciiTheme="minorHAnsi" w:hAnsiTheme="minorHAnsi"/>
          <w:sz w:val="24"/>
          <w:lang w:val="pl-PL"/>
        </w:rPr>
        <w:t>zadośćuczynienia</w:t>
      </w:r>
      <w:r w:rsidR="000C5678" w:rsidRPr="00ED0C6A">
        <w:rPr>
          <w:rFonts w:asciiTheme="minorHAnsi" w:hAnsiTheme="minorHAnsi"/>
          <w:sz w:val="24"/>
          <w:lang w:val="pl-PL"/>
        </w:rPr>
        <w:t xml:space="preserve"> </w:t>
      </w:r>
      <w:r w:rsidR="00A423D2" w:rsidRPr="00ED0C6A">
        <w:rPr>
          <w:rFonts w:asciiTheme="minorHAnsi" w:hAnsiTheme="minorHAnsi"/>
          <w:sz w:val="24"/>
          <w:lang w:val="pl-PL"/>
        </w:rPr>
        <w:t>wszystkim innym</w:t>
      </w:r>
      <w:r w:rsidR="00AB1DE2" w:rsidRPr="00ED0C6A">
        <w:rPr>
          <w:rFonts w:asciiTheme="minorHAnsi" w:hAnsiTheme="minorHAnsi"/>
          <w:sz w:val="24"/>
          <w:lang w:val="pl-PL"/>
        </w:rPr>
        <w:t xml:space="preserve"> ofiar</w:t>
      </w:r>
      <w:r w:rsidR="00A423D2" w:rsidRPr="00ED0C6A">
        <w:rPr>
          <w:rFonts w:asciiTheme="minorHAnsi" w:hAnsiTheme="minorHAnsi"/>
          <w:sz w:val="24"/>
          <w:lang w:val="pl-PL"/>
        </w:rPr>
        <w:t>om</w:t>
      </w:r>
      <w:r w:rsidR="00AB1DE2" w:rsidRPr="00ED0C6A">
        <w:rPr>
          <w:rFonts w:asciiTheme="minorHAnsi" w:hAnsiTheme="minorHAnsi"/>
          <w:sz w:val="24"/>
          <w:lang w:val="pl-PL"/>
        </w:rPr>
        <w:t xml:space="preserve"> stw</w:t>
      </w:r>
      <w:r w:rsidRPr="00ED0C6A">
        <w:rPr>
          <w:rFonts w:asciiTheme="minorHAnsi" w:hAnsiTheme="minorHAnsi"/>
          <w:sz w:val="24"/>
          <w:lang w:val="pl-PL"/>
        </w:rPr>
        <w:t>ierdzonego problemu systemowego –</w:t>
      </w:r>
      <w:r w:rsidR="00AB1DE2" w:rsidRPr="00ED0C6A">
        <w:rPr>
          <w:rFonts w:asciiTheme="minorHAnsi" w:hAnsiTheme="minorHAnsi"/>
          <w:sz w:val="24"/>
          <w:lang w:val="pl-PL"/>
        </w:rPr>
        <w:t xml:space="preserve"> tak</w:t>
      </w:r>
      <w:r w:rsidR="00827554">
        <w:rPr>
          <w:rFonts w:asciiTheme="minorHAnsi" w:hAnsiTheme="minorHAnsi"/>
          <w:sz w:val="24"/>
          <w:lang w:val="pl-PL"/>
        </w:rPr>
        <w:t> </w:t>
      </w:r>
      <w:r w:rsidR="00AB1DE2" w:rsidRPr="00ED0C6A">
        <w:rPr>
          <w:rFonts w:asciiTheme="minorHAnsi" w:hAnsiTheme="minorHAnsi"/>
          <w:sz w:val="24"/>
          <w:lang w:val="pl-PL"/>
        </w:rPr>
        <w:t>obecny</w:t>
      </w:r>
      <w:r w:rsidR="00A423D2" w:rsidRPr="00ED0C6A">
        <w:rPr>
          <w:rFonts w:asciiTheme="minorHAnsi" w:hAnsiTheme="minorHAnsi"/>
          <w:sz w:val="24"/>
          <w:lang w:val="pl-PL"/>
        </w:rPr>
        <w:t>m</w:t>
      </w:r>
      <w:r w:rsidR="00AB1DE2" w:rsidRPr="00ED0C6A">
        <w:rPr>
          <w:rFonts w:asciiTheme="minorHAnsi" w:hAnsiTheme="minorHAnsi"/>
          <w:sz w:val="24"/>
          <w:lang w:val="pl-PL"/>
        </w:rPr>
        <w:t xml:space="preserve">, jak </w:t>
      </w:r>
      <w:r w:rsidR="00A423D2" w:rsidRPr="00ED0C6A">
        <w:rPr>
          <w:rFonts w:asciiTheme="minorHAnsi" w:hAnsiTheme="minorHAnsi"/>
          <w:sz w:val="24"/>
          <w:lang w:val="pl-PL"/>
        </w:rPr>
        <w:t>i potencjalnym</w:t>
      </w:r>
      <w:r w:rsidR="00AB1DE2" w:rsidRPr="00ED0C6A">
        <w:rPr>
          <w:rFonts w:asciiTheme="minorHAnsi" w:hAnsiTheme="minorHAnsi"/>
          <w:sz w:val="24"/>
          <w:lang w:val="pl-PL"/>
        </w:rPr>
        <w:t xml:space="preserve">.  </w:t>
      </w:r>
    </w:p>
    <w:p w:rsidR="00135EBB" w:rsidRPr="00ED0C6A" w:rsidRDefault="00135EBB"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Sytuacja, przed którą stanął Trybunał w sprawach </w:t>
      </w:r>
      <w:r w:rsidR="00A423D2" w:rsidRPr="00ED0C6A">
        <w:rPr>
          <w:rFonts w:asciiTheme="minorHAnsi" w:hAnsiTheme="minorHAnsi"/>
          <w:sz w:val="24"/>
          <w:lang w:val="pl-PL"/>
        </w:rPr>
        <w:t>z grupy</w:t>
      </w:r>
      <w:r w:rsidRPr="00ED0C6A">
        <w:rPr>
          <w:rFonts w:asciiTheme="minorHAnsi" w:hAnsiTheme="minorHAnsi"/>
          <w:sz w:val="24"/>
          <w:lang w:val="pl-PL"/>
        </w:rPr>
        <w:t xml:space="preserve"> </w:t>
      </w:r>
      <w:proofErr w:type="spellStart"/>
      <w:r w:rsidRPr="00ED0C6A">
        <w:rPr>
          <w:rFonts w:asciiTheme="minorHAnsi" w:hAnsiTheme="minorHAnsi"/>
          <w:i/>
          <w:sz w:val="24"/>
          <w:lang w:val="pl-PL"/>
        </w:rPr>
        <w:t>Ivanow</w:t>
      </w:r>
      <w:proofErr w:type="spellEnd"/>
      <w:r w:rsidRPr="00ED0C6A">
        <w:rPr>
          <w:rFonts w:asciiTheme="minorHAnsi" w:hAnsiTheme="minorHAnsi"/>
          <w:i/>
          <w:sz w:val="24"/>
          <w:lang w:val="pl-PL"/>
        </w:rPr>
        <w:t xml:space="preserve">, </w:t>
      </w:r>
      <w:r w:rsidR="00A423D2" w:rsidRPr="00ED0C6A">
        <w:rPr>
          <w:rFonts w:asciiTheme="minorHAnsi" w:hAnsiTheme="minorHAnsi"/>
          <w:sz w:val="24"/>
          <w:lang w:val="pl-PL"/>
        </w:rPr>
        <w:t>wynika</w:t>
      </w:r>
      <w:r w:rsidR="00A423D2" w:rsidRPr="00ED0C6A">
        <w:rPr>
          <w:rFonts w:asciiTheme="minorHAnsi" w:hAnsiTheme="minorHAnsi"/>
          <w:i/>
          <w:sz w:val="24"/>
          <w:lang w:val="pl-PL"/>
        </w:rPr>
        <w:t xml:space="preserve"> </w:t>
      </w:r>
      <w:r w:rsidRPr="00ED0C6A">
        <w:rPr>
          <w:rFonts w:asciiTheme="minorHAnsi" w:hAnsiTheme="minorHAnsi"/>
          <w:sz w:val="24"/>
          <w:lang w:val="pl-PL"/>
        </w:rPr>
        <w:t>w istocie z</w:t>
      </w:r>
      <w:r w:rsidR="00827554">
        <w:rPr>
          <w:rFonts w:asciiTheme="minorHAnsi" w:hAnsiTheme="minorHAnsi"/>
          <w:sz w:val="24"/>
          <w:lang w:val="pl-PL"/>
        </w:rPr>
        <w:t> </w:t>
      </w:r>
      <w:r w:rsidRPr="00ED0C6A">
        <w:rPr>
          <w:rFonts w:asciiTheme="minorHAnsi" w:hAnsiTheme="minorHAnsi"/>
          <w:sz w:val="24"/>
          <w:lang w:val="pl-PL"/>
        </w:rPr>
        <w:t xml:space="preserve">nieskutecznego wykonania ostatecznego wyroku Trybunału, </w:t>
      </w:r>
      <w:r w:rsidR="00135EBB" w:rsidRPr="00ED0C6A">
        <w:rPr>
          <w:rFonts w:asciiTheme="minorHAnsi" w:hAnsiTheme="minorHAnsi"/>
          <w:sz w:val="24"/>
          <w:lang w:val="pl-PL"/>
        </w:rPr>
        <w:t xml:space="preserve">który wymaga </w:t>
      </w:r>
      <w:r w:rsidRPr="00ED0C6A">
        <w:rPr>
          <w:rFonts w:asciiTheme="minorHAnsi" w:hAnsiTheme="minorHAnsi"/>
          <w:sz w:val="24"/>
          <w:lang w:val="pl-PL"/>
        </w:rPr>
        <w:t xml:space="preserve">przyjęcia środków generalnych pod nadzorem Komitetu Ministrów w celu wyeliminowania głównych przyczyn problemu systemowego wciąż generującego liczne skargi do Trybunału. </w:t>
      </w:r>
      <w:r w:rsidR="00A423D2" w:rsidRPr="00ED0C6A">
        <w:rPr>
          <w:rFonts w:asciiTheme="minorHAnsi" w:hAnsiTheme="minorHAnsi"/>
          <w:sz w:val="24"/>
          <w:lang w:val="pl-PL"/>
        </w:rPr>
        <w:t>Problemy z</w:t>
      </w:r>
      <w:r w:rsidR="00827554">
        <w:rPr>
          <w:rFonts w:asciiTheme="minorHAnsi" w:hAnsiTheme="minorHAnsi"/>
          <w:sz w:val="24"/>
          <w:lang w:val="pl-PL"/>
        </w:rPr>
        <w:t> </w:t>
      </w:r>
      <w:r w:rsidR="00A423D2" w:rsidRPr="00ED0C6A">
        <w:rPr>
          <w:rFonts w:asciiTheme="minorHAnsi" w:hAnsiTheme="minorHAnsi"/>
          <w:sz w:val="24"/>
          <w:lang w:val="pl-PL"/>
        </w:rPr>
        <w:t xml:space="preserve">tym związane </w:t>
      </w:r>
      <w:r w:rsidRPr="00ED0C6A">
        <w:rPr>
          <w:rFonts w:asciiTheme="minorHAnsi" w:hAnsiTheme="minorHAnsi"/>
          <w:sz w:val="24"/>
          <w:lang w:val="pl-PL"/>
        </w:rPr>
        <w:t>mają głównie charakter finansowy i polityczny, a ich rozwiązanie leży poza</w:t>
      </w:r>
      <w:r w:rsidR="00E31715">
        <w:rPr>
          <w:rFonts w:asciiTheme="minorHAnsi" w:hAnsiTheme="minorHAnsi"/>
          <w:sz w:val="24"/>
          <w:lang w:val="pl-PL"/>
        </w:rPr>
        <w:t> </w:t>
      </w:r>
      <w:r w:rsidRPr="00ED0C6A">
        <w:rPr>
          <w:rFonts w:asciiTheme="minorHAnsi" w:hAnsiTheme="minorHAnsi"/>
          <w:sz w:val="24"/>
          <w:lang w:val="pl-PL"/>
        </w:rPr>
        <w:t xml:space="preserve">kompetencją Trybunału </w:t>
      </w:r>
      <w:r w:rsidR="00A423D2" w:rsidRPr="00ED0C6A">
        <w:rPr>
          <w:rFonts w:asciiTheme="minorHAnsi" w:hAnsiTheme="minorHAnsi"/>
          <w:sz w:val="24"/>
          <w:lang w:val="pl-PL"/>
        </w:rPr>
        <w:t xml:space="preserve">wynikającą z </w:t>
      </w:r>
      <w:r w:rsidRPr="00ED0C6A">
        <w:rPr>
          <w:rFonts w:asciiTheme="minorHAnsi" w:hAnsiTheme="minorHAnsi"/>
          <w:sz w:val="24"/>
          <w:lang w:val="pl-PL"/>
        </w:rPr>
        <w:t>Konwencji. Do pozwanego Państwa oraz</w:t>
      </w:r>
      <w:r w:rsidR="00E31715">
        <w:rPr>
          <w:rFonts w:asciiTheme="minorHAnsi" w:hAnsiTheme="minorHAnsi"/>
          <w:sz w:val="24"/>
          <w:lang w:val="pl-PL"/>
        </w:rPr>
        <w:t> </w:t>
      </w:r>
      <w:r w:rsidR="00A423D2" w:rsidRPr="00ED0C6A">
        <w:rPr>
          <w:rFonts w:asciiTheme="minorHAnsi" w:hAnsiTheme="minorHAnsi"/>
          <w:sz w:val="24"/>
          <w:lang w:val="pl-PL"/>
        </w:rPr>
        <w:t>do</w:t>
      </w:r>
      <w:r w:rsidR="00E31715">
        <w:rPr>
          <w:rFonts w:asciiTheme="minorHAnsi" w:hAnsiTheme="minorHAnsi"/>
          <w:sz w:val="24"/>
          <w:lang w:val="pl-PL"/>
        </w:rPr>
        <w:t> </w:t>
      </w:r>
      <w:r w:rsidRPr="00ED0C6A">
        <w:rPr>
          <w:rFonts w:asciiTheme="minorHAnsi" w:hAnsiTheme="minorHAnsi"/>
          <w:sz w:val="24"/>
          <w:lang w:val="pl-PL"/>
        </w:rPr>
        <w:t>Komitetu Ministrów należy doprowadzenie do pełnego wykonania wyroku pilotażowego Trybunału w</w:t>
      </w:r>
      <w:r w:rsidR="00827554">
        <w:rPr>
          <w:rFonts w:asciiTheme="minorHAnsi" w:hAnsiTheme="minorHAnsi"/>
          <w:sz w:val="24"/>
          <w:lang w:val="pl-PL"/>
        </w:rPr>
        <w:t> </w:t>
      </w:r>
      <w:r w:rsidRPr="00ED0C6A">
        <w:rPr>
          <w:rFonts w:asciiTheme="minorHAnsi" w:hAnsiTheme="minorHAnsi"/>
          <w:sz w:val="24"/>
          <w:lang w:val="pl-PL"/>
        </w:rPr>
        <w:t xml:space="preserve">sprawie </w:t>
      </w:r>
      <w:proofErr w:type="spellStart"/>
      <w:r w:rsidRPr="00ED0C6A">
        <w:rPr>
          <w:rFonts w:asciiTheme="minorHAnsi" w:hAnsiTheme="minorHAnsi"/>
          <w:i/>
          <w:sz w:val="24"/>
          <w:lang w:val="pl-PL"/>
        </w:rPr>
        <w:t>Ivanov</w:t>
      </w:r>
      <w:proofErr w:type="spellEnd"/>
      <w:r w:rsidRPr="00ED0C6A">
        <w:rPr>
          <w:rFonts w:asciiTheme="minorHAnsi" w:hAnsiTheme="minorHAnsi"/>
          <w:sz w:val="24"/>
          <w:lang w:val="pl-PL"/>
        </w:rPr>
        <w:t xml:space="preserve">, i zapewnienie – obok koniecznych środków generalnych </w:t>
      </w:r>
      <w:r w:rsidR="00A423D2" w:rsidRPr="00ED0C6A">
        <w:rPr>
          <w:rFonts w:asciiTheme="minorHAnsi" w:hAnsiTheme="minorHAnsi"/>
          <w:sz w:val="24"/>
          <w:lang w:val="pl-PL"/>
        </w:rPr>
        <w:t xml:space="preserve">adresujących </w:t>
      </w:r>
      <w:r w:rsidRPr="00ED0C6A">
        <w:rPr>
          <w:rFonts w:asciiTheme="minorHAnsi" w:hAnsiTheme="minorHAnsi"/>
          <w:sz w:val="24"/>
          <w:lang w:val="pl-PL"/>
        </w:rPr>
        <w:t xml:space="preserve">główne przyczyny problemu – także </w:t>
      </w:r>
      <w:r w:rsidR="00A423D2" w:rsidRPr="00ED0C6A">
        <w:rPr>
          <w:rFonts w:asciiTheme="minorHAnsi" w:hAnsiTheme="minorHAnsi"/>
          <w:sz w:val="24"/>
          <w:lang w:val="pl-PL"/>
        </w:rPr>
        <w:t>adekwatnyc</w:t>
      </w:r>
      <w:r w:rsidRPr="00ED0C6A">
        <w:rPr>
          <w:rFonts w:asciiTheme="minorHAnsi" w:hAnsiTheme="minorHAnsi"/>
          <w:sz w:val="24"/>
          <w:lang w:val="pl-PL"/>
        </w:rPr>
        <w:t>h środków naprawczych dla indywidualnych skarżących na poziomie krajowym, w tym mechanizm</w:t>
      </w:r>
      <w:r w:rsidR="00135EBB" w:rsidRPr="00ED0C6A">
        <w:rPr>
          <w:rFonts w:asciiTheme="minorHAnsi" w:hAnsiTheme="minorHAnsi"/>
          <w:sz w:val="24"/>
          <w:lang w:val="pl-PL"/>
        </w:rPr>
        <w:t>u</w:t>
      </w:r>
      <w:r w:rsidRPr="00ED0C6A">
        <w:rPr>
          <w:rFonts w:asciiTheme="minorHAnsi" w:hAnsiTheme="minorHAnsi"/>
          <w:sz w:val="24"/>
          <w:lang w:val="pl-PL"/>
        </w:rPr>
        <w:t xml:space="preserve"> przyznawania zadośćuczynienia za</w:t>
      </w:r>
      <w:r w:rsidR="00827554">
        <w:rPr>
          <w:rFonts w:asciiTheme="minorHAnsi" w:hAnsiTheme="minorHAnsi"/>
          <w:sz w:val="24"/>
          <w:lang w:val="pl-PL"/>
        </w:rPr>
        <w:t> </w:t>
      </w:r>
      <w:r w:rsidRPr="00ED0C6A">
        <w:rPr>
          <w:rFonts w:asciiTheme="minorHAnsi" w:hAnsiTheme="minorHAnsi"/>
          <w:sz w:val="24"/>
          <w:lang w:val="pl-PL"/>
        </w:rPr>
        <w:t>naruszenie Konwencji stwierdzone przez Trybunał</w:t>
      </w:r>
      <w:r w:rsidR="00135EBB" w:rsidRPr="00ED0C6A">
        <w:rPr>
          <w:rFonts w:asciiTheme="minorHAnsi" w:hAnsiTheme="minorHAnsi"/>
          <w:sz w:val="24"/>
          <w:lang w:val="pl-PL"/>
        </w:rPr>
        <w:t xml:space="preserve"> o takiej samej funkcji</w:t>
      </w:r>
      <w:r w:rsidRPr="00ED0C6A">
        <w:rPr>
          <w:rFonts w:asciiTheme="minorHAnsi" w:hAnsiTheme="minorHAnsi"/>
          <w:sz w:val="24"/>
          <w:lang w:val="pl-PL"/>
        </w:rPr>
        <w:t xml:space="preserve"> co zasądzenie na</w:t>
      </w:r>
      <w:r w:rsidR="00827554">
        <w:rPr>
          <w:rFonts w:asciiTheme="minorHAnsi" w:hAnsiTheme="minorHAnsi"/>
          <w:sz w:val="24"/>
          <w:lang w:val="pl-PL"/>
        </w:rPr>
        <w:t> </w:t>
      </w:r>
      <w:r w:rsidRPr="00ED0C6A">
        <w:rPr>
          <w:rFonts w:asciiTheme="minorHAnsi" w:hAnsiTheme="minorHAnsi"/>
          <w:sz w:val="24"/>
          <w:lang w:val="pl-PL"/>
        </w:rPr>
        <w:t xml:space="preserve">podstawie art. 41 Konwencji. </w:t>
      </w:r>
    </w:p>
    <w:p w:rsidR="00135EBB" w:rsidRPr="00ED0C6A" w:rsidRDefault="00135EBB" w:rsidP="00F11942">
      <w:pPr>
        <w:pStyle w:val="ClinContent"/>
        <w:spacing w:before="0"/>
        <w:rPr>
          <w:rFonts w:asciiTheme="minorHAnsi" w:hAnsiTheme="minorHAnsi"/>
          <w:sz w:val="24"/>
          <w:lang w:val="pl-PL"/>
        </w:rPr>
      </w:pPr>
    </w:p>
    <w:p w:rsidR="00135EBB" w:rsidRPr="00ED0C6A" w:rsidRDefault="00135EBB" w:rsidP="00F11942">
      <w:pPr>
        <w:pStyle w:val="ClinContent"/>
        <w:spacing w:before="0"/>
        <w:rPr>
          <w:rFonts w:asciiTheme="minorHAnsi" w:hAnsiTheme="minorHAnsi"/>
          <w:sz w:val="24"/>
          <w:lang w:val="pl-PL"/>
        </w:rPr>
      </w:pPr>
      <w:r w:rsidRPr="00ED0C6A">
        <w:rPr>
          <w:rFonts w:asciiTheme="minorHAnsi" w:hAnsiTheme="minorHAnsi"/>
          <w:sz w:val="24"/>
          <w:lang w:val="pl-PL"/>
        </w:rPr>
        <w:t>W podsumowaniu Trybunał podkreślił, że k</w:t>
      </w:r>
      <w:r w:rsidR="00AB1DE2" w:rsidRPr="00ED0C6A">
        <w:rPr>
          <w:rFonts w:asciiTheme="minorHAnsi" w:hAnsiTheme="minorHAnsi"/>
          <w:sz w:val="24"/>
          <w:lang w:val="pl-PL"/>
        </w:rPr>
        <w:t xml:space="preserve">westie prawne </w:t>
      </w:r>
      <w:r w:rsidRPr="00ED0C6A">
        <w:rPr>
          <w:rFonts w:asciiTheme="minorHAnsi" w:hAnsiTheme="minorHAnsi"/>
          <w:sz w:val="24"/>
          <w:lang w:val="pl-PL"/>
        </w:rPr>
        <w:t xml:space="preserve">na gruncie </w:t>
      </w:r>
      <w:r w:rsidR="00AB1DE2" w:rsidRPr="00ED0C6A">
        <w:rPr>
          <w:rFonts w:asciiTheme="minorHAnsi" w:hAnsiTheme="minorHAnsi"/>
          <w:sz w:val="24"/>
          <w:lang w:val="pl-PL"/>
        </w:rPr>
        <w:t>Konwencji dotyczące przedłużającego się niewykonywania orzeczeń krajowych na Ukrainie zostały już</w:t>
      </w:r>
      <w:r w:rsidR="00827554">
        <w:rPr>
          <w:rFonts w:asciiTheme="minorHAnsi" w:hAnsiTheme="minorHAnsi"/>
          <w:sz w:val="24"/>
          <w:lang w:val="pl-PL"/>
        </w:rPr>
        <w:t> </w:t>
      </w:r>
      <w:r w:rsidR="00AB1DE2" w:rsidRPr="00ED0C6A">
        <w:rPr>
          <w:rFonts w:asciiTheme="minorHAnsi" w:hAnsiTheme="minorHAnsi"/>
          <w:sz w:val="24"/>
          <w:lang w:val="pl-PL"/>
        </w:rPr>
        <w:t xml:space="preserve">rozstrzygnięte w wyroku pilotażowym w sprawie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i/>
          <w:sz w:val="24"/>
          <w:lang w:val="pl-PL"/>
        </w:rPr>
        <w:t xml:space="preserve">. </w:t>
      </w:r>
      <w:r w:rsidR="00AB1DE2" w:rsidRPr="00ED0C6A">
        <w:rPr>
          <w:rFonts w:asciiTheme="minorHAnsi" w:hAnsiTheme="minorHAnsi"/>
          <w:sz w:val="24"/>
          <w:lang w:val="pl-PL"/>
        </w:rPr>
        <w:t xml:space="preserve">Trybunał zrealizował </w:t>
      </w:r>
      <w:r w:rsidR="00A423D2" w:rsidRPr="00ED0C6A">
        <w:rPr>
          <w:rFonts w:asciiTheme="minorHAnsi" w:hAnsiTheme="minorHAnsi"/>
          <w:sz w:val="24"/>
          <w:lang w:val="pl-PL"/>
        </w:rPr>
        <w:t xml:space="preserve">tym samym </w:t>
      </w:r>
      <w:r w:rsidR="00AB1DE2" w:rsidRPr="00ED0C6A">
        <w:rPr>
          <w:rFonts w:asciiTheme="minorHAnsi" w:hAnsiTheme="minorHAnsi"/>
          <w:sz w:val="24"/>
          <w:lang w:val="pl-PL"/>
        </w:rPr>
        <w:t>swą funkcję</w:t>
      </w:r>
      <w:r w:rsidR="00A423D2" w:rsidRPr="00ED0C6A">
        <w:rPr>
          <w:rFonts w:asciiTheme="minorHAnsi" w:hAnsiTheme="minorHAnsi"/>
          <w:sz w:val="24"/>
          <w:lang w:val="pl-PL"/>
        </w:rPr>
        <w:t xml:space="preserve"> wynikającą z </w:t>
      </w:r>
      <w:r w:rsidRPr="00ED0C6A">
        <w:rPr>
          <w:rFonts w:asciiTheme="minorHAnsi" w:hAnsiTheme="minorHAnsi"/>
          <w:sz w:val="24"/>
          <w:lang w:val="pl-PL"/>
        </w:rPr>
        <w:t xml:space="preserve">art. 19 Konwencji. </w:t>
      </w:r>
    </w:p>
    <w:p w:rsidR="00135EBB" w:rsidRPr="00ED0C6A" w:rsidRDefault="00135EBB" w:rsidP="00F11942">
      <w:pPr>
        <w:pStyle w:val="ClinContent"/>
        <w:spacing w:before="0"/>
        <w:rPr>
          <w:rFonts w:asciiTheme="minorHAnsi" w:hAnsiTheme="minorHAnsi"/>
          <w:sz w:val="24"/>
          <w:lang w:val="pl-PL"/>
        </w:rPr>
      </w:pPr>
    </w:p>
    <w:p w:rsidR="00135EBB" w:rsidRPr="00ED0C6A" w:rsidRDefault="00A423D2" w:rsidP="00F11942">
      <w:pPr>
        <w:pStyle w:val="ClinContent"/>
        <w:spacing w:before="0"/>
        <w:rPr>
          <w:rFonts w:asciiTheme="minorHAnsi" w:hAnsiTheme="minorHAnsi"/>
          <w:sz w:val="24"/>
          <w:lang w:val="pl-PL"/>
        </w:rPr>
      </w:pPr>
      <w:r w:rsidRPr="00ED0C6A">
        <w:rPr>
          <w:rFonts w:asciiTheme="minorHAnsi" w:hAnsiTheme="minorHAnsi"/>
          <w:sz w:val="24"/>
          <w:lang w:val="pl-PL"/>
        </w:rPr>
        <w:t>Obecna skarga</w:t>
      </w:r>
      <w:r w:rsidR="00135EBB" w:rsidRPr="00ED0C6A">
        <w:rPr>
          <w:rFonts w:asciiTheme="minorHAnsi" w:hAnsiTheme="minorHAnsi"/>
          <w:sz w:val="24"/>
          <w:lang w:val="pl-PL"/>
        </w:rPr>
        <w:t xml:space="preserve"> i </w:t>
      </w:r>
      <w:r w:rsidR="00AB1DE2" w:rsidRPr="00ED0C6A">
        <w:rPr>
          <w:rFonts w:asciiTheme="minorHAnsi" w:hAnsiTheme="minorHAnsi"/>
          <w:sz w:val="24"/>
          <w:lang w:val="pl-PL"/>
        </w:rPr>
        <w:t>12</w:t>
      </w:r>
      <w:r w:rsidRPr="00ED0C6A">
        <w:rPr>
          <w:rFonts w:asciiTheme="minorHAnsi" w:hAnsiTheme="minorHAnsi"/>
          <w:sz w:val="24"/>
          <w:lang w:val="pl-PL"/>
        </w:rPr>
        <w:t>.</w:t>
      </w:r>
      <w:r w:rsidR="00AB1DE2" w:rsidRPr="00ED0C6A">
        <w:rPr>
          <w:rFonts w:asciiTheme="minorHAnsi" w:hAnsiTheme="minorHAnsi"/>
          <w:sz w:val="24"/>
          <w:lang w:val="pl-PL"/>
        </w:rPr>
        <w:t xml:space="preserve">143 </w:t>
      </w:r>
      <w:r w:rsidRPr="00ED0C6A">
        <w:rPr>
          <w:rFonts w:asciiTheme="minorHAnsi" w:hAnsiTheme="minorHAnsi"/>
          <w:sz w:val="24"/>
          <w:lang w:val="pl-PL"/>
        </w:rPr>
        <w:t>podobne skargi zawisłe</w:t>
      </w:r>
      <w:r w:rsidR="00AB1DE2" w:rsidRPr="00ED0C6A">
        <w:rPr>
          <w:rFonts w:asciiTheme="minorHAnsi" w:hAnsiTheme="minorHAnsi"/>
          <w:sz w:val="24"/>
          <w:lang w:val="pl-PL"/>
        </w:rPr>
        <w:t xml:space="preserve"> przed Trybunałem, jak też wszystkie podobne</w:t>
      </w:r>
      <w:r w:rsidR="00135EBB" w:rsidRPr="00ED0C6A">
        <w:rPr>
          <w:rFonts w:asciiTheme="minorHAnsi" w:hAnsiTheme="minorHAnsi"/>
          <w:sz w:val="24"/>
          <w:lang w:val="pl-PL"/>
        </w:rPr>
        <w:t xml:space="preserve"> skargi</w:t>
      </w:r>
      <w:r w:rsidR="00AB1DE2" w:rsidRPr="00ED0C6A">
        <w:rPr>
          <w:rFonts w:asciiTheme="minorHAnsi" w:hAnsiTheme="minorHAnsi"/>
          <w:sz w:val="24"/>
          <w:lang w:val="pl-PL"/>
        </w:rPr>
        <w:t>, które mogą zostać skierowane do Trybunału</w:t>
      </w:r>
      <w:r w:rsidR="00135EBB" w:rsidRPr="00ED0C6A">
        <w:rPr>
          <w:rFonts w:asciiTheme="minorHAnsi" w:hAnsiTheme="minorHAnsi"/>
          <w:sz w:val="24"/>
          <w:lang w:val="pl-PL"/>
        </w:rPr>
        <w:t xml:space="preserve"> w przyszłości</w:t>
      </w:r>
      <w:r w:rsidR="00AB1DE2" w:rsidRPr="00ED0C6A">
        <w:rPr>
          <w:rFonts w:asciiTheme="minorHAnsi" w:hAnsiTheme="minorHAnsi"/>
          <w:sz w:val="24"/>
          <w:lang w:val="pl-PL"/>
        </w:rPr>
        <w:t>, stanowią nieodłączną część procedury wykonywania wyroku pilotażowego. Ich roz</w:t>
      </w:r>
      <w:r w:rsidRPr="00ED0C6A">
        <w:rPr>
          <w:rFonts w:asciiTheme="minorHAnsi" w:hAnsiTheme="minorHAnsi"/>
          <w:sz w:val="24"/>
          <w:lang w:val="pl-PL"/>
        </w:rPr>
        <w:t>strzygnięcie</w:t>
      </w:r>
      <w:r w:rsidR="00AB1DE2" w:rsidRPr="00ED0C6A">
        <w:rPr>
          <w:rFonts w:asciiTheme="minorHAnsi" w:hAnsiTheme="minorHAnsi"/>
          <w:sz w:val="24"/>
          <w:lang w:val="pl-PL"/>
        </w:rPr>
        <w:t>, w</w:t>
      </w:r>
      <w:r w:rsidR="00827554">
        <w:rPr>
          <w:rFonts w:asciiTheme="minorHAnsi" w:hAnsiTheme="minorHAnsi"/>
          <w:sz w:val="24"/>
          <w:lang w:val="pl-PL"/>
        </w:rPr>
        <w:t> </w:t>
      </w:r>
      <w:r w:rsidR="00AB1DE2" w:rsidRPr="00ED0C6A">
        <w:rPr>
          <w:rFonts w:asciiTheme="minorHAnsi" w:hAnsiTheme="minorHAnsi"/>
          <w:sz w:val="24"/>
          <w:lang w:val="pl-PL"/>
        </w:rPr>
        <w:t>tym</w:t>
      </w:r>
      <w:r w:rsidR="00827554">
        <w:rPr>
          <w:rFonts w:asciiTheme="minorHAnsi" w:hAnsiTheme="minorHAnsi"/>
          <w:sz w:val="24"/>
          <w:lang w:val="pl-PL"/>
        </w:rPr>
        <w:t> </w:t>
      </w:r>
      <w:r w:rsidR="00AB1DE2" w:rsidRPr="00ED0C6A">
        <w:rPr>
          <w:rFonts w:asciiTheme="minorHAnsi" w:hAnsiTheme="minorHAnsi"/>
          <w:sz w:val="24"/>
          <w:lang w:val="pl-PL"/>
        </w:rPr>
        <w:t xml:space="preserve">indywidualne środki zadośćuczynienia, </w:t>
      </w:r>
      <w:r w:rsidRPr="00ED0C6A">
        <w:rPr>
          <w:rFonts w:asciiTheme="minorHAnsi" w:hAnsiTheme="minorHAnsi"/>
          <w:sz w:val="24"/>
          <w:lang w:val="pl-PL"/>
        </w:rPr>
        <w:t xml:space="preserve">powinny </w:t>
      </w:r>
      <w:r w:rsidR="00AB1DE2" w:rsidRPr="00ED0C6A">
        <w:rPr>
          <w:rFonts w:asciiTheme="minorHAnsi" w:hAnsiTheme="minorHAnsi"/>
          <w:sz w:val="24"/>
          <w:lang w:val="pl-PL"/>
        </w:rPr>
        <w:t xml:space="preserve">być objęte środkami generalnymi, które pozwane Państwo </w:t>
      </w:r>
      <w:r w:rsidRPr="00ED0C6A">
        <w:rPr>
          <w:rFonts w:asciiTheme="minorHAnsi" w:hAnsiTheme="minorHAnsi"/>
          <w:sz w:val="24"/>
          <w:lang w:val="pl-PL"/>
        </w:rPr>
        <w:t>ma obowiązek</w:t>
      </w:r>
      <w:r w:rsidR="00AB1DE2" w:rsidRPr="00ED0C6A">
        <w:rPr>
          <w:rFonts w:asciiTheme="minorHAnsi" w:hAnsiTheme="minorHAnsi"/>
          <w:sz w:val="24"/>
          <w:lang w:val="pl-PL"/>
        </w:rPr>
        <w:t xml:space="preserve"> wdrożyć pod nadzorem Komitetu Ministrów. </w:t>
      </w:r>
    </w:p>
    <w:p w:rsidR="00135EBB" w:rsidRPr="00ED0C6A" w:rsidRDefault="00135EBB"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W konsekwencji</w:t>
      </w:r>
      <w:r w:rsidR="00135EBB" w:rsidRPr="00ED0C6A">
        <w:rPr>
          <w:rFonts w:asciiTheme="minorHAnsi" w:hAnsiTheme="minorHAnsi"/>
          <w:sz w:val="24"/>
          <w:lang w:val="pl-PL"/>
        </w:rPr>
        <w:t xml:space="preserve"> Trybunał uznał</w:t>
      </w:r>
      <w:r w:rsidRPr="00ED0C6A">
        <w:rPr>
          <w:rFonts w:asciiTheme="minorHAnsi" w:hAnsiTheme="minorHAnsi"/>
          <w:sz w:val="24"/>
          <w:lang w:val="pl-PL"/>
        </w:rPr>
        <w:t xml:space="preserve">, </w:t>
      </w:r>
      <w:r w:rsidR="00135EBB" w:rsidRPr="00ED0C6A">
        <w:rPr>
          <w:rFonts w:asciiTheme="minorHAnsi" w:hAnsiTheme="minorHAnsi"/>
          <w:sz w:val="24"/>
          <w:lang w:val="pl-PL"/>
        </w:rPr>
        <w:t xml:space="preserve">że </w:t>
      </w:r>
      <w:r w:rsidRPr="00ED0C6A">
        <w:rPr>
          <w:rFonts w:asciiTheme="minorHAnsi" w:hAnsiTheme="minorHAnsi"/>
          <w:sz w:val="24"/>
          <w:lang w:val="pl-PL"/>
        </w:rPr>
        <w:t xml:space="preserve">wszystkie takie sprawy podlegają załatwieniu w ramach procedury wykonywania i </w:t>
      </w:r>
      <w:r w:rsidR="002D36FC" w:rsidRPr="00ED0C6A">
        <w:rPr>
          <w:rFonts w:asciiTheme="minorHAnsi" w:hAnsiTheme="minorHAnsi"/>
          <w:sz w:val="24"/>
          <w:lang w:val="pl-PL"/>
        </w:rPr>
        <w:t>należy je notyfikować</w:t>
      </w:r>
      <w:r w:rsidRPr="00ED0C6A">
        <w:rPr>
          <w:rFonts w:asciiTheme="minorHAnsi" w:hAnsiTheme="minorHAnsi"/>
          <w:sz w:val="24"/>
          <w:lang w:val="pl-PL"/>
        </w:rPr>
        <w:t xml:space="preserve"> Komitetowi Ministrów jako organowi, który</w:t>
      </w:r>
      <w:r w:rsidR="00827554">
        <w:rPr>
          <w:rFonts w:asciiTheme="minorHAnsi" w:hAnsiTheme="minorHAnsi"/>
          <w:sz w:val="24"/>
          <w:lang w:val="pl-PL"/>
        </w:rPr>
        <w:t> </w:t>
      </w:r>
      <w:r w:rsidRPr="00ED0C6A">
        <w:rPr>
          <w:rFonts w:asciiTheme="minorHAnsi" w:hAnsiTheme="minorHAnsi"/>
          <w:sz w:val="24"/>
          <w:lang w:val="pl-PL"/>
        </w:rPr>
        <w:t>na podstawie Konwencji ponosi odpowiedzialność za nadzorowanie zadośćuczynienia oraz zapewni</w:t>
      </w:r>
      <w:r w:rsidR="002D36FC" w:rsidRPr="00ED0C6A">
        <w:rPr>
          <w:rFonts w:asciiTheme="minorHAnsi" w:hAnsiTheme="minorHAnsi"/>
          <w:sz w:val="24"/>
          <w:lang w:val="pl-PL"/>
        </w:rPr>
        <w:t>a</w:t>
      </w:r>
      <w:r w:rsidRPr="00ED0C6A">
        <w:rPr>
          <w:rFonts w:asciiTheme="minorHAnsi" w:hAnsiTheme="minorHAnsi"/>
          <w:sz w:val="24"/>
          <w:lang w:val="pl-PL"/>
        </w:rPr>
        <w:t>ni</w:t>
      </w:r>
      <w:r w:rsidR="002D36FC" w:rsidRPr="00ED0C6A">
        <w:rPr>
          <w:rFonts w:asciiTheme="minorHAnsi" w:hAnsiTheme="minorHAnsi"/>
          <w:sz w:val="24"/>
          <w:lang w:val="pl-PL"/>
        </w:rPr>
        <w:t>e</w:t>
      </w:r>
      <w:r w:rsidRPr="00ED0C6A">
        <w:rPr>
          <w:rFonts w:asciiTheme="minorHAnsi" w:hAnsiTheme="minorHAnsi"/>
          <w:sz w:val="24"/>
          <w:lang w:val="pl-PL"/>
        </w:rPr>
        <w:t xml:space="preserve"> sprawiedliwości</w:t>
      </w:r>
      <w:r w:rsidR="000C5678" w:rsidRPr="00ED0C6A">
        <w:rPr>
          <w:rFonts w:asciiTheme="minorHAnsi" w:hAnsiTheme="minorHAnsi"/>
          <w:sz w:val="24"/>
          <w:lang w:val="pl-PL"/>
        </w:rPr>
        <w:t xml:space="preserve"> </w:t>
      </w:r>
      <w:r w:rsidR="002D36FC" w:rsidRPr="00ED0C6A">
        <w:rPr>
          <w:rFonts w:asciiTheme="minorHAnsi" w:hAnsiTheme="minorHAnsi"/>
          <w:sz w:val="24"/>
          <w:lang w:val="pl-PL"/>
        </w:rPr>
        <w:t>wszystkim</w:t>
      </w:r>
      <w:r w:rsidRPr="00ED0C6A">
        <w:rPr>
          <w:rFonts w:asciiTheme="minorHAnsi" w:hAnsiTheme="minorHAnsi"/>
          <w:sz w:val="24"/>
          <w:lang w:val="pl-PL"/>
        </w:rPr>
        <w:t xml:space="preserve"> ofiar</w:t>
      </w:r>
      <w:r w:rsidR="002D36FC" w:rsidRPr="00ED0C6A">
        <w:rPr>
          <w:rFonts w:asciiTheme="minorHAnsi" w:hAnsiTheme="minorHAnsi"/>
          <w:sz w:val="24"/>
          <w:lang w:val="pl-PL"/>
        </w:rPr>
        <w:t>om dotkniętym</w:t>
      </w:r>
      <w:r w:rsidRPr="00ED0C6A">
        <w:rPr>
          <w:rFonts w:asciiTheme="minorHAnsi" w:hAnsiTheme="minorHAnsi"/>
          <w:sz w:val="24"/>
          <w:lang w:val="pl-PL"/>
        </w:rPr>
        <w:t xml:space="preserve"> problemem systemowych stwierdzonym w wyroku pilotażowym.</w:t>
      </w:r>
    </w:p>
    <w:p w:rsidR="00135EBB" w:rsidRPr="00ED0C6A" w:rsidRDefault="00135EBB" w:rsidP="00F11942">
      <w:pPr>
        <w:pStyle w:val="ClinContent"/>
        <w:spacing w:before="0"/>
        <w:rPr>
          <w:rFonts w:asciiTheme="minorHAnsi" w:hAnsiTheme="minorHAnsi"/>
          <w:sz w:val="24"/>
          <w:lang w:val="pl-PL"/>
        </w:rPr>
      </w:pPr>
    </w:p>
    <w:p w:rsidR="00AB1DE2" w:rsidRPr="00ED0C6A" w:rsidRDefault="00AB1DE2" w:rsidP="00F11942">
      <w:pPr>
        <w:pStyle w:val="ClinContent"/>
        <w:spacing w:before="0"/>
        <w:rPr>
          <w:rFonts w:asciiTheme="minorHAnsi" w:hAnsiTheme="minorHAnsi"/>
          <w:sz w:val="24"/>
          <w:lang w:val="pl-PL"/>
        </w:rPr>
      </w:pPr>
      <w:r w:rsidRPr="00ED0C6A">
        <w:rPr>
          <w:rFonts w:asciiTheme="minorHAnsi" w:hAnsiTheme="minorHAnsi"/>
          <w:sz w:val="24"/>
          <w:lang w:val="pl-PL"/>
        </w:rPr>
        <w:t>Mając na względzie poszczególne kompetencje Trybunału i Komitetu Ministrów na</w:t>
      </w:r>
      <w:r w:rsidR="00827554">
        <w:rPr>
          <w:rFonts w:asciiTheme="minorHAnsi" w:hAnsiTheme="minorHAnsi"/>
          <w:sz w:val="24"/>
          <w:lang w:val="pl-PL"/>
        </w:rPr>
        <w:t> </w:t>
      </w:r>
      <w:r w:rsidRPr="00ED0C6A">
        <w:rPr>
          <w:rFonts w:asciiTheme="minorHAnsi" w:hAnsiTheme="minorHAnsi"/>
          <w:sz w:val="24"/>
          <w:lang w:val="pl-PL"/>
        </w:rPr>
        <w:t xml:space="preserve">podstawie art. 19 i 46 Konwencji, Trybunał </w:t>
      </w:r>
      <w:r w:rsidR="00135EBB" w:rsidRPr="00ED0C6A">
        <w:rPr>
          <w:rFonts w:asciiTheme="minorHAnsi" w:hAnsiTheme="minorHAnsi"/>
          <w:sz w:val="24"/>
          <w:lang w:val="pl-PL"/>
        </w:rPr>
        <w:t xml:space="preserve">był </w:t>
      </w:r>
      <w:r w:rsidRPr="00ED0C6A">
        <w:rPr>
          <w:rFonts w:asciiTheme="minorHAnsi" w:hAnsiTheme="minorHAnsi"/>
          <w:sz w:val="24"/>
          <w:lang w:val="pl-PL"/>
        </w:rPr>
        <w:t xml:space="preserve">zmuszony stwierdzić, że dalsze rozpatrywanie przez Trybunał </w:t>
      </w:r>
      <w:r w:rsidR="002D36FC" w:rsidRPr="00ED0C6A">
        <w:rPr>
          <w:rFonts w:asciiTheme="minorHAnsi" w:hAnsiTheme="minorHAnsi"/>
          <w:sz w:val="24"/>
          <w:lang w:val="pl-PL"/>
        </w:rPr>
        <w:t>przedmiotowych</w:t>
      </w:r>
      <w:r w:rsidRPr="00ED0C6A">
        <w:rPr>
          <w:rFonts w:asciiTheme="minorHAnsi" w:hAnsiTheme="minorHAnsi"/>
          <w:sz w:val="24"/>
          <w:lang w:val="pl-PL"/>
        </w:rPr>
        <w:t xml:space="preserve"> spraw zgodnie z dotychczas stosowaną praktyką</w:t>
      </w:r>
      <w:r w:rsidR="002D36FC" w:rsidRPr="00ED0C6A">
        <w:rPr>
          <w:rFonts w:asciiTheme="minorHAnsi" w:hAnsiTheme="minorHAnsi"/>
          <w:sz w:val="24"/>
          <w:lang w:val="pl-PL"/>
        </w:rPr>
        <w:t xml:space="preserve"> nie służyłoby żadnemu z celów Konwencji.</w:t>
      </w:r>
    </w:p>
    <w:p w:rsidR="00135EBB" w:rsidRPr="00ED0C6A" w:rsidRDefault="00135EBB" w:rsidP="00F11942">
      <w:pPr>
        <w:pStyle w:val="ClinContent"/>
        <w:spacing w:before="0"/>
        <w:rPr>
          <w:rFonts w:asciiTheme="minorHAnsi" w:hAnsiTheme="minorHAnsi"/>
          <w:sz w:val="24"/>
          <w:lang w:val="pl-PL"/>
        </w:rPr>
      </w:pPr>
    </w:p>
    <w:p w:rsidR="00AB1DE2" w:rsidRPr="00ED0C6A" w:rsidRDefault="00135EBB" w:rsidP="00F11942">
      <w:pPr>
        <w:pStyle w:val="ClinContent"/>
        <w:spacing w:before="0"/>
        <w:rPr>
          <w:rFonts w:asciiTheme="minorHAnsi" w:hAnsiTheme="minorHAnsi"/>
          <w:sz w:val="24"/>
          <w:lang w:val="pl-PL"/>
        </w:rPr>
      </w:pPr>
      <w:r w:rsidRPr="00ED0C6A">
        <w:rPr>
          <w:rFonts w:asciiTheme="minorHAnsi" w:hAnsiTheme="minorHAnsi"/>
          <w:sz w:val="24"/>
          <w:lang w:val="pl-PL"/>
        </w:rPr>
        <w:t>Z tego względu Trybunał zastosował a</w:t>
      </w:r>
      <w:r w:rsidR="00AB1DE2" w:rsidRPr="00ED0C6A">
        <w:rPr>
          <w:rFonts w:asciiTheme="minorHAnsi" w:hAnsiTheme="minorHAnsi"/>
          <w:sz w:val="24"/>
          <w:lang w:val="pl-PL"/>
        </w:rPr>
        <w:t>rt. 37</w:t>
      </w:r>
      <w:r w:rsidRPr="00ED0C6A">
        <w:rPr>
          <w:rFonts w:asciiTheme="minorHAnsi" w:hAnsiTheme="minorHAnsi"/>
          <w:sz w:val="24"/>
          <w:lang w:val="pl-PL"/>
        </w:rPr>
        <w:t xml:space="preserve"> Konwencji regulujący zasady skreślania skarg z</w:t>
      </w:r>
      <w:r w:rsidR="00827554">
        <w:rPr>
          <w:rFonts w:asciiTheme="minorHAnsi" w:hAnsiTheme="minorHAnsi"/>
          <w:sz w:val="24"/>
          <w:lang w:val="pl-PL"/>
        </w:rPr>
        <w:t> </w:t>
      </w:r>
      <w:r w:rsidRPr="00ED0C6A">
        <w:rPr>
          <w:rFonts w:asciiTheme="minorHAnsi" w:hAnsiTheme="minorHAnsi"/>
          <w:sz w:val="24"/>
          <w:lang w:val="pl-PL"/>
        </w:rPr>
        <w:t>listy spraw Trybunału. Uznał w tym względzie, że i</w:t>
      </w:r>
      <w:r w:rsidR="00AB1DE2" w:rsidRPr="00ED0C6A">
        <w:rPr>
          <w:rFonts w:asciiTheme="minorHAnsi" w:hAnsiTheme="minorHAnsi"/>
          <w:sz w:val="24"/>
          <w:lang w:val="pl-PL"/>
        </w:rPr>
        <w:t xml:space="preserve">nteresy skarżących i wszystkich innych obecnych lub potencjalnych ofiar </w:t>
      </w:r>
      <w:r w:rsidR="00BE7F66" w:rsidRPr="00ED0C6A">
        <w:rPr>
          <w:rFonts w:asciiTheme="minorHAnsi" w:hAnsiTheme="minorHAnsi"/>
          <w:sz w:val="24"/>
          <w:lang w:val="pl-PL"/>
        </w:rPr>
        <w:t xml:space="preserve">tego </w:t>
      </w:r>
      <w:r w:rsidR="00AB1DE2" w:rsidRPr="00ED0C6A">
        <w:rPr>
          <w:rFonts w:asciiTheme="minorHAnsi" w:hAnsiTheme="minorHAnsi"/>
          <w:sz w:val="24"/>
          <w:lang w:val="pl-PL"/>
        </w:rPr>
        <w:t xml:space="preserve">problemu systemowego </w:t>
      </w:r>
      <w:r w:rsidRPr="00ED0C6A">
        <w:rPr>
          <w:rFonts w:asciiTheme="minorHAnsi" w:hAnsiTheme="minorHAnsi"/>
          <w:sz w:val="24"/>
          <w:lang w:val="pl-PL"/>
        </w:rPr>
        <w:t xml:space="preserve">na Ukrainie </w:t>
      </w:r>
      <w:r w:rsidR="00AB1DE2" w:rsidRPr="00ED0C6A">
        <w:rPr>
          <w:rFonts w:asciiTheme="minorHAnsi" w:hAnsiTheme="minorHAnsi"/>
          <w:sz w:val="24"/>
          <w:lang w:val="pl-PL"/>
        </w:rPr>
        <w:t>będą lepiej chronione w pro</w:t>
      </w:r>
      <w:r w:rsidRPr="00ED0C6A">
        <w:rPr>
          <w:rFonts w:asciiTheme="minorHAnsi" w:hAnsiTheme="minorHAnsi"/>
          <w:sz w:val="24"/>
          <w:lang w:val="pl-PL"/>
        </w:rPr>
        <w:t>cedurze</w:t>
      </w:r>
      <w:r w:rsidR="00AB1DE2" w:rsidRPr="00ED0C6A">
        <w:rPr>
          <w:rFonts w:asciiTheme="minorHAnsi" w:hAnsiTheme="minorHAnsi"/>
          <w:sz w:val="24"/>
          <w:lang w:val="pl-PL"/>
        </w:rPr>
        <w:t xml:space="preserve"> wykonywania. Dalsze </w:t>
      </w:r>
      <w:r w:rsidR="00BE7F66" w:rsidRPr="00ED0C6A">
        <w:rPr>
          <w:rFonts w:asciiTheme="minorHAnsi" w:hAnsiTheme="minorHAnsi"/>
          <w:sz w:val="24"/>
          <w:lang w:val="pl-PL"/>
        </w:rPr>
        <w:t>prowadzeni</w:t>
      </w:r>
      <w:r w:rsidR="00AB1DE2" w:rsidRPr="00ED0C6A">
        <w:rPr>
          <w:rFonts w:asciiTheme="minorHAnsi" w:hAnsiTheme="minorHAnsi"/>
          <w:sz w:val="24"/>
          <w:lang w:val="pl-PL"/>
        </w:rPr>
        <w:t xml:space="preserve">e </w:t>
      </w:r>
      <w:r w:rsidRPr="00ED0C6A">
        <w:rPr>
          <w:rFonts w:asciiTheme="minorHAnsi" w:hAnsiTheme="minorHAnsi"/>
          <w:sz w:val="24"/>
          <w:lang w:val="pl-PL"/>
        </w:rPr>
        <w:t xml:space="preserve">przez Trybunał </w:t>
      </w:r>
      <w:r w:rsidR="00AB1DE2" w:rsidRPr="00ED0C6A">
        <w:rPr>
          <w:rFonts w:asciiTheme="minorHAnsi" w:hAnsiTheme="minorHAnsi"/>
          <w:sz w:val="24"/>
          <w:lang w:val="pl-PL"/>
        </w:rPr>
        <w:t xml:space="preserve">spraw wniesionych po wyroku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i/>
          <w:sz w:val="24"/>
          <w:lang w:val="pl-PL"/>
        </w:rPr>
        <w:t xml:space="preserve"> </w:t>
      </w:r>
      <w:r w:rsidR="00BE7F66" w:rsidRPr="00ED0C6A">
        <w:rPr>
          <w:rFonts w:asciiTheme="minorHAnsi" w:hAnsiTheme="minorHAnsi"/>
          <w:sz w:val="24"/>
          <w:lang w:val="pl-PL"/>
        </w:rPr>
        <w:t>nie przysłużyłoby się</w:t>
      </w:r>
      <w:r w:rsidR="00AB1DE2" w:rsidRPr="00ED0C6A">
        <w:rPr>
          <w:rFonts w:asciiTheme="minorHAnsi" w:hAnsiTheme="minorHAnsi"/>
          <w:sz w:val="24"/>
          <w:lang w:val="pl-PL"/>
        </w:rPr>
        <w:t xml:space="preserve"> celom Konwencji</w:t>
      </w:r>
      <w:r w:rsidR="00BE7F66" w:rsidRPr="00ED0C6A">
        <w:rPr>
          <w:rFonts w:asciiTheme="minorHAnsi" w:hAnsiTheme="minorHAnsi"/>
          <w:sz w:val="24"/>
          <w:lang w:val="pl-PL"/>
        </w:rPr>
        <w:t xml:space="preserve"> jako takim</w:t>
      </w:r>
      <w:r w:rsidR="00AB1DE2" w:rsidRPr="00ED0C6A">
        <w:rPr>
          <w:rFonts w:asciiTheme="minorHAnsi" w:hAnsiTheme="minorHAnsi"/>
          <w:sz w:val="24"/>
          <w:lang w:val="pl-PL"/>
        </w:rPr>
        <w:t xml:space="preserve">, a zatem </w:t>
      </w:r>
      <w:r w:rsidR="000C5678" w:rsidRPr="00ED0C6A">
        <w:rPr>
          <w:rFonts w:asciiTheme="minorHAnsi" w:hAnsiTheme="minorHAnsi"/>
          <w:sz w:val="24"/>
          <w:lang w:val="pl-PL"/>
        </w:rPr>
        <w:t>w</w:t>
      </w:r>
      <w:r w:rsidR="00827554">
        <w:rPr>
          <w:rFonts w:asciiTheme="minorHAnsi" w:hAnsiTheme="minorHAnsi"/>
          <w:sz w:val="24"/>
          <w:lang w:val="pl-PL"/>
        </w:rPr>
        <w:t> </w:t>
      </w:r>
      <w:r w:rsidR="000C5678" w:rsidRPr="00ED0C6A">
        <w:rPr>
          <w:rFonts w:asciiTheme="minorHAnsi" w:hAnsiTheme="minorHAnsi"/>
          <w:sz w:val="24"/>
          <w:lang w:val="pl-PL"/>
        </w:rPr>
        <w:t>rozumieniu art. 37 ust. 1 lit. c Konwencji</w:t>
      </w:r>
      <w:r w:rsidR="004052E6" w:rsidRPr="00ED0C6A">
        <w:rPr>
          <w:rFonts w:asciiTheme="minorHAnsi" w:hAnsiTheme="minorHAnsi"/>
          <w:sz w:val="24"/>
          <w:lang w:val="pl-PL"/>
        </w:rPr>
        <w:t xml:space="preserve"> nie jest uzasadnione dalsze rozpatrywanie sprawy przez Trybunał</w:t>
      </w:r>
      <w:r w:rsidR="00AB1DE2" w:rsidRPr="00ED0C6A">
        <w:rPr>
          <w:rFonts w:asciiTheme="minorHAnsi" w:hAnsiTheme="minorHAnsi"/>
          <w:sz w:val="24"/>
          <w:lang w:val="pl-PL"/>
        </w:rPr>
        <w:t xml:space="preserve">.   </w:t>
      </w:r>
    </w:p>
    <w:p w:rsidR="00135EBB" w:rsidRPr="00ED0C6A" w:rsidRDefault="00135EBB" w:rsidP="00F11942">
      <w:pPr>
        <w:pStyle w:val="ClinContent"/>
        <w:spacing w:before="0"/>
        <w:rPr>
          <w:rFonts w:asciiTheme="minorHAnsi" w:hAnsiTheme="minorHAnsi"/>
          <w:sz w:val="24"/>
          <w:lang w:val="pl-PL"/>
        </w:rPr>
      </w:pPr>
    </w:p>
    <w:p w:rsidR="00AB1DE2" w:rsidRPr="00ED0C6A" w:rsidRDefault="00135EBB" w:rsidP="00F11942">
      <w:pPr>
        <w:pStyle w:val="ClinContent"/>
        <w:spacing w:before="0"/>
        <w:rPr>
          <w:rFonts w:asciiTheme="minorHAnsi" w:hAnsiTheme="minorHAnsi"/>
          <w:sz w:val="24"/>
          <w:lang w:val="pl-PL"/>
        </w:rPr>
      </w:pPr>
      <w:r w:rsidRPr="00ED0C6A">
        <w:rPr>
          <w:rFonts w:asciiTheme="minorHAnsi" w:hAnsiTheme="minorHAnsi"/>
          <w:sz w:val="24"/>
          <w:lang w:val="pl-PL"/>
        </w:rPr>
        <w:t>Trybunał podkreślił, że z</w:t>
      </w:r>
      <w:r w:rsidR="00AB1DE2" w:rsidRPr="00ED0C6A">
        <w:rPr>
          <w:rFonts w:asciiTheme="minorHAnsi" w:hAnsiTheme="minorHAnsi"/>
          <w:sz w:val="24"/>
          <w:lang w:val="pl-PL"/>
        </w:rPr>
        <w:t xml:space="preserve">arzuty podniesione w tych skargach </w:t>
      </w:r>
      <w:r w:rsidRPr="00ED0C6A">
        <w:rPr>
          <w:rFonts w:asciiTheme="minorHAnsi" w:hAnsiTheme="minorHAnsi"/>
          <w:sz w:val="24"/>
          <w:lang w:val="pl-PL"/>
        </w:rPr>
        <w:t>powinny zostać rozpatrzone</w:t>
      </w:r>
      <w:r w:rsidR="00AB1DE2" w:rsidRPr="00ED0C6A">
        <w:rPr>
          <w:rFonts w:asciiTheme="minorHAnsi" w:hAnsiTheme="minorHAnsi"/>
          <w:sz w:val="24"/>
          <w:lang w:val="pl-PL"/>
        </w:rPr>
        <w:t xml:space="preserve"> w</w:t>
      </w:r>
      <w:r w:rsidR="00827554">
        <w:rPr>
          <w:rFonts w:asciiTheme="minorHAnsi" w:hAnsiTheme="minorHAnsi"/>
          <w:sz w:val="24"/>
          <w:lang w:val="pl-PL"/>
        </w:rPr>
        <w:t> </w:t>
      </w:r>
      <w:r w:rsidR="00AB1DE2" w:rsidRPr="00ED0C6A">
        <w:rPr>
          <w:rFonts w:asciiTheme="minorHAnsi" w:hAnsiTheme="minorHAnsi"/>
          <w:sz w:val="24"/>
          <w:lang w:val="pl-PL"/>
        </w:rPr>
        <w:t xml:space="preserve">kontekście środków generalnych wymaganych </w:t>
      </w:r>
      <w:r w:rsidRPr="00ED0C6A">
        <w:rPr>
          <w:rFonts w:asciiTheme="minorHAnsi" w:hAnsiTheme="minorHAnsi"/>
          <w:sz w:val="24"/>
          <w:lang w:val="pl-PL"/>
        </w:rPr>
        <w:t xml:space="preserve">do </w:t>
      </w:r>
      <w:r w:rsidR="00AB1DE2" w:rsidRPr="00ED0C6A">
        <w:rPr>
          <w:rFonts w:asciiTheme="minorHAnsi" w:hAnsiTheme="minorHAnsi"/>
          <w:sz w:val="24"/>
          <w:lang w:val="pl-PL"/>
        </w:rPr>
        <w:t xml:space="preserve">wykonania wyroku pilotażowego </w:t>
      </w:r>
      <w:proofErr w:type="spellStart"/>
      <w:r w:rsidR="00AB1DE2" w:rsidRPr="00ED0C6A">
        <w:rPr>
          <w:rFonts w:asciiTheme="minorHAnsi" w:hAnsiTheme="minorHAnsi"/>
          <w:i/>
          <w:sz w:val="24"/>
          <w:lang w:val="pl-PL"/>
        </w:rPr>
        <w:t>Ivanov</w:t>
      </w:r>
      <w:proofErr w:type="spellEnd"/>
      <w:r w:rsidR="00AB1DE2" w:rsidRPr="00ED0C6A">
        <w:rPr>
          <w:rFonts w:asciiTheme="minorHAnsi" w:hAnsiTheme="minorHAnsi"/>
          <w:i/>
          <w:sz w:val="24"/>
          <w:lang w:val="pl-PL"/>
        </w:rPr>
        <w:t xml:space="preserve">, </w:t>
      </w:r>
      <w:r w:rsidR="00AB1DE2" w:rsidRPr="00ED0C6A">
        <w:rPr>
          <w:rFonts w:asciiTheme="minorHAnsi" w:hAnsiTheme="minorHAnsi"/>
          <w:sz w:val="24"/>
          <w:lang w:val="pl-PL"/>
        </w:rPr>
        <w:t>w tym</w:t>
      </w:r>
      <w:r w:rsidR="00AB1DE2" w:rsidRPr="00ED0C6A">
        <w:rPr>
          <w:rFonts w:asciiTheme="minorHAnsi" w:hAnsiTheme="minorHAnsi"/>
          <w:i/>
          <w:sz w:val="24"/>
          <w:lang w:val="pl-PL"/>
        </w:rPr>
        <w:t xml:space="preserve"> </w:t>
      </w:r>
      <w:r w:rsidR="006D635D" w:rsidRPr="00ED0C6A">
        <w:rPr>
          <w:rFonts w:asciiTheme="minorHAnsi" w:hAnsiTheme="minorHAnsi"/>
          <w:sz w:val="24"/>
          <w:lang w:val="pl-PL"/>
        </w:rPr>
        <w:t>rozwiązań</w:t>
      </w:r>
      <w:r w:rsidR="006D635D" w:rsidRPr="00ED0C6A">
        <w:rPr>
          <w:rFonts w:asciiTheme="minorHAnsi" w:hAnsiTheme="minorHAnsi"/>
          <w:i/>
          <w:sz w:val="24"/>
          <w:lang w:val="pl-PL"/>
        </w:rPr>
        <w:t xml:space="preserve"> </w:t>
      </w:r>
      <w:r w:rsidR="006D635D" w:rsidRPr="00ED0C6A">
        <w:rPr>
          <w:rFonts w:asciiTheme="minorHAnsi" w:hAnsiTheme="minorHAnsi"/>
          <w:sz w:val="24"/>
          <w:lang w:val="pl-PL"/>
        </w:rPr>
        <w:t xml:space="preserve">odnoszących się do </w:t>
      </w:r>
      <w:r w:rsidR="00AB1DE2" w:rsidRPr="00ED0C6A">
        <w:rPr>
          <w:rFonts w:asciiTheme="minorHAnsi" w:hAnsiTheme="minorHAnsi"/>
          <w:sz w:val="24"/>
          <w:lang w:val="pl-PL"/>
        </w:rPr>
        <w:t xml:space="preserve">odpowiedniego i dostatecznego zadośćuczynienia </w:t>
      </w:r>
      <w:r w:rsidR="004052E6" w:rsidRPr="00ED0C6A">
        <w:rPr>
          <w:rFonts w:asciiTheme="minorHAnsi" w:hAnsiTheme="minorHAnsi"/>
          <w:sz w:val="24"/>
          <w:lang w:val="pl-PL"/>
        </w:rPr>
        <w:t>za</w:t>
      </w:r>
      <w:r w:rsidR="00827554">
        <w:rPr>
          <w:rFonts w:asciiTheme="minorHAnsi" w:hAnsiTheme="minorHAnsi"/>
          <w:sz w:val="24"/>
          <w:lang w:val="pl-PL"/>
        </w:rPr>
        <w:t> </w:t>
      </w:r>
      <w:r w:rsidR="00AB1DE2" w:rsidRPr="00ED0C6A">
        <w:rPr>
          <w:rFonts w:asciiTheme="minorHAnsi" w:hAnsiTheme="minorHAnsi"/>
          <w:sz w:val="24"/>
          <w:lang w:val="pl-PL"/>
        </w:rPr>
        <w:t>stwierdzon</w:t>
      </w:r>
      <w:r w:rsidR="004052E6" w:rsidRPr="00ED0C6A">
        <w:rPr>
          <w:rFonts w:asciiTheme="minorHAnsi" w:hAnsiTheme="minorHAnsi"/>
          <w:sz w:val="24"/>
          <w:lang w:val="pl-PL"/>
        </w:rPr>
        <w:t>e</w:t>
      </w:r>
      <w:r w:rsidR="00AB1DE2" w:rsidRPr="00ED0C6A">
        <w:rPr>
          <w:rFonts w:asciiTheme="minorHAnsi" w:hAnsiTheme="minorHAnsi"/>
          <w:sz w:val="24"/>
          <w:lang w:val="pl-PL"/>
        </w:rPr>
        <w:t xml:space="preserve"> w tamtym wyroku narusze</w:t>
      </w:r>
      <w:r w:rsidR="004052E6" w:rsidRPr="00ED0C6A">
        <w:rPr>
          <w:rFonts w:asciiTheme="minorHAnsi" w:hAnsiTheme="minorHAnsi"/>
          <w:sz w:val="24"/>
          <w:lang w:val="pl-PL"/>
        </w:rPr>
        <w:t>nia</w:t>
      </w:r>
      <w:r w:rsidR="00AB1DE2" w:rsidRPr="00ED0C6A">
        <w:rPr>
          <w:rFonts w:asciiTheme="minorHAnsi" w:hAnsiTheme="minorHAnsi"/>
          <w:sz w:val="24"/>
          <w:lang w:val="pl-PL"/>
        </w:rPr>
        <w:t xml:space="preserve"> Konwencji</w:t>
      </w:r>
      <w:r w:rsidR="006D635D" w:rsidRPr="00ED0C6A">
        <w:rPr>
          <w:rFonts w:asciiTheme="minorHAnsi" w:hAnsiTheme="minorHAnsi"/>
          <w:sz w:val="24"/>
          <w:lang w:val="pl-PL"/>
        </w:rPr>
        <w:t>.</w:t>
      </w:r>
      <w:r w:rsidR="00AB1DE2" w:rsidRPr="00ED0C6A">
        <w:rPr>
          <w:rFonts w:asciiTheme="minorHAnsi" w:hAnsiTheme="minorHAnsi"/>
          <w:sz w:val="24"/>
          <w:lang w:val="pl-PL"/>
        </w:rPr>
        <w:t xml:space="preserve"> </w:t>
      </w:r>
      <w:r w:rsidR="006D635D" w:rsidRPr="00ED0C6A">
        <w:rPr>
          <w:rFonts w:asciiTheme="minorHAnsi" w:hAnsiTheme="minorHAnsi"/>
          <w:sz w:val="24"/>
          <w:lang w:val="pl-PL"/>
        </w:rPr>
        <w:t>Ś</w:t>
      </w:r>
      <w:r w:rsidR="00AB1DE2" w:rsidRPr="00ED0C6A">
        <w:rPr>
          <w:rFonts w:asciiTheme="minorHAnsi" w:hAnsiTheme="minorHAnsi"/>
          <w:sz w:val="24"/>
          <w:lang w:val="pl-PL"/>
        </w:rPr>
        <w:t xml:space="preserve">rodki te podlegają nadzorowi Komitetu Ministrów. A zatem, poszanowanie praw człowieka w rozumieniu art. 37 ust. 1 </w:t>
      </w:r>
      <w:r w:rsidR="00AB1DE2" w:rsidRPr="00ED0C6A">
        <w:rPr>
          <w:rFonts w:asciiTheme="minorHAnsi" w:hAnsiTheme="minorHAnsi"/>
          <w:i/>
          <w:sz w:val="24"/>
          <w:lang w:val="pl-PL"/>
        </w:rPr>
        <w:t>in</w:t>
      </w:r>
      <w:r w:rsidR="00827554">
        <w:rPr>
          <w:rFonts w:asciiTheme="minorHAnsi" w:hAnsiTheme="minorHAnsi"/>
          <w:i/>
          <w:sz w:val="24"/>
          <w:lang w:val="pl-PL"/>
        </w:rPr>
        <w:t> </w:t>
      </w:r>
      <w:r w:rsidR="00AB1DE2" w:rsidRPr="00ED0C6A">
        <w:rPr>
          <w:rFonts w:asciiTheme="minorHAnsi" w:hAnsiTheme="minorHAnsi"/>
          <w:i/>
          <w:sz w:val="24"/>
          <w:lang w:val="pl-PL"/>
        </w:rPr>
        <w:t>fine</w:t>
      </w:r>
      <w:r w:rsidR="00AB1DE2" w:rsidRPr="00ED0C6A">
        <w:rPr>
          <w:rFonts w:asciiTheme="minorHAnsi" w:hAnsiTheme="minorHAnsi"/>
          <w:sz w:val="24"/>
          <w:lang w:val="pl-PL"/>
        </w:rPr>
        <w:t xml:space="preserve"> nie wymaga dalszego rozpatrywania</w:t>
      </w:r>
      <w:r w:rsidR="00AB1DE2" w:rsidRPr="00ED0C6A">
        <w:rPr>
          <w:rFonts w:asciiTheme="minorHAnsi" w:hAnsiTheme="minorHAnsi"/>
          <w:i/>
          <w:sz w:val="24"/>
          <w:lang w:val="pl-PL"/>
        </w:rPr>
        <w:t xml:space="preserve"> </w:t>
      </w:r>
      <w:r w:rsidR="006D635D" w:rsidRPr="00ED0C6A">
        <w:rPr>
          <w:rFonts w:asciiTheme="minorHAnsi" w:hAnsiTheme="minorHAnsi"/>
          <w:sz w:val="24"/>
          <w:lang w:val="pl-PL"/>
        </w:rPr>
        <w:t xml:space="preserve">przez Trybunał </w:t>
      </w:r>
      <w:r w:rsidR="004052E6" w:rsidRPr="00ED0C6A">
        <w:rPr>
          <w:rFonts w:asciiTheme="minorHAnsi" w:hAnsiTheme="minorHAnsi"/>
          <w:sz w:val="24"/>
          <w:lang w:val="pl-PL"/>
        </w:rPr>
        <w:t>przedmiotowych</w:t>
      </w:r>
      <w:r w:rsidR="006D635D" w:rsidRPr="00ED0C6A">
        <w:rPr>
          <w:rFonts w:asciiTheme="minorHAnsi" w:hAnsiTheme="minorHAnsi"/>
          <w:i/>
          <w:sz w:val="24"/>
          <w:lang w:val="pl-PL"/>
        </w:rPr>
        <w:t xml:space="preserve"> </w:t>
      </w:r>
      <w:r w:rsidR="00AB1DE2" w:rsidRPr="00ED0C6A">
        <w:rPr>
          <w:rFonts w:asciiTheme="minorHAnsi" w:hAnsiTheme="minorHAnsi"/>
          <w:sz w:val="24"/>
          <w:lang w:val="pl-PL"/>
        </w:rPr>
        <w:t xml:space="preserve">skarg z punktu widzenia indywidualnego zadośćuczynienia. </w:t>
      </w:r>
      <w:r w:rsidR="004052E6" w:rsidRPr="00ED0C6A">
        <w:rPr>
          <w:rFonts w:asciiTheme="minorHAnsi" w:hAnsiTheme="minorHAnsi"/>
          <w:sz w:val="24"/>
          <w:lang w:val="pl-PL"/>
        </w:rPr>
        <w:t xml:space="preserve">Ze sprawami tymi </w:t>
      </w:r>
      <w:r w:rsidR="00AB1DE2" w:rsidRPr="00ED0C6A">
        <w:rPr>
          <w:rFonts w:asciiTheme="minorHAnsi" w:hAnsiTheme="minorHAnsi"/>
          <w:sz w:val="24"/>
          <w:lang w:val="pl-PL"/>
        </w:rPr>
        <w:t xml:space="preserve">nie </w:t>
      </w:r>
      <w:r w:rsidR="004052E6" w:rsidRPr="00ED0C6A">
        <w:rPr>
          <w:rFonts w:asciiTheme="minorHAnsi" w:hAnsiTheme="minorHAnsi"/>
          <w:sz w:val="24"/>
          <w:lang w:val="pl-PL"/>
        </w:rPr>
        <w:t xml:space="preserve">wiążą się </w:t>
      </w:r>
      <w:r w:rsidR="009C2BC0" w:rsidRPr="00ED0C6A">
        <w:rPr>
          <w:rFonts w:asciiTheme="minorHAnsi" w:hAnsiTheme="minorHAnsi"/>
          <w:sz w:val="24"/>
          <w:lang w:val="pl-PL"/>
        </w:rPr>
        <w:t xml:space="preserve">też </w:t>
      </w:r>
      <w:r w:rsidR="004052E6" w:rsidRPr="00ED0C6A">
        <w:rPr>
          <w:rFonts w:asciiTheme="minorHAnsi" w:hAnsiTheme="minorHAnsi"/>
          <w:sz w:val="24"/>
          <w:lang w:val="pl-PL"/>
        </w:rPr>
        <w:t>żadne ważne</w:t>
      </w:r>
      <w:r w:rsidR="00AB1DE2" w:rsidRPr="00ED0C6A">
        <w:rPr>
          <w:rFonts w:asciiTheme="minorHAnsi" w:hAnsiTheme="minorHAnsi"/>
          <w:sz w:val="24"/>
          <w:lang w:val="pl-PL"/>
        </w:rPr>
        <w:t xml:space="preserve"> kwes</w:t>
      </w:r>
      <w:r w:rsidR="004052E6" w:rsidRPr="00ED0C6A">
        <w:rPr>
          <w:rFonts w:asciiTheme="minorHAnsi" w:hAnsiTheme="minorHAnsi"/>
          <w:sz w:val="24"/>
          <w:lang w:val="pl-PL"/>
        </w:rPr>
        <w:t>tie dotyczące</w:t>
      </w:r>
      <w:r w:rsidR="006D635D" w:rsidRPr="00ED0C6A">
        <w:rPr>
          <w:rFonts w:asciiTheme="minorHAnsi" w:hAnsiTheme="minorHAnsi"/>
          <w:sz w:val="24"/>
          <w:lang w:val="pl-PL"/>
        </w:rPr>
        <w:t xml:space="preserve"> </w:t>
      </w:r>
      <w:r w:rsidR="00AB1DE2" w:rsidRPr="00ED0C6A">
        <w:rPr>
          <w:rFonts w:asciiTheme="minorHAnsi" w:hAnsiTheme="minorHAnsi"/>
          <w:sz w:val="24"/>
          <w:lang w:val="pl-PL"/>
        </w:rPr>
        <w:t>obowiązków</w:t>
      </w:r>
      <w:r w:rsidR="009C2BC0" w:rsidRPr="00ED0C6A">
        <w:rPr>
          <w:rFonts w:asciiTheme="minorHAnsi" w:hAnsiTheme="minorHAnsi"/>
          <w:sz w:val="24"/>
          <w:lang w:val="pl-PL"/>
        </w:rPr>
        <w:t xml:space="preserve"> bardziej ogólnych</w:t>
      </w:r>
      <w:r w:rsidR="00AB1DE2" w:rsidRPr="00ED0C6A">
        <w:rPr>
          <w:rFonts w:asciiTheme="minorHAnsi" w:hAnsiTheme="minorHAnsi"/>
          <w:sz w:val="24"/>
          <w:lang w:val="pl-PL"/>
        </w:rPr>
        <w:t xml:space="preserve">, których powinny przestrzegać Układające się Państwa w </w:t>
      </w:r>
      <w:r w:rsidR="009C2BC0" w:rsidRPr="00ED0C6A">
        <w:rPr>
          <w:rFonts w:asciiTheme="minorHAnsi" w:hAnsiTheme="minorHAnsi"/>
          <w:sz w:val="24"/>
          <w:lang w:val="pl-PL"/>
        </w:rPr>
        <w:t>tej dziedzinie</w:t>
      </w:r>
      <w:r w:rsidR="00AB1DE2" w:rsidRPr="00ED0C6A">
        <w:rPr>
          <w:rFonts w:asciiTheme="minorHAnsi" w:hAnsiTheme="minorHAnsi"/>
          <w:sz w:val="24"/>
          <w:lang w:val="pl-PL"/>
        </w:rPr>
        <w:t>,</w:t>
      </w:r>
      <w:r w:rsidR="006D635D" w:rsidRPr="00ED0C6A">
        <w:rPr>
          <w:rFonts w:asciiTheme="minorHAnsi" w:hAnsiTheme="minorHAnsi"/>
          <w:sz w:val="24"/>
          <w:lang w:val="pl-PL"/>
        </w:rPr>
        <w:t xml:space="preserve"> </w:t>
      </w:r>
      <w:r w:rsidR="009C2BC0" w:rsidRPr="00ED0C6A">
        <w:rPr>
          <w:rFonts w:asciiTheme="minorHAnsi" w:hAnsiTheme="minorHAnsi"/>
          <w:sz w:val="24"/>
          <w:lang w:val="pl-PL"/>
        </w:rPr>
        <w:t xml:space="preserve">a </w:t>
      </w:r>
      <w:r w:rsidR="006D635D" w:rsidRPr="00ED0C6A">
        <w:rPr>
          <w:rFonts w:asciiTheme="minorHAnsi" w:hAnsiTheme="minorHAnsi"/>
          <w:sz w:val="24"/>
          <w:lang w:val="pl-PL"/>
        </w:rPr>
        <w:t>które wykraczałyby</w:t>
      </w:r>
      <w:r w:rsidR="00AB1DE2" w:rsidRPr="00ED0C6A">
        <w:rPr>
          <w:rFonts w:asciiTheme="minorHAnsi" w:hAnsiTheme="minorHAnsi"/>
          <w:sz w:val="24"/>
          <w:lang w:val="pl-PL"/>
        </w:rPr>
        <w:t xml:space="preserve"> poza </w:t>
      </w:r>
      <w:r w:rsidR="006D635D" w:rsidRPr="00ED0C6A">
        <w:rPr>
          <w:rFonts w:asciiTheme="minorHAnsi" w:hAnsiTheme="minorHAnsi"/>
          <w:sz w:val="24"/>
          <w:lang w:val="pl-PL"/>
        </w:rPr>
        <w:t>obowiązki</w:t>
      </w:r>
      <w:r w:rsidR="00AB1DE2" w:rsidRPr="00ED0C6A">
        <w:rPr>
          <w:rFonts w:asciiTheme="minorHAnsi" w:hAnsiTheme="minorHAnsi"/>
          <w:sz w:val="24"/>
          <w:lang w:val="pl-PL"/>
        </w:rPr>
        <w:t xml:space="preserve"> </w:t>
      </w:r>
      <w:r w:rsidR="009C2BC0" w:rsidRPr="00ED0C6A">
        <w:rPr>
          <w:rFonts w:asciiTheme="minorHAnsi" w:hAnsiTheme="minorHAnsi"/>
          <w:sz w:val="24"/>
          <w:lang w:val="pl-PL"/>
        </w:rPr>
        <w:t xml:space="preserve">już </w:t>
      </w:r>
      <w:r w:rsidR="00AB1DE2" w:rsidRPr="00ED0C6A">
        <w:rPr>
          <w:rFonts w:asciiTheme="minorHAnsi" w:hAnsiTheme="minorHAnsi"/>
          <w:sz w:val="24"/>
          <w:lang w:val="pl-PL"/>
        </w:rPr>
        <w:t xml:space="preserve">wyjaśnione </w:t>
      </w:r>
      <w:r w:rsidR="006D635D" w:rsidRPr="00ED0C6A">
        <w:rPr>
          <w:rFonts w:asciiTheme="minorHAnsi" w:hAnsiTheme="minorHAnsi"/>
          <w:sz w:val="24"/>
          <w:lang w:val="pl-PL"/>
        </w:rPr>
        <w:t>przez</w:t>
      </w:r>
      <w:r w:rsidR="00827554">
        <w:rPr>
          <w:rFonts w:asciiTheme="minorHAnsi" w:hAnsiTheme="minorHAnsi"/>
          <w:sz w:val="24"/>
          <w:lang w:val="pl-PL"/>
        </w:rPr>
        <w:t> </w:t>
      </w:r>
      <w:r w:rsidR="006D635D" w:rsidRPr="00ED0C6A">
        <w:rPr>
          <w:rFonts w:asciiTheme="minorHAnsi" w:hAnsiTheme="minorHAnsi"/>
          <w:sz w:val="24"/>
          <w:lang w:val="pl-PL"/>
        </w:rPr>
        <w:t xml:space="preserve">Trybunał </w:t>
      </w:r>
      <w:r w:rsidR="00AB1DE2" w:rsidRPr="00ED0C6A">
        <w:rPr>
          <w:rFonts w:asciiTheme="minorHAnsi" w:hAnsiTheme="minorHAnsi"/>
          <w:sz w:val="24"/>
          <w:lang w:val="pl-PL"/>
        </w:rPr>
        <w:t>w różnych fazach procedury wyroku pilotażowego. Wręcz przeciwnie</w:t>
      </w:r>
      <w:r w:rsidR="00A3169D" w:rsidRPr="00ED0C6A">
        <w:rPr>
          <w:rFonts w:asciiTheme="minorHAnsi" w:hAnsiTheme="minorHAnsi"/>
          <w:sz w:val="24"/>
          <w:lang w:val="pl-PL"/>
        </w:rPr>
        <w:t xml:space="preserve"> -</w:t>
      </w:r>
      <w:r w:rsidR="00AB1DE2" w:rsidRPr="00ED0C6A">
        <w:rPr>
          <w:rFonts w:asciiTheme="minorHAnsi" w:hAnsiTheme="minorHAnsi"/>
          <w:sz w:val="24"/>
          <w:lang w:val="pl-PL"/>
        </w:rPr>
        <w:t xml:space="preserve"> całościowy interes odpowiedniego i skutecznego funkcjonowania systemu Konwencji przemawia za podejściem wyrażonym przez Trybunał</w:t>
      </w:r>
      <w:r w:rsidR="00A3169D" w:rsidRPr="00ED0C6A">
        <w:rPr>
          <w:rFonts w:asciiTheme="minorHAnsi" w:hAnsiTheme="minorHAnsi"/>
          <w:sz w:val="24"/>
          <w:lang w:val="pl-PL"/>
        </w:rPr>
        <w:t xml:space="preserve"> w tych sprawach</w:t>
      </w:r>
      <w:r w:rsidR="00AB1DE2" w:rsidRPr="00ED0C6A">
        <w:rPr>
          <w:rFonts w:asciiTheme="minorHAnsi" w:hAnsiTheme="minorHAnsi"/>
          <w:sz w:val="24"/>
          <w:lang w:val="pl-PL"/>
        </w:rPr>
        <w:t>.</w:t>
      </w:r>
    </w:p>
    <w:p w:rsidR="006D635D" w:rsidRPr="00ED0C6A" w:rsidRDefault="006D635D" w:rsidP="00F11942">
      <w:pPr>
        <w:pStyle w:val="ClinContent"/>
        <w:spacing w:before="0"/>
        <w:rPr>
          <w:rFonts w:asciiTheme="minorHAnsi" w:hAnsiTheme="minorHAnsi"/>
          <w:sz w:val="24"/>
          <w:lang w:val="pl-PL"/>
        </w:rPr>
      </w:pPr>
    </w:p>
    <w:p w:rsidR="00AB1DE2" w:rsidRPr="00ED0C6A" w:rsidRDefault="006D635D"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Z powyższych względów Trybunał zdecydował, dziesięcioma głosami do siedmiu, o </w:t>
      </w:r>
      <w:r w:rsidR="00AB1DE2" w:rsidRPr="00ED0C6A">
        <w:rPr>
          <w:rFonts w:asciiTheme="minorHAnsi" w:hAnsiTheme="minorHAnsi"/>
          <w:sz w:val="24"/>
          <w:lang w:val="pl-PL"/>
        </w:rPr>
        <w:t>skreśleni</w:t>
      </w:r>
      <w:r w:rsidRPr="00ED0C6A">
        <w:rPr>
          <w:rFonts w:asciiTheme="minorHAnsi" w:hAnsiTheme="minorHAnsi"/>
          <w:sz w:val="24"/>
          <w:lang w:val="pl-PL"/>
        </w:rPr>
        <w:t>u wszystkich skarg z listy spraw</w:t>
      </w:r>
      <w:r w:rsidR="00AB1DE2" w:rsidRPr="00ED0C6A">
        <w:rPr>
          <w:rFonts w:asciiTheme="minorHAnsi" w:hAnsiTheme="minorHAnsi"/>
          <w:sz w:val="24"/>
          <w:lang w:val="pl-PL"/>
        </w:rPr>
        <w:t>.</w:t>
      </w:r>
    </w:p>
    <w:p w:rsidR="00B35916" w:rsidRPr="00ED0C6A" w:rsidRDefault="00B35916" w:rsidP="00F11942">
      <w:pPr>
        <w:pStyle w:val="ClinContent"/>
        <w:spacing w:before="0"/>
        <w:rPr>
          <w:rFonts w:asciiTheme="minorHAnsi" w:hAnsiTheme="minorHAnsi"/>
          <w:sz w:val="24"/>
          <w:lang w:val="pl-PL"/>
        </w:rPr>
      </w:pPr>
    </w:p>
    <w:p w:rsidR="00B35916" w:rsidRPr="00ED0C6A" w:rsidRDefault="00B35916" w:rsidP="00F11942">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precedensowy wyrok Trybunału dotyczący</w:t>
      </w:r>
      <w:r w:rsidR="00E82F19" w:rsidRPr="00ED0C6A">
        <w:rPr>
          <w:rFonts w:asciiTheme="minorHAnsi" w:hAnsiTheme="minorHAnsi"/>
          <w:sz w:val="24"/>
          <w:lang w:val="pl-PL"/>
        </w:rPr>
        <w:t>,</w:t>
      </w:r>
      <w:r w:rsidRPr="00ED0C6A">
        <w:rPr>
          <w:rFonts w:asciiTheme="minorHAnsi" w:hAnsiTheme="minorHAnsi"/>
          <w:sz w:val="24"/>
          <w:lang w:val="pl-PL"/>
        </w:rPr>
        <w:t xml:space="preserve"> w istocie</w:t>
      </w:r>
      <w:r w:rsidR="00E82F19" w:rsidRPr="00ED0C6A">
        <w:rPr>
          <w:rFonts w:asciiTheme="minorHAnsi" w:hAnsiTheme="minorHAnsi"/>
          <w:sz w:val="24"/>
          <w:lang w:val="pl-PL"/>
        </w:rPr>
        <w:t>,</w:t>
      </w:r>
      <w:r w:rsidR="00644525" w:rsidRPr="00ED0C6A">
        <w:rPr>
          <w:rFonts w:asciiTheme="minorHAnsi" w:hAnsiTheme="minorHAnsi"/>
          <w:sz w:val="24"/>
          <w:lang w:val="pl-PL"/>
        </w:rPr>
        <w:t xml:space="preserve"> zastosowania</w:t>
      </w:r>
      <w:r w:rsidRPr="00ED0C6A">
        <w:rPr>
          <w:rFonts w:asciiTheme="minorHAnsi" w:hAnsiTheme="minorHAnsi"/>
          <w:sz w:val="24"/>
          <w:lang w:val="pl-PL"/>
        </w:rPr>
        <w:t xml:space="preserve"> sankcji w przypadku niewykonania przez </w:t>
      </w:r>
      <w:r w:rsidR="00721A8D" w:rsidRPr="00ED0C6A">
        <w:rPr>
          <w:rFonts w:asciiTheme="minorHAnsi" w:hAnsiTheme="minorHAnsi"/>
          <w:sz w:val="24"/>
          <w:lang w:val="pl-PL"/>
        </w:rPr>
        <w:t xml:space="preserve">Państwo </w:t>
      </w:r>
      <w:r w:rsidRPr="00ED0C6A">
        <w:rPr>
          <w:rFonts w:asciiTheme="minorHAnsi" w:hAnsiTheme="minorHAnsi"/>
          <w:sz w:val="24"/>
          <w:lang w:val="pl-PL"/>
        </w:rPr>
        <w:t>wyroku wskazującego na</w:t>
      </w:r>
      <w:r w:rsidR="00827554">
        <w:rPr>
          <w:rFonts w:asciiTheme="minorHAnsi" w:hAnsiTheme="minorHAnsi"/>
          <w:sz w:val="24"/>
          <w:lang w:val="pl-PL"/>
        </w:rPr>
        <w:t> </w:t>
      </w:r>
      <w:r w:rsidRPr="00ED0C6A">
        <w:rPr>
          <w:rFonts w:asciiTheme="minorHAnsi" w:hAnsiTheme="minorHAnsi"/>
          <w:sz w:val="24"/>
          <w:lang w:val="pl-PL"/>
        </w:rPr>
        <w:t xml:space="preserve">problem systemowy (zwłaszcza wyroku pilotażowego, ale </w:t>
      </w:r>
      <w:r w:rsidRPr="00ED0C6A">
        <w:rPr>
          <w:rFonts w:asciiTheme="minorHAnsi" w:hAnsiTheme="minorHAnsi"/>
          <w:i/>
          <w:sz w:val="24"/>
          <w:lang w:val="pl-PL"/>
        </w:rPr>
        <w:t>per analogiam</w:t>
      </w:r>
      <w:r w:rsidRPr="00ED0C6A">
        <w:rPr>
          <w:rFonts w:asciiTheme="minorHAnsi" w:hAnsiTheme="minorHAnsi"/>
          <w:sz w:val="24"/>
          <w:lang w:val="pl-PL"/>
        </w:rPr>
        <w:t xml:space="preserve"> także innych tzw. systemowych wyroków Trybunału). Stanowi kolejną odpowiedź Trybunału na palący problem </w:t>
      </w:r>
      <w:r w:rsidR="00E82F19" w:rsidRPr="00ED0C6A">
        <w:rPr>
          <w:rFonts w:asciiTheme="minorHAnsi" w:hAnsiTheme="minorHAnsi"/>
          <w:sz w:val="24"/>
          <w:lang w:val="pl-PL"/>
        </w:rPr>
        <w:t xml:space="preserve">dotyczący </w:t>
      </w:r>
      <w:r w:rsidRPr="00ED0C6A">
        <w:rPr>
          <w:rFonts w:asciiTheme="minorHAnsi" w:hAnsiTheme="minorHAnsi"/>
          <w:sz w:val="24"/>
          <w:lang w:val="pl-PL"/>
        </w:rPr>
        <w:t>jego funkcjonowania</w:t>
      </w:r>
      <w:r w:rsidR="00E82F19" w:rsidRPr="00ED0C6A">
        <w:rPr>
          <w:rFonts w:asciiTheme="minorHAnsi" w:hAnsiTheme="minorHAnsi"/>
          <w:sz w:val="24"/>
          <w:lang w:val="pl-PL"/>
        </w:rPr>
        <w:t xml:space="preserve">, </w:t>
      </w:r>
      <w:r w:rsidRPr="00ED0C6A">
        <w:rPr>
          <w:rFonts w:asciiTheme="minorHAnsi" w:hAnsiTheme="minorHAnsi"/>
          <w:sz w:val="24"/>
          <w:lang w:val="pl-PL"/>
        </w:rPr>
        <w:t xml:space="preserve">związany z dużym napływem spraw powtarzalnych, </w:t>
      </w:r>
      <w:r w:rsidR="00867E02" w:rsidRPr="00ED0C6A">
        <w:rPr>
          <w:rFonts w:asciiTheme="minorHAnsi" w:hAnsiTheme="minorHAnsi"/>
          <w:sz w:val="24"/>
          <w:lang w:val="pl-PL"/>
        </w:rPr>
        <w:t xml:space="preserve"> </w:t>
      </w:r>
      <w:r w:rsidRPr="00ED0C6A">
        <w:rPr>
          <w:rFonts w:asciiTheme="minorHAnsi" w:hAnsiTheme="minorHAnsi"/>
          <w:sz w:val="24"/>
          <w:lang w:val="pl-PL"/>
        </w:rPr>
        <w:t>opierających się na tym samym zarzucie naruszenia Konwencji, co stwierdzone już</w:t>
      </w:r>
      <w:r w:rsidR="00827554">
        <w:rPr>
          <w:rFonts w:asciiTheme="minorHAnsi" w:hAnsiTheme="minorHAnsi"/>
          <w:sz w:val="24"/>
          <w:lang w:val="pl-PL"/>
        </w:rPr>
        <w:t> </w:t>
      </w:r>
      <w:r w:rsidRPr="00ED0C6A">
        <w:rPr>
          <w:rFonts w:asciiTheme="minorHAnsi" w:hAnsiTheme="minorHAnsi"/>
          <w:sz w:val="24"/>
          <w:lang w:val="pl-PL"/>
        </w:rPr>
        <w:t xml:space="preserve">wielokrotnie wcześniej przez Trybunał. Fakt, że nadal napływają takie same skargi przeciwko danemu </w:t>
      </w:r>
      <w:r w:rsidR="00721A8D" w:rsidRPr="00ED0C6A">
        <w:rPr>
          <w:rFonts w:asciiTheme="minorHAnsi" w:hAnsiTheme="minorHAnsi"/>
          <w:sz w:val="24"/>
          <w:lang w:val="pl-PL"/>
        </w:rPr>
        <w:t>Państwu</w:t>
      </w:r>
      <w:r w:rsidR="00644525" w:rsidRPr="00ED0C6A">
        <w:rPr>
          <w:rFonts w:asciiTheme="minorHAnsi" w:hAnsiTheme="minorHAnsi"/>
          <w:sz w:val="24"/>
          <w:lang w:val="pl-PL"/>
        </w:rPr>
        <w:t xml:space="preserve"> (w przypadku Ukrainy – ponad 12 tysięcy skarg zawisłych w</w:t>
      </w:r>
      <w:r w:rsidR="00827554">
        <w:rPr>
          <w:rFonts w:asciiTheme="minorHAnsi" w:hAnsiTheme="minorHAnsi"/>
          <w:sz w:val="24"/>
          <w:lang w:val="pl-PL"/>
        </w:rPr>
        <w:t> </w:t>
      </w:r>
      <w:r w:rsidR="00644525" w:rsidRPr="00ED0C6A">
        <w:rPr>
          <w:rFonts w:asciiTheme="minorHAnsi" w:hAnsiTheme="minorHAnsi"/>
          <w:sz w:val="24"/>
          <w:lang w:val="pl-PL"/>
        </w:rPr>
        <w:t>tej</w:t>
      </w:r>
      <w:r w:rsidR="00827554">
        <w:rPr>
          <w:rFonts w:asciiTheme="minorHAnsi" w:hAnsiTheme="minorHAnsi"/>
          <w:sz w:val="24"/>
          <w:lang w:val="pl-PL"/>
        </w:rPr>
        <w:t> </w:t>
      </w:r>
      <w:r w:rsidR="00644525" w:rsidRPr="00ED0C6A">
        <w:rPr>
          <w:rFonts w:asciiTheme="minorHAnsi" w:hAnsiTheme="minorHAnsi"/>
          <w:sz w:val="24"/>
          <w:lang w:val="pl-PL"/>
        </w:rPr>
        <w:t>sprawie przed Trybunałem i ok. 14 tysięcy skarg rozpatrzonych wcześniej)</w:t>
      </w:r>
      <w:r w:rsidR="00867E02" w:rsidRPr="00ED0C6A">
        <w:rPr>
          <w:rFonts w:asciiTheme="minorHAnsi" w:hAnsiTheme="minorHAnsi"/>
          <w:sz w:val="24"/>
          <w:lang w:val="pl-PL"/>
        </w:rPr>
        <w:t>, jest</w:t>
      </w:r>
      <w:r w:rsidR="00E31715">
        <w:rPr>
          <w:rFonts w:asciiTheme="minorHAnsi" w:hAnsiTheme="minorHAnsi"/>
          <w:sz w:val="24"/>
          <w:lang w:val="pl-PL"/>
        </w:rPr>
        <w:t> </w:t>
      </w:r>
      <w:r w:rsidR="00867E02" w:rsidRPr="00ED0C6A">
        <w:rPr>
          <w:rFonts w:asciiTheme="minorHAnsi" w:hAnsiTheme="minorHAnsi"/>
          <w:sz w:val="24"/>
          <w:lang w:val="pl-PL"/>
        </w:rPr>
        <w:t xml:space="preserve">dowodem </w:t>
      </w:r>
      <w:r w:rsidRPr="00ED0C6A">
        <w:rPr>
          <w:rFonts w:asciiTheme="minorHAnsi" w:hAnsiTheme="minorHAnsi"/>
          <w:sz w:val="24"/>
          <w:lang w:val="pl-PL"/>
        </w:rPr>
        <w:t xml:space="preserve">że </w:t>
      </w:r>
      <w:r w:rsidR="00721A8D" w:rsidRPr="00ED0C6A">
        <w:rPr>
          <w:rFonts w:asciiTheme="minorHAnsi" w:hAnsiTheme="minorHAnsi"/>
          <w:sz w:val="24"/>
          <w:lang w:val="pl-PL"/>
        </w:rPr>
        <w:t xml:space="preserve">Państwo </w:t>
      </w:r>
      <w:r w:rsidRPr="00ED0C6A">
        <w:rPr>
          <w:rFonts w:asciiTheme="minorHAnsi" w:hAnsiTheme="minorHAnsi"/>
          <w:sz w:val="24"/>
          <w:lang w:val="pl-PL"/>
        </w:rPr>
        <w:t xml:space="preserve">nie wykonało wcześniejszych wyroków Trybunału stwierdzających istnienie problemu systemowego – mimo wielokrotnie powtarzanych rozstrzygnięć Trybunału, decyzji Komitetu Ministrów, a także licznych deklaracji wysokiego szczebla przyjmowanych przez </w:t>
      </w:r>
      <w:r w:rsidR="00721A8D" w:rsidRPr="00ED0C6A">
        <w:rPr>
          <w:rFonts w:asciiTheme="minorHAnsi" w:hAnsiTheme="minorHAnsi"/>
          <w:sz w:val="24"/>
          <w:lang w:val="pl-PL"/>
        </w:rPr>
        <w:t xml:space="preserve">Państwa </w:t>
      </w:r>
      <w:r w:rsidRPr="00ED0C6A">
        <w:rPr>
          <w:rFonts w:asciiTheme="minorHAnsi" w:hAnsiTheme="minorHAnsi"/>
          <w:sz w:val="24"/>
          <w:lang w:val="pl-PL"/>
        </w:rPr>
        <w:t xml:space="preserve">Rady Europy od 2010 r., w którym akcentowano potrzebę bardziej skutecznego wykonywania przez </w:t>
      </w:r>
      <w:r w:rsidR="00721A8D" w:rsidRPr="00ED0C6A">
        <w:rPr>
          <w:rFonts w:asciiTheme="minorHAnsi" w:hAnsiTheme="minorHAnsi"/>
          <w:sz w:val="24"/>
          <w:lang w:val="pl-PL"/>
        </w:rPr>
        <w:t xml:space="preserve">Państwa </w:t>
      </w:r>
      <w:r w:rsidRPr="00ED0C6A">
        <w:rPr>
          <w:rFonts w:asciiTheme="minorHAnsi" w:hAnsiTheme="minorHAnsi"/>
          <w:sz w:val="24"/>
          <w:lang w:val="pl-PL"/>
        </w:rPr>
        <w:t>wyroków dotyczących problemów systemowych. Obecne rozstrzygnięcie Trybunału wskazuje na kończącą się cierpliwość Trybunału wobec problemu napływających do niego skarg powtarzalnych. W sytuacji, w</w:t>
      </w:r>
      <w:r w:rsidR="00827554">
        <w:rPr>
          <w:rFonts w:asciiTheme="minorHAnsi" w:hAnsiTheme="minorHAnsi"/>
          <w:sz w:val="24"/>
          <w:lang w:val="pl-PL"/>
        </w:rPr>
        <w:t> </w:t>
      </w:r>
      <w:r w:rsidRPr="00ED0C6A">
        <w:rPr>
          <w:rFonts w:asciiTheme="minorHAnsi" w:hAnsiTheme="minorHAnsi"/>
          <w:sz w:val="24"/>
          <w:lang w:val="pl-PL"/>
        </w:rPr>
        <w:t>której Trybunał musi się zmierzyć z dużą liczbą spraw dotykających nowych zaga</w:t>
      </w:r>
      <w:r w:rsidR="00867E02" w:rsidRPr="00ED0C6A">
        <w:rPr>
          <w:rFonts w:asciiTheme="minorHAnsi" w:hAnsiTheme="minorHAnsi"/>
          <w:sz w:val="24"/>
          <w:lang w:val="pl-PL"/>
        </w:rPr>
        <w:t>dnień (tzw. spraw izbowych), co</w:t>
      </w:r>
      <w:r w:rsidRPr="00ED0C6A">
        <w:rPr>
          <w:rFonts w:asciiTheme="minorHAnsi" w:hAnsiTheme="minorHAnsi"/>
          <w:sz w:val="24"/>
          <w:lang w:val="pl-PL"/>
        </w:rPr>
        <w:t xml:space="preserve">raz mocniej dostrzega </w:t>
      </w:r>
      <w:r w:rsidR="002C7F6D" w:rsidRPr="00ED0C6A">
        <w:rPr>
          <w:rFonts w:asciiTheme="minorHAnsi" w:hAnsiTheme="minorHAnsi"/>
          <w:sz w:val="24"/>
          <w:lang w:val="pl-PL"/>
        </w:rPr>
        <w:t xml:space="preserve">on </w:t>
      </w:r>
      <w:r w:rsidRPr="00ED0C6A">
        <w:rPr>
          <w:rFonts w:asciiTheme="minorHAnsi" w:hAnsiTheme="minorHAnsi"/>
          <w:sz w:val="24"/>
          <w:lang w:val="pl-PL"/>
        </w:rPr>
        <w:t xml:space="preserve">nieefektywność podejścia polegającego na wydawaniu dziesiątek czy setek rozstrzygnięć dotyczących jedynie zasądzenia zadośćuczynienia dla skarżących i coraz mocniej naciska na </w:t>
      </w:r>
      <w:r w:rsidR="00721A8D" w:rsidRPr="00ED0C6A">
        <w:rPr>
          <w:rFonts w:asciiTheme="minorHAnsi" w:hAnsiTheme="minorHAnsi"/>
          <w:sz w:val="24"/>
          <w:lang w:val="pl-PL"/>
        </w:rPr>
        <w:t>Państwa</w:t>
      </w:r>
      <w:r w:rsidR="00867E02" w:rsidRPr="00ED0C6A">
        <w:rPr>
          <w:rFonts w:asciiTheme="minorHAnsi" w:hAnsiTheme="minorHAnsi"/>
          <w:sz w:val="24"/>
          <w:lang w:val="pl-PL"/>
        </w:rPr>
        <w:t>,</w:t>
      </w:r>
      <w:r w:rsidR="00721A8D" w:rsidRPr="00ED0C6A">
        <w:rPr>
          <w:rFonts w:asciiTheme="minorHAnsi" w:hAnsiTheme="minorHAnsi"/>
          <w:sz w:val="24"/>
          <w:lang w:val="pl-PL"/>
        </w:rPr>
        <w:t xml:space="preserve"> </w:t>
      </w:r>
      <w:r w:rsidR="00867E02" w:rsidRPr="00ED0C6A">
        <w:rPr>
          <w:rFonts w:asciiTheme="minorHAnsi" w:hAnsiTheme="minorHAnsi"/>
          <w:sz w:val="24"/>
          <w:lang w:val="pl-PL"/>
        </w:rPr>
        <w:t>by zapewniły mechanizmy naprawcze</w:t>
      </w:r>
      <w:r w:rsidRPr="00ED0C6A">
        <w:rPr>
          <w:rFonts w:asciiTheme="minorHAnsi" w:hAnsiTheme="minorHAnsi"/>
          <w:sz w:val="24"/>
          <w:lang w:val="pl-PL"/>
        </w:rPr>
        <w:t xml:space="preserve"> dla indywidualnych skarżących na poziomie krajowym w ramach procedury wykonywania wyroków Trybunału.  </w:t>
      </w:r>
    </w:p>
    <w:p w:rsidR="003E6E4F" w:rsidRPr="00ED0C6A" w:rsidRDefault="003E6E4F" w:rsidP="00F11942">
      <w:pPr>
        <w:pStyle w:val="ClinContent"/>
        <w:spacing w:before="0"/>
        <w:rPr>
          <w:rFonts w:asciiTheme="minorHAnsi" w:hAnsiTheme="minorHAnsi"/>
          <w:sz w:val="24"/>
          <w:lang w:val="pl-PL"/>
        </w:rPr>
      </w:pPr>
    </w:p>
    <w:p w:rsidR="00644525" w:rsidRPr="00ED0C6A" w:rsidRDefault="00644525" w:rsidP="00F11942">
      <w:pPr>
        <w:pStyle w:val="ClinContent"/>
        <w:spacing w:before="0"/>
        <w:rPr>
          <w:rFonts w:asciiTheme="minorHAnsi" w:hAnsiTheme="minorHAnsi"/>
          <w:sz w:val="24"/>
          <w:u w:val="single"/>
          <w:lang w:val="pl-PL"/>
        </w:rPr>
      </w:pPr>
      <w:r w:rsidRPr="00ED0C6A">
        <w:rPr>
          <w:rFonts w:asciiTheme="minorHAnsi" w:hAnsiTheme="minorHAnsi"/>
          <w:sz w:val="24"/>
          <w:lang w:val="pl-PL"/>
        </w:rPr>
        <w:t>Wyrok może mieć znaczenie również dla Polski w odniesionych do stwierdzonych wcześniej wobec naszego kraju problemów systemowych, dotyczących m.in. długości postępowań sądowych</w:t>
      </w:r>
      <w:r w:rsidR="005F20C8" w:rsidRPr="00ED0C6A">
        <w:rPr>
          <w:rFonts w:asciiTheme="minorHAnsi" w:hAnsiTheme="minorHAnsi"/>
          <w:sz w:val="24"/>
          <w:lang w:val="pl-PL"/>
        </w:rPr>
        <w:t xml:space="preserve"> </w:t>
      </w:r>
      <w:r w:rsidRPr="00ED0C6A">
        <w:rPr>
          <w:rFonts w:asciiTheme="minorHAnsi" w:hAnsiTheme="minorHAnsi"/>
          <w:sz w:val="24"/>
          <w:lang w:val="pl-PL"/>
        </w:rPr>
        <w:t>i funkcjonowania tzw. skargi na przewlekłość</w:t>
      </w:r>
      <w:r w:rsidR="005F20C8" w:rsidRPr="00ED0C6A">
        <w:rPr>
          <w:rFonts w:asciiTheme="minorHAnsi" w:hAnsiTheme="minorHAnsi"/>
          <w:sz w:val="24"/>
          <w:lang w:val="pl-PL"/>
        </w:rPr>
        <w:t xml:space="preserve"> (w tej kwestii Trybunał wydał wobec Polski wyrok pilotażowy), długości postępowań administracyjnych,</w:t>
      </w:r>
      <w:r w:rsidRPr="00ED0C6A">
        <w:rPr>
          <w:rFonts w:asciiTheme="minorHAnsi" w:hAnsiTheme="minorHAnsi"/>
          <w:sz w:val="24"/>
          <w:lang w:val="pl-PL"/>
        </w:rPr>
        <w:t xml:space="preserve"> czy </w:t>
      </w:r>
      <w:r w:rsidR="005F20C8" w:rsidRPr="00ED0C6A">
        <w:rPr>
          <w:rFonts w:asciiTheme="minorHAnsi" w:hAnsiTheme="minorHAnsi"/>
          <w:sz w:val="24"/>
          <w:lang w:val="pl-PL"/>
        </w:rPr>
        <w:t xml:space="preserve">też </w:t>
      </w:r>
      <w:r w:rsidRPr="00ED0C6A">
        <w:rPr>
          <w:rFonts w:asciiTheme="minorHAnsi" w:hAnsiTheme="minorHAnsi"/>
          <w:sz w:val="24"/>
          <w:lang w:val="pl-PL"/>
        </w:rPr>
        <w:t>warunków w</w:t>
      </w:r>
      <w:r w:rsidR="00827554">
        <w:rPr>
          <w:rFonts w:asciiTheme="minorHAnsi" w:hAnsiTheme="minorHAnsi"/>
          <w:sz w:val="24"/>
          <w:lang w:val="pl-PL"/>
        </w:rPr>
        <w:t> </w:t>
      </w:r>
      <w:r w:rsidRPr="00ED0C6A">
        <w:rPr>
          <w:rFonts w:asciiTheme="minorHAnsi" w:hAnsiTheme="minorHAnsi"/>
          <w:sz w:val="24"/>
          <w:lang w:val="pl-PL"/>
        </w:rPr>
        <w:t>więzieniach</w:t>
      </w:r>
      <w:r w:rsidR="005F20C8" w:rsidRPr="00ED0C6A">
        <w:rPr>
          <w:rFonts w:asciiTheme="minorHAnsi" w:hAnsiTheme="minorHAnsi"/>
          <w:sz w:val="24"/>
          <w:lang w:val="pl-PL"/>
        </w:rPr>
        <w:t xml:space="preserve"> (w tych sprawach Trybunał wydawał orzeczenia o charakterze systemowym)</w:t>
      </w:r>
      <w:r w:rsidRPr="00ED0C6A">
        <w:rPr>
          <w:rFonts w:asciiTheme="minorHAnsi" w:hAnsiTheme="minorHAnsi"/>
          <w:sz w:val="24"/>
          <w:lang w:val="pl-PL"/>
        </w:rPr>
        <w:t xml:space="preserve">. </w:t>
      </w:r>
    </w:p>
    <w:p w:rsidR="003D728F" w:rsidRPr="00ED0C6A" w:rsidRDefault="003D728F" w:rsidP="009333A7">
      <w:pPr>
        <w:pStyle w:val="Nagwek2"/>
        <w:spacing w:before="480"/>
        <w:rPr>
          <w:rFonts w:asciiTheme="minorHAnsi" w:hAnsiTheme="minorHAnsi"/>
          <w:color w:val="auto"/>
          <w:sz w:val="24"/>
          <w:szCs w:val="24"/>
        </w:rPr>
      </w:pPr>
      <w:bookmarkStart w:id="7" w:name="_Toc524696726"/>
      <w:proofErr w:type="spellStart"/>
      <w:r w:rsidRPr="00ED0C6A">
        <w:rPr>
          <w:rFonts w:asciiTheme="minorHAnsi" w:hAnsiTheme="minorHAnsi"/>
          <w:color w:val="auto"/>
          <w:sz w:val="24"/>
          <w:szCs w:val="24"/>
        </w:rPr>
        <w:t>Carvalho</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Pinto</w:t>
      </w:r>
      <w:proofErr w:type="spellEnd"/>
      <w:r w:rsidRPr="00ED0C6A">
        <w:rPr>
          <w:rFonts w:asciiTheme="minorHAnsi" w:hAnsiTheme="minorHAnsi"/>
          <w:color w:val="auto"/>
          <w:sz w:val="24"/>
          <w:szCs w:val="24"/>
        </w:rPr>
        <w:t xml:space="preserve"> de </w:t>
      </w:r>
      <w:proofErr w:type="spellStart"/>
      <w:r w:rsidRPr="00ED0C6A">
        <w:rPr>
          <w:rFonts w:asciiTheme="minorHAnsi" w:hAnsiTheme="minorHAnsi"/>
          <w:color w:val="auto"/>
          <w:sz w:val="24"/>
          <w:szCs w:val="24"/>
        </w:rPr>
        <w:t>Sousa</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Morais</w:t>
      </w:r>
      <w:proofErr w:type="spellEnd"/>
      <w:r w:rsidRPr="00ED0C6A">
        <w:rPr>
          <w:rFonts w:asciiTheme="minorHAnsi" w:hAnsiTheme="minorHAnsi"/>
          <w:color w:val="auto"/>
          <w:sz w:val="24"/>
          <w:szCs w:val="24"/>
        </w:rPr>
        <w:t xml:space="preserve"> p. Portugalii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17484/15</w:t>
      </w:r>
      <w:r w:rsidR="004A22AD" w:rsidRPr="00ED0C6A">
        <w:rPr>
          <w:rFonts w:asciiTheme="minorHAnsi" w:hAnsiTheme="minorHAnsi"/>
          <w:color w:val="auto"/>
          <w:sz w:val="24"/>
          <w:szCs w:val="24"/>
        </w:rPr>
        <w:t>, w</w:t>
      </w:r>
      <w:r w:rsidRPr="00ED0C6A">
        <w:rPr>
          <w:rFonts w:asciiTheme="minorHAnsi" w:hAnsiTheme="minorHAnsi"/>
          <w:color w:val="auto"/>
          <w:sz w:val="24"/>
          <w:szCs w:val="24"/>
        </w:rPr>
        <w:t>yrok</w:t>
      </w:r>
      <w:r w:rsidR="00094458" w:rsidRPr="00ED0C6A">
        <w:rPr>
          <w:rFonts w:asciiTheme="minorHAnsi" w:hAnsiTheme="minorHAnsi"/>
          <w:color w:val="auto"/>
          <w:sz w:val="24"/>
          <w:szCs w:val="24"/>
        </w:rPr>
        <w:t xml:space="preserve"> Izby</w:t>
      </w:r>
      <w:r w:rsidRPr="00ED0C6A">
        <w:rPr>
          <w:rFonts w:asciiTheme="minorHAnsi" w:hAnsiTheme="minorHAnsi"/>
          <w:color w:val="auto"/>
          <w:sz w:val="24"/>
          <w:szCs w:val="24"/>
        </w:rPr>
        <w:t xml:space="preserve"> z 25</w:t>
      </w:r>
      <w:r w:rsidR="00B4260D" w:rsidRPr="00ED0C6A">
        <w:rPr>
          <w:rFonts w:asciiTheme="minorHAnsi" w:hAnsiTheme="minorHAnsi"/>
          <w:color w:val="auto"/>
          <w:sz w:val="24"/>
          <w:szCs w:val="24"/>
        </w:rPr>
        <w:t xml:space="preserve"> lipca </w:t>
      </w:r>
      <w:r w:rsidRPr="00ED0C6A">
        <w:rPr>
          <w:rFonts w:asciiTheme="minorHAnsi" w:hAnsiTheme="minorHAnsi"/>
          <w:color w:val="auto"/>
          <w:sz w:val="24"/>
          <w:szCs w:val="24"/>
        </w:rPr>
        <w:t>2017 r.</w:t>
      </w:r>
      <w:r w:rsidR="00DB5295" w:rsidRPr="00ED0C6A">
        <w:rPr>
          <w:rFonts w:asciiTheme="minorHAnsi" w:hAnsiTheme="minorHAnsi"/>
          <w:color w:val="auto"/>
          <w:sz w:val="24"/>
          <w:szCs w:val="24"/>
        </w:rPr>
        <w:t>, ostateczny</w:t>
      </w:r>
      <w:bookmarkEnd w:id="7"/>
    </w:p>
    <w:p w:rsidR="003D728F" w:rsidRPr="00ED0C6A" w:rsidRDefault="003D728F"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FF5A05" w:rsidRPr="00ED0C6A">
        <w:rPr>
          <w:b/>
          <w:color w:val="000000" w:themeColor="text1"/>
          <w:sz w:val="24"/>
          <w:szCs w:val="24"/>
          <w:lang w:val="pl-PL"/>
        </w:rPr>
        <w:t xml:space="preserve"> art. 14 (zakaz dyskryminacji) w związku z art. 8 Konwencji (prawo</w:t>
      </w:r>
      <w:r w:rsidR="00E31715">
        <w:rPr>
          <w:b/>
          <w:color w:val="000000" w:themeColor="text1"/>
          <w:sz w:val="24"/>
          <w:szCs w:val="24"/>
          <w:lang w:val="pl-PL"/>
        </w:rPr>
        <w:t> </w:t>
      </w:r>
      <w:r w:rsidR="00FF5A05" w:rsidRPr="00ED0C6A">
        <w:rPr>
          <w:b/>
          <w:color w:val="000000" w:themeColor="text1"/>
          <w:sz w:val="24"/>
          <w:szCs w:val="24"/>
          <w:lang w:val="pl-PL"/>
        </w:rPr>
        <w:t>do</w:t>
      </w:r>
      <w:r w:rsidR="00827554">
        <w:rPr>
          <w:b/>
          <w:color w:val="000000" w:themeColor="text1"/>
          <w:sz w:val="24"/>
          <w:szCs w:val="24"/>
          <w:lang w:val="pl-PL"/>
        </w:rPr>
        <w:t> </w:t>
      </w:r>
      <w:r w:rsidR="00FF5A05" w:rsidRPr="00ED0C6A">
        <w:rPr>
          <w:b/>
          <w:color w:val="000000" w:themeColor="text1"/>
          <w:sz w:val="24"/>
          <w:szCs w:val="24"/>
          <w:lang w:val="pl-PL"/>
        </w:rPr>
        <w:t>poszanowania życia prywatnego i rodzinnego) w odniesieniu do</w:t>
      </w:r>
      <w:r w:rsidR="00D36241" w:rsidRPr="00ED0C6A">
        <w:rPr>
          <w:b/>
          <w:color w:val="000000" w:themeColor="text1"/>
          <w:sz w:val="24"/>
          <w:szCs w:val="24"/>
          <w:lang w:val="pl-PL"/>
        </w:rPr>
        <w:t xml:space="preserve"> obniżenia</w:t>
      </w:r>
      <w:r w:rsidR="00FF5A05" w:rsidRPr="00ED0C6A">
        <w:rPr>
          <w:b/>
          <w:color w:val="000000" w:themeColor="text1"/>
          <w:sz w:val="24"/>
          <w:szCs w:val="24"/>
          <w:lang w:val="pl-PL"/>
        </w:rPr>
        <w:t xml:space="preserve"> zasądzonego odszkodowania z uwagi na płeć i wiek osoby dochodzącej roszczenia</w:t>
      </w:r>
    </w:p>
    <w:p w:rsidR="003D728F" w:rsidRPr="00ED0C6A" w:rsidRDefault="00BC2394" w:rsidP="00F11942">
      <w:pPr>
        <w:pStyle w:val="ClinContent"/>
        <w:spacing w:before="0"/>
        <w:rPr>
          <w:rFonts w:asciiTheme="minorHAnsi" w:hAnsiTheme="minorHAnsi"/>
          <w:sz w:val="24"/>
          <w:lang w:val="pl-PL"/>
        </w:rPr>
      </w:pPr>
      <w:r w:rsidRPr="00ED0C6A">
        <w:rPr>
          <w:rFonts w:asciiTheme="minorHAnsi" w:hAnsiTheme="minorHAnsi"/>
          <w:sz w:val="24"/>
          <w:lang w:val="pl-PL"/>
        </w:rPr>
        <w:t>U skarżącej</w:t>
      </w:r>
      <w:r w:rsidR="003D728F" w:rsidRPr="00ED0C6A">
        <w:rPr>
          <w:rFonts w:asciiTheme="minorHAnsi" w:hAnsiTheme="minorHAnsi"/>
          <w:sz w:val="24"/>
          <w:lang w:val="pl-PL"/>
        </w:rPr>
        <w:t xml:space="preserve"> zdiagnozowano chorobę ginekologiczną</w:t>
      </w:r>
      <w:r w:rsidRPr="00ED0C6A">
        <w:rPr>
          <w:rFonts w:asciiTheme="minorHAnsi" w:hAnsiTheme="minorHAnsi"/>
          <w:sz w:val="24"/>
          <w:lang w:val="pl-PL"/>
        </w:rPr>
        <w:t>. W</w:t>
      </w:r>
      <w:r w:rsidR="003D728F" w:rsidRPr="00ED0C6A">
        <w:rPr>
          <w:rFonts w:asciiTheme="minorHAnsi" w:hAnsiTheme="minorHAnsi"/>
          <w:sz w:val="24"/>
          <w:lang w:val="pl-PL"/>
        </w:rPr>
        <w:t>ytoczyła powództwo cywilne przeciwko szpitalowi za błąd medyczny związany z operacją chirurgiczną dotyczącą jej</w:t>
      </w:r>
      <w:r w:rsidR="00827554">
        <w:rPr>
          <w:rFonts w:asciiTheme="minorHAnsi" w:hAnsiTheme="minorHAnsi"/>
          <w:sz w:val="24"/>
          <w:lang w:val="pl-PL"/>
        </w:rPr>
        <w:t> </w:t>
      </w:r>
      <w:r w:rsidR="003D728F" w:rsidRPr="00ED0C6A">
        <w:rPr>
          <w:rFonts w:asciiTheme="minorHAnsi" w:hAnsiTheme="minorHAnsi"/>
          <w:sz w:val="24"/>
          <w:lang w:val="pl-PL"/>
        </w:rPr>
        <w:t xml:space="preserve">dolegliwości. Sąd Administracyjny orzekł na jej korzyść i zasądził </w:t>
      </w:r>
      <w:r w:rsidR="00B74B35" w:rsidRPr="00ED0C6A">
        <w:rPr>
          <w:rFonts w:asciiTheme="minorHAnsi" w:hAnsiTheme="minorHAnsi"/>
          <w:sz w:val="24"/>
          <w:lang w:val="pl-PL"/>
        </w:rPr>
        <w:t>jej</w:t>
      </w:r>
      <w:r w:rsidR="003D728F" w:rsidRPr="00ED0C6A">
        <w:rPr>
          <w:rFonts w:asciiTheme="minorHAnsi" w:hAnsiTheme="minorHAnsi"/>
          <w:sz w:val="24"/>
          <w:lang w:val="pl-PL"/>
        </w:rPr>
        <w:t xml:space="preserve"> odszkodowanie. W</w:t>
      </w:r>
      <w:r w:rsidR="00827554">
        <w:rPr>
          <w:rFonts w:asciiTheme="minorHAnsi" w:hAnsiTheme="minorHAnsi"/>
          <w:sz w:val="24"/>
          <w:lang w:val="pl-PL"/>
        </w:rPr>
        <w:t> </w:t>
      </w:r>
      <w:r w:rsidR="003D728F" w:rsidRPr="00ED0C6A">
        <w:rPr>
          <w:rFonts w:asciiTheme="minorHAnsi" w:hAnsiTheme="minorHAnsi"/>
          <w:sz w:val="24"/>
          <w:lang w:val="pl-PL"/>
        </w:rPr>
        <w:t xml:space="preserve">postępowaniu odwoławczym Najwyższy Sąd Administracyjny utrzymał w mocy wyrok sądu I instancji, ale zmniejszył kwotę odszkodowania. </w:t>
      </w:r>
    </w:p>
    <w:p w:rsidR="00BC2394" w:rsidRPr="00ED0C6A" w:rsidRDefault="00BC2394" w:rsidP="00F11942">
      <w:pPr>
        <w:pStyle w:val="ClinContent"/>
        <w:spacing w:before="0"/>
        <w:rPr>
          <w:rFonts w:asciiTheme="minorHAnsi" w:hAnsiTheme="minorHAnsi"/>
          <w:sz w:val="24"/>
          <w:lang w:val="pl-PL"/>
        </w:rPr>
      </w:pPr>
    </w:p>
    <w:p w:rsidR="003D728F" w:rsidRPr="00ED0C6A" w:rsidRDefault="00A7680C" w:rsidP="00F11942">
      <w:pPr>
        <w:pStyle w:val="ClinContent"/>
        <w:spacing w:before="0"/>
        <w:rPr>
          <w:rFonts w:asciiTheme="minorHAnsi" w:hAnsiTheme="minorHAnsi"/>
          <w:sz w:val="24"/>
          <w:lang w:val="pl-PL"/>
        </w:rPr>
      </w:pPr>
      <w:r w:rsidRPr="00ED0C6A">
        <w:rPr>
          <w:rFonts w:asciiTheme="minorHAnsi" w:hAnsiTheme="minorHAnsi"/>
          <w:sz w:val="24"/>
          <w:lang w:val="pl-PL"/>
        </w:rPr>
        <w:t>Przed Trybunałem</w:t>
      </w:r>
      <w:r w:rsidR="00BC2394" w:rsidRPr="00ED0C6A">
        <w:rPr>
          <w:rFonts w:asciiTheme="minorHAnsi" w:hAnsiTheme="minorHAnsi"/>
          <w:sz w:val="24"/>
          <w:lang w:val="pl-PL"/>
        </w:rPr>
        <w:t xml:space="preserve"> </w:t>
      </w:r>
      <w:r w:rsidR="003D728F" w:rsidRPr="00ED0C6A">
        <w:rPr>
          <w:rFonts w:asciiTheme="minorHAnsi" w:hAnsiTheme="minorHAnsi"/>
          <w:sz w:val="24"/>
          <w:lang w:val="pl-PL"/>
        </w:rPr>
        <w:t>skarżąca zarzucała, że wyrok Najwyższego Sądu Administracyjnego w</w:t>
      </w:r>
      <w:r w:rsidR="00827554">
        <w:rPr>
          <w:rFonts w:asciiTheme="minorHAnsi" w:hAnsiTheme="minorHAnsi"/>
          <w:sz w:val="24"/>
          <w:lang w:val="pl-PL"/>
        </w:rPr>
        <w:t> </w:t>
      </w:r>
      <w:r w:rsidR="003D728F" w:rsidRPr="00ED0C6A">
        <w:rPr>
          <w:rFonts w:asciiTheme="minorHAnsi" w:hAnsiTheme="minorHAnsi"/>
          <w:sz w:val="24"/>
          <w:lang w:val="pl-PL"/>
        </w:rPr>
        <w:t>jej</w:t>
      </w:r>
      <w:r w:rsidR="00827554">
        <w:rPr>
          <w:rFonts w:asciiTheme="minorHAnsi" w:hAnsiTheme="minorHAnsi"/>
          <w:sz w:val="24"/>
          <w:lang w:val="pl-PL"/>
        </w:rPr>
        <w:t> </w:t>
      </w:r>
      <w:r w:rsidR="003D728F" w:rsidRPr="00ED0C6A">
        <w:rPr>
          <w:rFonts w:asciiTheme="minorHAnsi" w:hAnsiTheme="minorHAnsi"/>
          <w:sz w:val="24"/>
          <w:lang w:val="pl-PL"/>
        </w:rPr>
        <w:t xml:space="preserve">sprawie miał </w:t>
      </w:r>
      <w:r w:rsidR="00BC2394" w:rsidRPr="00ED0C6A">
        <w:rPr>
          <w:rFonts w:asciiTheme="minorHAnsi" w:hAnsiTheme="minorHAnsi"/>
          <w:sz w:val="24"/>
          <w:lang w:val="pl-PL"/>
        </w:rPr>
        <w:t xml:space="preserve">wobec niej </w:t>
      </w:r>
      <w:r w:rsidR="003D728F" w:rsidRPr="00ED0C6A">
        <w:rPr>
          <w:rFonts w:asciiTheme="minorHAnsi" w:hAnsiTheme="minorHAnsi"/>
          <w:sz w:val="24"/>
          <w:lang w:val="pl-PL"/>
        </w:rPr>
        <w:t>charakter dyskryminacyjny z uwagi na jej płeć i wiek. Skarżyła się w szczególności na uzasadnienie powołane przez sąd dla obniżenia kwoty zasądzenia i</w:t>
      </w:r>
      <w:r w:rsidR="00827554">
        <w:rPr>
          <w:rFonts w:asciiTheme="minorHAnsi" w:hAnsiTheme="minorHAnsi"/>
          <w:sz w:val="24"/>
          <w:lang w:val="pl-PL"/>
        </w:rPr>
        <w:t> </w:t>
      </w:r>
      <w:r w:rsidR="003D728F" w:rsidRPr="00ED0C6A">
        <w:rPr>
          <w:rFonts w:asciiTheme="minorHAnsi" w:hAnsiTheme="minorHAnsi"/>
          <w:sz w:val="24"/>
          <w:lang w:val="pl-PL"/>
        </w:rPr>
        <w:t>na</w:t>
      </w:r>
      <w:r w:rsidR="00827554">
        <w:rPr>
          <w:rFonts w:asciiTheme="minorHAnsi" w:hAnsiTheme="minorHAnsi"/>
          <w:sz w:val="24"/>
          <w:lang w:val="pl-PL"/>
        </w:rPr>
        <w:t> </w:t>
      </w:r>
      <w:r w:rsidR="003D728F" w:rsidRPr="00ED0C6A">
        <w:rPr>
          <w:rFonts w:asciiTheme="minorHAnsi" w:hAnsiTheme="minorHAnsi"/>
          <w:sz w:val="24"/>
          <w:lang w:val="pl-PL"/>
        </w:rPr>
        <w:t xml:space="preserve">fakt, że pominął on znaczenie życia seksualnego dla niej jako kobiety. </w:t>
      </w:r>
    </w:p>
    <w:p w:rsidR="00BC2394" w:rsidRPr="00ED0C6A" w:rsidRDefault="00BC2394" w:rsidP="00F11942">
      <w:pPr>
        <w:pStyle w:val="ClinContent"/>
        <w:spacing w:before="0"/>
        <w:rPr>
          <w:rFonts w:asciiTheme="minorHAnsi" w:hAnsiTheme="minorHAnsi"/>
          <w:i/>
          <w:sz w:val="24"/>
          <w:lang w:val="pl-PL"/>
        </w:rPr>
      </w:pPr>
    </w:p>
    <w:p w:rsidR="003D728F" w:rsidRPr="00ED0C6A" w:rsidRDefault="00BC2394"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rozważył sprawę na podstawie art. 14 w związku z </w:t>
      </w:r>
      <w:r w:rsidR="003D728F" w:rsidRPr="00ED0C6A">
        <w:rPr>
          <w:rFonts w:asciiTheme="minorHAnsi" w:hAnsiTheme="minorHAnsi"/>
          <w:sz w:val="24"/>
          <w:lang w:val="pl-PL"/>
        </w:rPr>
        <w:t>art. 8</w:t>
      </w:r>
      <w:r w:rsidRPr="00ED0C6A">
        <w:rPr>
          <w:rFonts w:asciiTheme="minorHAnsi" w:hAnsiTheme="minorHAnsi"/>
          <w:sz w:val="24"/>
          <w:lang w:val="pl-PL"/>
        </w:rPr>
        <w:t xml:space="preserve"> Konwencji. Przypomniał, że</w:t>
      </w:r>
      <w:r w:rsidR="00827554">
        <w:rPr>
          <w:rFonts w:asciiTheme="minorHAnsi" w:hAnsiTheme="minorHAnsi"/>
          <w:sz w:val="24"/>
          <w:lang w:val="pl-PL"/>
        </w:rPr>
        <w:t> </w:t>
      </w:r>
      <w:r w:rsidRPr="00ED0C6A">
        <w:rPr>
          <w:rFonts w:asciiTheme="minorHAnsi" w:hAnsiTheme="minorHAnsi"/>
          <w:sz w:val="24"/>
          <w:lang w:val="pl-PL"/>
        </w:rPr>
        <w:t>p</w:t>
      </w:r>
      <w:r w:rsidR="003D728F" w:rsidRPr="00ED0C6A">
        <w:rPr>
          <w:rFonts w:asciiTheme="minorHAnsi" w:hAnsiTheme="minorHAnsi"/>
          <w:sz w:val="24"/>
          <w:lang w:val="pl-PL"/>
        </w:rPr>
        <w:t>ostęp w zakresie równości płci jest ważnym celem Państw Członkowskich Rady Europy</w:t>
      </w:r>
      <w:r w:rsidRPr="00ED0C6A">
        <w:rPr>
          <w:rFonts w:asciiTheme="minorHAnsi" w:hAnsiTheme="minorHAnsi"/>
          <w:sz w:val="24"/>
          <w:lang w:val="pl-PL"/>
        </w:rPr>
        <w:t xml:space="preserve">. </w:t>
      </w:r>
      <w:r w:rsidR="005F20C8" w:rsidRPr="00ED0C6A">
        <w:rPr>
          <w:rFonts w:asciiTheme="minorHAnsi" w:hAnsiTheme="minorHAnsi"/>
          <w:sz w:val="24"/>
          <w:lang w:val="pl-PL"/>
        </w:rPr>
        <w:t>D</w:t>
      </w:r>
      <w:r w:rsidRPr="00ED0C6A">
        <w:rPr>
          <w:rFonts w:asciiTheme="minorHAnsi" w:hAnsiTheme="minorHAnsi"/>
          <w:sz w:val="24"/>
          <w:lang w:val="pl-PL"/>
        </w:rPr>
        <w:t xml:space="preserve">la uznania </w:t>
      </w:r>
      <w:r w:rsidR="005F20C8" w:rsidRPr="00ED0C6A">
        <w:rPr>
          <w:rFonts w:asciiTheme="minorHAnsi" w:hAnsiTheme="minorHAnsi"/>
          <w:sz w:val="24"/>
          <w:lang w:val="pl-PL"/>
        </w:rPr>
        <w:t xml:space="preserve">przez Trybunał </w:t>
      </w:r>
      <w:r w:rsidRPr="00ED0C6A">
        <w:rPr>
          <w:rFonts w:asciiTheme="minorHAnsi" w:hAnsiTheme="minorHAnsi"/>
          <w:sz w:val="24"/>
          <w:lang w:val="pl-PL"/>
        </w:rPr>
        <w:t xml:space="preserve">różnego traktowania za zgodne z Konwencją </w:t>
      </w:r>
      <w:r w:rsidR="003D728F" w:rsidRPr="00ED0C6A">
        <w:rPr>
          <w:rFonts w:asciiTheme="minorHAnsi" w:hAnsiTheme="minorHAnsi"/>
          <w:sz w:val="24"/>
          <w:lang w:val="pl-PL"/>
        </w:rPr>
        <w:t xml:space="preserve">musiałyby zostać wskazane bardzo ważne powody. W szczególności, odwołanie się do tradycji, generalnych założeń lub przeważających postaw społecznych w danym </w:t>
      </w:r>
      <w:r w:rsidR="00721A8D" w:rsidRPr="00ED0C6A">
        <w:rPr>
          <w:rFonts w:asciiTheme="minorHAnsi" w:hAnsiTheme="minorHAnsi"/>
          <w:sz w:val="24"/>
          <w:lang w:val="pl-PL"/>
        </w:rPr>
        <w:t xml:space="preserve">Państwie </w:t>
      </w:r>
      <w:r w:rsidR="003D728F" w:rsidRPr="00ED0C6A">
        <w:rPr>
          <w:rFonts w:asciiTheme="minorHAnsi" w:hAnsiTheme="minorHAnsi"/>
          <w:sz w:val="24"/>
          <w:lang w:val="pl-PL"/>
        </w:rPr>
        <w:t xml:space="preserve">nie są wystarczającym uzasadnieniem dla różnego traktowania z uwagi na płeć. Problem </w:t>
      </w:r>
      <w:r w:rsidR="00B74B35" w:rsidRPr="00ED0C6A">
        <w:rPr>
          <w:rFonts w:asciiTheme="minorHAnsi" w:hAnsiTheme="minorHAnsi"/>
          <w:sz w:val="24"/>
          <w:lang w:val="pl-PL"/>
        </w:rPr>
        <w:t>związany ze</w:t>
      </w:r>
      <w:r w:rsidR="00827554">
        <w:rPr>
          <w:rFonts w:asciiTheme="minorHAnsi" w:hAnsiTheme="minorHAnsi"/>
          <w:sz w:val="24"/>
          <w:lang w:val="pl-PL"/>
        </w:rPr>
        <w:t> </w:t>
      </w:r>
      <w:r w:rsidR="00B74B35" w:rsidRPr="00ED0C6A">
        <w:rPr>
          <w:rFonts w:asciiTheme="minorHAnsi" w:hAnsiTheme="minorHAnsi"/>
          <w:sz w:val="24"/>
          <w:lang w:val="pl-PL"/>
        </w:rPr>
        <w:t>stereotypowym podejściem</w:t>
      </w:r>
      <w:r w:rsidR="003D728F" w:rsidRPr="00ED0C6A">
        <w:rPr>
          <w:rFonts w:asciiTheme="minorHAnsi" w:hAnsiTheme="minorHAnsi"/>
          <w:sz w:val="24"/>
          <w:lang w:val="pl-PL"/>
        </w:rPr>
        <w:t xml:space="preserve"> do pewnych grup w społeczeństwie wiąże się </w:t>
      </w:r>
      <w:r w:rsidRPr="00ED0C6A">
        <w:rPr>
          <w:rFonts w:asciiTheme="minorHAnsi" w:hAnsiTheme="minorHAnsi"/>
          <w:sz w:val="24"/>
          <w:lang w:val="pl-PL"/>
        </w:rPr>
        <w:t xml:space="preserve">bowiem </w:t>
      </w:r>
      <w:r w:rsidR="003D728F" w:rsidRPr="00ED0C6A">
        <w:rPr>
          <w:rFonts w:asciiTheme="minorHAnsi" w:hAnsiTheme="minorHAnsi"/>
          <w:sz w:val="24"/>
          <w:lang w:val="pl-PL"/>
        </w:rPr>
        <w:t>z</w:t>
      </w:r>
      <w:r w:rsidR="00DC3463">
        <w:rPr>
          <w:rFonts w:asciiTheme="minorHAnsi" w:hAnsiTheme="minorHAnsi"/>
          <w:sz w:val="24"/>
          <w:lang w:val="pl-PL"/>
        </w:rPr>
        <w:t> </w:t>
      </w:r>
      <w:r w:rsidR="003D728F" w:rsidRPr="00ED0C6A">
        <w:rPr>
          <w:rFonts w:asciiTheme="minorHAnsi" w:hAnsiTheme="minorHAnsi"/>
          <w:sz w:val="24"/>
          <w:lang w:val="pl-PL"/>
        </w:rPr>
        <w:t xml:space="preserve">faktem, że wyklucza ono </w:t>
      </w:r>
      <w:r w:rsidR="00B74B35" w:rsidRPr="00ED0C6A">
        <w:rPr>
          <w:rFonts w:asciiTheme="minorHAnsi" w:hAnsiTheme="minorHAnsi"/>
          <w:sz w:val="24"/>
          <w:lang w:val="pl-PL"/>
        </w:rPr>
        <w:t>z</w:t>
      </w:r>
      <w:r w:rsidR="003D728F" w:rsidRPr="00ED0C6A">
        <w:rPr>
          <w:rFonts w:asciiTheme="minorHAnsi" w:hAnsiTheme="minorHAnsi"/>
          <w:sz w:val="24"/>
          <w:lang w:val="pl-PL"/>
        </w:rPr>
        <w:t>indywidual</w:t>
      </w:r>
      <w:r w:rsidR="00B74B35" w:rsidRPr="00ED0C6A">
        <w:rPr>
          <w:rFonts w:asciiTheme="minorHAnsi" w:hAnsiTheme="minorHAnsi"/>
          <w:sz w:val="24"/>
          <w:lang w:val="pl-PL"/>
        </w:rPr>
        <w:t>izowa</w:t>
      </w:r>
      <w:r w:rsidR="003D728F" w:rsidRPr="00ED0C6A">
        <w:rPr>
          <w:rFonts w:asciiTheme="minorHAnsi" w:hAnsiTheme="minorHAnsi"/>
          <w:sz w:val="24"/>
          <w:lang w:val="pl-PL"/>
        </w:rPr>
        <w:t xml:space="preserve">ną ocenę ich zdolności lub potrzeb. </w:t>
      </w:r>
    </w:p>
    <w:p w:rsidR="00BC2394" w:rsidRPr="00ED0C6A" w:rsidRDefault="00BC2394" w:rsidP="00F11942">
      <w:pPr>
        <w:pStyle w:val="ClinContent"/>
        <w:spacing w:before="0"/>
        <w:rPr>
          <w:rFonts w:asciiTheme="minorHAnsi" w:hAnsiTheme="minorHAnsi"/>
          <w:sz w:val="24"/>
          <w:lang w:val="pl-PL"/>
        </w:rPr>
      </w:pPr>
    </w:p>
    <w:p w:rsidR="003D728F" w:rsidRPr="00ED0C6A" w:rsidRDefault="00BC2394"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odnotował, że </w:t>
      </w:r>
      <w:r w:rsidR="003D728F" w:rsidRPr="00ED0C6A">
        <w:rPr>
          <w:rFonts w:asciiTheme="minorHAnsi" w:hAnsiTheme="minorHAnsi"/>
          <w:sz w:val="24"/>
          <w:lang w:val="pl-PL"/>
        </w:rPr>
        <w:t>Najwyższy Sąd Administracyjny potwierdził ustalenia sądu I instancji, ale uznał, że cierpienie fizyczne i psychiczne skarżącej zostało spotęgowane operacją, a</w:t>
      </w:r>
      <w:r w:rsidR="00827554">
        <w:rPr>
          <w:rFonts w:asciiTheme="minorHAnsi" w:hAnsiTheme="minorHAnsi"/>
          <w:sz w:val="24"/>
          <w:lang w:val="pl-PL"/>
        </w:rPr>
        <w:t> </w:t>
      </w:r>
      <w:r w:rsidR="003D728F" w:rsidRPr="00ED0C6A">
        <w:rPr>
          <w:rFonts w:asciiTheme="minorHAnsi" w:hAnsiTheme="minorHAnsi"/>
          <w:sz w:val="24"/>
          <w:lang w:val="pl-PL"/>
        </w:rPr>
        <w:t>nie,</w:t>
      </w:r>
      <w:r w:rsidR="00827554">
        <w:rPr>
          <w:rFonts w:asciiTheme="minorHAnsi" w:hAnsiTheme="minorHAnsi"/>
          <w:sz w:val="24"/>
          <w:lang w:val="pl-PL"/>
        </w:rPr>
        <w:t> </w:t>
      </w:r>
      <w:r w:rsidR="003D728F" w:rsidRPr="00ED0C6A">
        <w:rPr>
          <w:rFonts w:asciiTheme="minorHAnsi" w:hAnsiTheme="minorHAnsi"/>
          <w:sz w:val="24"/>
          <w:lang w:val="pl-PL"/>
        </w:rPr>
        <w:t>że wynikało ono wyłącznie z uszkodzenia ciała spowodowanego podczas operacji chirurgicznej. Sąd powołał się na fakt, że „w czasie operacji chirurgicznej skarżąca skończyła już 50 lat i miała dwójkę dzieci, a więc była w wieku, w którym seksualność nie jest już tak ważna jak w młodszym wieku, jej znaczenie zmniejsza się bowiem z wiekiem”, a</w:t>
      </w:r>
      <w:r w:rsidR="00827554">
        <w:rPr>
          <w:rFonts w:asciiTheme="minorHAnsi" w:hAnsiTheme="minorHAnsi"/>
          <w:sz w:val="24"/>
          <w:lang w:val="pl-PL"/>
        </w:rPr>
        <w:t> </w:t>
      </w:r>
      <w:r w:rsidR="003D728F" w:rsidRPr="00ED0C6A">
        <w:rPr>
          <w:rFonts w:asciiTheme="minorHAnsi" w:hAnsiTheme="minorHAnsi"/>
          <w:sz w:val="24"/>
          <w:lang w:val="pl-PL"/>
        </w:rPr>
        <w:t>także</w:t>
      </w:r>
      <w:r w:rsidR="00827554">
        <w:rPr>
          <w:rFonts w:asciiTheme="minorHAnsi" w:hAnsiTheme="minorHAnsi"/>
          <w:sz w:val="24"/>
          <w:lang w:val="pl-PL"/>
        </w:rPr>
        <w:t> </w:t>
      </w:r>
      <w:r w:rsidR="00B74B35" w:rsidRPr="00ED0C6A">
        <w:rPr>
          <w:rFonts w:asciiTheme="minorHAnsi" w:hAnsiTheme="minorHAnsi"/>
          <w:sz w:val="24"/>
          <w:lang w:val="pl-PL"/>
        </w:rPr>
        <w:t xml:space="preserve">powołał się </w:t>
      </w:r>
      <w:r w:rsidR="003D728F" w:rsidRPr="00ED0C6A">
        <w:rPr>
          <w:rFonts w:asciiTheme="minorHAnsi" w:hAnsiTheme="minorHAnsi"/>
          <w:sz w:val="24"/>
          <w:lang w:val="pl-PL"/>
        </w:rPr>
        <w:t>na fakt, że z uwagi na wiek dzieci „prawdopodobnie potrzebowała już tylko zajmować się swoim mężem”.</w:t>
      </w:r>
    </w:p>
    <w:p w:rsidR="00BC2394" w:rsidRPr="00ED0C6A" w:rsidRDefault="00BC2394" w:rsidP="00F11942">
      <w:pPr>
        <w:pStyle w:val="ClinContent"/>
        <w:spacing w:before="0"/>
        <w:rPr>
          <w:rFonts w:asciiTheme="minorHAnsi" w:hAnsiTheme="minorHAnsi"/>
          <w:sz w:val="24"/>
          <w:lang w:val="pl-PL"/>
        </w:rPr>
      </w:pPr>
    </w:p>
    <w:p w:rsidR="003D728F" w:rsidRPr="00ED0C6A" w:rsidRDefault="00BC2394" w:rsidP="00F11942">
      <w:pPr>
        <w:pStyle w:val="ClinContent"/>
        <w:spacing w:before="0"/>
        <w:rPr>
          <w:rFonts w:asciiTheme="minorHAnsi" w:hAnsiTheme="minorHAnsi"/>
          <w:sz w:val="24"/>
          <w:lang w:val="pl-PL"/>
        </w:rPr>
      </w:pPr>
      <w:r w:rsidRPr="00ED0C6A">
        <w:rPr>
          <w:rFonts w:asciiTheme="minorHAnsi" w:hAnsiTheme="minorHAnsi"/>
          <w:sz w:val="24"/>
          <w:lang w:val="pl-PL"/>
        </w:rPr>
        <w:t>Trybunał uznał, że istotą sp</w:t>
      </w:r>
      <w:r w:rsidR="00144A94" w:rsidRPr="00ED0C6A">
        <w:rPr>
          <w:rFonts w:asciiTheme="minorHAnsi" w:hAnsiTheme="minorHAnsi"/>
          <w:sz w:val="24"/>
          <w:lang w:val="pl-PL"/>
        </w:rPr>
        <w:t>oru</w:t>
      </w:r>
      <w:r w:rsidR="003D728F" w:rsidRPr="00ED0C6A">
        <w:rPr>
          <w:rFonts w:asciiTheme="minorHAnsi" w:hAnsiTheme="minorHAnsi"/>
          <w:sz w:val="24"/>
          <w:lang w:val="pl-PL"/>
        </w:rPr>
        <w:t xml:space="preserve"> nie są wz</w:t>
      </w:r>
      <w:r w:rsidR="00B74B35" w:rsidRPr="00ED0C6A">
        <w:rPr>
          <w:rFonts w:asciiTheme="minorHAnsi" w:hAnsiTheme="minorHAnsi"/>
          <w:sz w:val="24"/>
          <w:lang w:val="pl-PL"/>
        </w:rPr>
        <w:t>ględy wieku czy płci jako takich</w:t>
      </w:r>
      <w:r w:rsidR="003D728F" w:rsidRPr="00ED0C6A">
        <w:rPr>
          <w:rFonts w:asciiTheme="minorHAnsi" w:hAnsiTheme="minorHAnsi"/>
          <w:sz w:val="24"/>
          <w:lang w:val="pl-PL"/>
        </w:rPr>
        <w:t xml:space="preserve">, ale raczej przyjęcie </w:t>
      </w:r>
      <w:r w:rsidRPr="00ED0C6A">
        <w:rPr>
          <w:rFonts w:asciiTheme="minorHAnsi" w:hAnsiTheme="minorHAnsi"/>
          <w:sz w:val="24"/>
          <w:lang w:val="pl-PL"/>
        </w:rPr>
        <w:t xml:space="preserve">przez sąd krajowy </w:t>
      </w:r>
      <w:r w:rsidR="003D728F" w:rsidRPr="00ED0C6A">
        <w:rPr>
          <w:rFonts w:asciiTheme="minorHAnsi" w:hAnsiTheme="minorHAnsi"/>
          <w:sz w:val="24"/>
          <w:lang w:val="pl-PL"/>
        </w:rPr>
        <w:t xml:space="preserve">założenia, że seksualność 50-letniej kobiety i matki dwójki dzieci nie jest tak istotna jak w przypadku kogoś w młodszym wieku. To założenie odzwierciedlało tradycyjne podejście do seksualności kobiety jako zasadniczo powiązanej z celami rodzenia dzieci, ignorujące w ten sposób jej fizyczne i psychologiczne znaczenie dla samospełnienia kobiet jako ludzi. Oprócz tego, że miało ono charakter osądu, nie brało ono pod uwagę innych wymiarów kobiecej seksualności w konkretnej sprawie skarżącej. Innymi słowy, Najwyższy Sąd Administracyjny przyjął ogólne założenie bez próby zweryfikowania, czy jest ono uzasadnione w konkretnej sprawie. </w:t>
      </w:r>
    </w:p>
    <w:p w:rsidR="00BC2394" w:rsidRPr="00ED0C6A" w:rsidRDefault="00BC2394" w:rsidP="00F11942">
      <w:pPr>
        <w:pStyle w:val="ClinContent"/>
        <w:spacing w:before="0"/>
        <w:rPr>
          <w:rFonts w:asciiTheme="minorHAnsi" w:hAnsiTheme="minorHAnsi"/>
          <w:sz w:val="24"/>
          <w:lang w:val="pl-PL"/>
        </w:rPr>
      </w:pPr>
    </w:p>
    <w:p w:rsidR="003D728F" w:rsidRPr="00ED0C6A" w:rsidRDefault="00BC2394" w:rsidP="00F11942">
      <w:pPr>
        <w:pStyle w:val="ClinContent"/>
        <w:spacing w:before="0"/>
        <w:rPr>
          <w:rFonts w:asciiTheme="minorHAnsi" w:hAnsiTheme="minorHAnsi"/>
          <w:sz w:val="24"/>
          <w:lang w:val="pl-PL"/>
        </w:rPr>
      </w:pPr>
      <w:r w:rsidRPr="00ED0C6A">
        <w:rPr>
          <w:rFonts w:asciiTheme="minorHAnsi" w:hAnsiTheme="minorHAnsi"/>
          <w:sz w:val="24"/>
          <w:lang w:val="pl-PL"/>
        </w:rPr>
        <w:t>Przy czym Trybunał podkreślił, że u</w:t>
      </w:r>
      <w:r w:rsidR="003D728F" w:rsidRPr="00ED0C6A">
        <w:rPr>
          <w:rFonts w:asciiTheme="minorHAnsi" w:hAnsiTheme="minorHAnsi"/>
          <w:sz w:val="24"/>
          <w:lang w:val="pl-PL"/>
        </w:rPr>
        <w:t>jęcie wyroku Najwyższego Sądu Administracyjnego nie</w:t>
      </w:r>
      <w:r w:rsidR="00827554">
        <w:rPr>
          <w:rFonts w:asciiTheme="minorHAnsi" w:hAnsiTheme="minorHAnsi"/>
          <w:sz w:val="24"/>
          <w:lang w:val="pl-PL"/>
        </w:rPr>
        <w:t> </w:t>
      </w:r>
      <w:r w:rsidR="003D728F" w:rsidRPr="00ED0C6A">
        <w:rPr>
          <w:rFonts w:asciiTheme="minorHAnsi" w:hAnsiTheme="minorHAnsi"/>
          <w:sz w:val="24"/>
          <w:lang w:val="pl-PL"/>
        </w:rPr>
        <w:t xml:space="preserve">może być uznane za </w:t>
      </w:r>
      <w:r w:rsidRPr="00ED0C6A">
        <w:rPr>
          <w:rFonts w:asciiTheme="minorHAnsi" w:hAnsiTheme="minorHAnsi"/>
          <w:sz w:val="24"/>
          <w:lang w:val="pl-PL"/>
        </w:rPr>
        <w:t xml:space="preserve">jedynie </w:t>
      </w:r>
      <w:r w:rsidR="003D728F" w:rsidRPr="00ED0C6A">
        <w:rPr>
          <w:rFonts w:asciiTheme="minorHAnsi" w:hAnsiTheme="minorHAnsi"/>
          <w:sz w:val="24"/>
          <w:lang w:val="pl-PL"/>
        </w:rPr>
        <w:t>niefortunn</w:t>
      </w:r>
      <w:r w:rsidR="00B74B35" w:rsidRPr="00ED0C6A">
        <w:rPr>
          <w:rFonts w:asciiTheme="minorHAnsi" w:hAnsiTheme="minorHAnsi"/>
          <w:sz w:val="24"/>
          <w:lang w:val="pl-PL"/>
        </w:rPr>
        <w:t>ie sformułowan</w:t>
      </w:r>
      <w:r w:rsidR="003D728F" w:rsidRPr="00ED0C6A">
        <w:rPr>
          <w:rFonts w:asciiTheme="minorHAnsi" w:hAnsiTheme="minorHAnsi"/>
          <w:sz w:val="24"/>
          <w:lang w:val="pl-PL"/>
        </w:rPr>
        <w:t>e zdani</w:t>
      </w:r>
      <w:r w:rsidR="00B74B35" w:rsidRPr="00ED0C6A">
        <w:rPr>
          <w:rFonts w:asciiTheme="minorHAnsi" w:hAnsiTheme="minorHAnsi"/>
          <w:sz w:val="24"/>
          <w:lang w:val="pl-PL"/>
        </w:rPr>
        <w:t>e</w:t>
      </w:r>
      <w:r w:rsidR="003D728F" w:rsidRPr="00ED0C6A">
        <w:rPr>
          <w:rFonts w:asciiTheme="minorHAnsi" w:hAnsiTheme="minorHAnsi"/>
          <w:sz w:val="24"/>
          <w:lang w:val="pl-PL"/>
        </w:rPr>
        <w:t>. Wydaje się, że</w:t>
      </w:r>
      <w:r w:rsidR="00DC3463">
        <w:rPr>
          <w:rFonts w:asciiTheme="minorHAnsi" w:hAnsiTheme="minorHAnsi"/>
          <w:sz w:val="24"/>
          <w:lang w:val="pl-PL"/>
        </w:rPr>
        <w:t> </w:t>
      </w:r>
      <w:r w:rsidR="003D728F" w:rsidRPr="00ED0C6A">
        <w:rPr>
          <w:rFonts w:asciiTheme="minorHAnsi" w:hAnsiTheme="minorHAnsi"/>
          <w:sz w:val="24"/>
          <w:lang w:val="pl-PL"/>
        </w:rPr>
        <w:t>wiek</w:t>
      </w:r>
      <w:r w:rsidR="00DC3463">
        <w:rPr>
          <w:rFonts w:asciiTheme="minorHAnsi" w:hAnsiTheme="minorHAnsi"/>
          <w:sz w:val="24"/>
          <w:lang w:val="pl-PL"/>
        </w:rPr>
        <w:t> </w:t>
      </w:r>
      <w:r w:rsidR="003D728F" w:rsidRPr="00ED0C6A">
        <w:rPr>
          <w:rFonts w:asciiTheme="minorHAnsi" w:hAnsiTheme="minorHAnsi"/>
          <w:sz w:val="24"/>
          <w:lang w:val="pl-PL"/>
        </w:rPr>
        <w:t>i</w:t>
      </w:r>
      <w:r w:rsidR="00827554">
        <w:rPr>
          <w:rFonts w:asciiTheme="minorHAnsi" w:hAnsiTheme="minorHAnsi"/>
          <w:sz w:val="24"/>
          <w:lang w:val="pl-PL"/>
        </w:rPr>
        <w:t> </w:t>
      </w:r>
      <w:r w:rsidR="003D728F" w:rsidRPr="00ED0C6A">
        <w:rPr>
          <w:rFonts w:asciiTheme="minorHAnsi" w:hAnsiTheme="minorHAnsi"/>
          <w:sz w:val="24"/>
          <w:lang w:val="pl-PL"/>
        </w:rPr>
        <w:t xml:space="preserve">płeć skarżącej stanowiły decydujący czynnik dla ostatecznego rozstrzygnięcia, wprowadzającego różne traktowanie w oparciu o te przesłanki.  </w:t>
      </w:r>
    </w:p>
    <w:p w:rsidR="00144A94" w:rsidRPr="00ED0C6A" w:rsidRDefault="00144A94"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Trybunał odnotował odmienność między sprawą skarżącej a podejściem przyjętym przez Sąd</w:t>
      </w:r>
      <w:r w:rsidR="00827554">
        <w:rPr>
          <w:rFonts w:asciiTheme="minorHAnsi" w:hAnsiTheme="minorHAnsi"/>
          <w:sz w:val="24"/>
          <w:lang w:val="pl-PL"/>
        </w:rPr>
        <w:t> </w:t>
      </w:r>
      <w:r w:rsidRPr="00ED0C6A">
        <w:rPr>
          <w:rFonts w:asciiTheme="minorHAnsi" w:hAnsiTheme="minorHAnsi"/>
          <w:sz w:val="24"/>
          <w:lang w:val="pl-PL"/>
        </w:rPr>
        <w:t>Najwyższy w dw</w:t>
      </w:r>
      <w:r w:rsidR="00144A94" w:rsidRPr="00ED0C6A">
        <w:rPr>
          <w:rFonts w:asciiTheme="minorHAnsi" w:hAnsiTheme="minorHAnsi"/>
          <w:sz w:val="24"/>
          <w:lang w:val="pl-PL"/>
        </w:rPr>
        <w:t>óch wyrokach z 2008 r. i 2014 r.</w:t>
      </w:r>
      <w:r w:rsidRPr="00ED0C6A">
        <w:rPr>
          <w:rFonts w:asciiTheme="minorHAnsi" w:hAnsiTheme="minorHAnsi"/>
          <w:sz w:val="24"/>
          <w:lang w:val="pl-PL"/>
        </w:rPr>
        <w:t xml:space="preserve"> </w:t>
      </w:r>
      <w:r w:rsidR="00144A94" w:rsidRPr="00ED0C6A">
        <w:rPr>
          <w:rFonts w:asciiTheme="minorHAnsi" w:hAnsiTheme="minorHAnsi"/>
          <w:sz w:val="24"/>
          <w:lang w:val="pl-PL"/>
        </w:rPr>
        <w:t>W</w:t>
      </w:r>
      <w:r w:rsidRPr="00ED0C6A">
        <w:rPr>
          <w:rFonts w:asciiTheme="minorHAnsi" w:hAnsiTheme="minorHAnsi"/>
          <w:sz w:val="24"/>
          <w:lang w:val="pl-PL"/>
        </w:rPr>
        <w:t xml:space="preserve"> </w:t>
      </w:r>
      <w:r w:rsidR="00144A94" w:rsidRPr="00ED0C6A">
        <w:rPr>
          <w:rFonts w:asciiTheme="minorHAnsi" w:hAnsiTheme="minorHAnsi"/>
          <w:sz w:val="24"/>
          <w:lang w:val="pl-PL"/>
        </w:rPr>
        <w:t xml:space="preserve">tamtych </w:t>
      </w:r>
      <w:r w:rsidRPr="00ED0C6A">
        <w:rPr>
          <w:rFonts w:asciiTheme="minorHAnsi" w:hAnsiTheme="minorHAnsi"/>
          <w:sz w:val="24"/>
          <w:lang w:val="pl-PL"/>
        </w:rPr>
        <w:t xml:space="preserve">sprawach dwaj pacjenci – mężczyźni w wieku odpowiednio 55 i 59 lat – zarzucali błąd medyczny. </w:t>
      </w:r>
      <w:r w:rsidR="00B74B35" w:rsidRPr="00ED0C6A">
        <w:rPr>
          <w:rFonts w:asciiTheme="minorHAnsi" w:hAnsiTheme="minorHAnsi"/>
          <w:sz w:val="24"/>
          <w:lang w:val="pl-PL"/>
        </w:rPr>
        <w:t>W</w:t>
      </w:r>
      <w:r w:rsidR="00827554">
        <w:rPr>
          <w:rFonts w:asciiTheme="minorHAnsi" w:hAnsiTheme="minorHAnsi"/>
          <w:sz w:val="24"/>
          <w:lang w:val="pl-PL"/>
        </w:rPr>
        <w:t> </w:t>
      </w:r>
      <w:r w:rsidR="00B74B35" w:rsidRPr="00ED0C6A">
        <w:rPr>
          <w:rFonts w:asciiTheme="minorHAnsi" w:hAnsiTheme="minorHAnsi"/>
          <w:sz w:val="24"/>
          <w:lang w:val="pl-PL"/>
        </w:rPr>
        <w:t>tych</w:t>
      </w:r>
      <w:r w:rsidR="00827554">
        <w:rPr>
          <w:rFonts w:asciiTheme="minorHAnsi" w:hAnsiTheme="minorHAnsi"/>
          <w:sz w:val="24"/>
          <w:lang w:val="pl-PL"/>
        </w:rPr>
        <w:t> </w:t>
      </w:r>
      <w:r w:rsidR="00B74B35" w:rsidRPr="00ED0C6A">
        <w:rPr>
          <w:rFonts w:asciiTheme="minorHAnsi" w:hAnsiTheme="minorHAnsi"/>
          <w:sz w:val="24"/>
          <w:lang w:val="pl-PL"/>
        </w:rPr>
        <w:t xml:space="preserve">wyrokach </w:t>
      </w:r>
      <w:r w:rsidRPr="00ED0C6A">
        <w:rPr>
          <w:rFonts w:asciiTheme="minorHAnsi" w:hAnsiTheme="minorHAnsi"/>
          <w:sz w:val="24"/>
          <w:lang w:val="pl-PL"/>
        </w:rPr>
        <w:t xml:space="preserve">Sąd Najwyższy orzekł, że fakt, że mężczyźni ci nie mogli już utrzymywać relacji seksualnych, wpłynął na ich poczucie własnej wartości i skutkował „ogromnym szokiem” oraz „silnym wstrząsem psychicznym”. Oceniając wysokość odszkodowania, wziął </w:t>
      </w:r>
      <w:r w:rsidR="00B74B35" w:rsidRPr="00ED0C6A">
        <w:rPr>
          <w:rFonts w:asciiTheme="minorHAnsi" w:hAnsiTheme="minorHAnsi"/>
          <w:sz w:val="24"/>
          <w:lang w:val="pl-PL"/>
        </w:rPr>
        <w:t xml:space="preserve">on </w:t>
      </w:r>
      <w:r w:rsidRPr="00ED0C6A">
        <w:rPr>
          <w:rFonts w:asciiTheme="minorHAnsi" w:hAnsiTheme="minorHAnsi"/>
          <w:sz w:val="24"/>
          <w:lang w:val="pl-PL"/>
        </w:rPr>
        <w:t xml:space="preserve">pod uwagę fakt, że mężczyźni ci nie mogli już utrzymywać relacji seksualnych oraz skutek, jaki fakt ten wywarł na nich, niezależnie od ich wieku, kwestii posiadania przez nich dzieci </w:t>
      </w:r>
      <w:r w:rsidR="00B74B35" w:rsidRPr="00ED0C6A">
        <w:rPr>
          <w:rFonts w:asciiTheme="minorHAnsi" w:hAnsiTheme="minorHAnsi"/>
          <w:sz w:val="24"/>
          <w:lang w:val="pl-PL"/>
        </w:rPr>
        <w:t>oraz</w:t>
      </w:r>
      <w:r w:rsidRPr="00ED0C6A">
        <w:rPr>
          <w:rFonts w:asciiTheme="minorHAnsi" w:hAnsiTheme="minorHAnsi"/>
          <w:sz w:val="24"/>
          <w:lang w:val="pl-PL"/>
        </w:rPr>
        <w:t xml:space="preserve"> jakichkolwiek innych czynników. </w:t>
      </w:r>
    </w:p>
    <w:p w:rsidR="00144A94" w:rsidRPr="00ED0C6A" w:rsidRDefault="00144A94" w:rsidP="00F11942">
      <w:pPr>
        <w:pStyle w:val="ClinContent"/>
        <w:spacing w:before="0"/>
        <w:rPr>
          <w:rFonts w:asciiTheme="minorHAnsi" w:hAnsiTheme="minorHAnsi"/>
          <w:sz w:val="24"/>
          <w:lang w:val="pl-PL"/>
        </w:rPr>
      </w:pPr>
    </w:p>
    <w:p w:rsidR="003D728F" w:rsidRPr="00ED0C6A" w:rsidRDefault="00144A94"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Z powyższych względów Trybunał pięcioma głosami do dwóch stwierdził naruszenie zakazu dyskryminacji (art. 14) w związku z prawem do poszanowania życia prywatnego i rodzinnego (art. 8) i zasądził na rzecz skarżącej </w:t>
      </w:r>
      <w:r w:rsidR="003D728F" w:rsidRPr="00ED0C6A">
        <w:rPr>
          <w:rFonts w:asciiTheme="minorHAnsi" w:hAnsiTheme="minorHAnsi"/>
          <w:sz w:val="24"/>
          <w:lang w:val="pl-PL"/>
        </w:rPr>
        <w:t>3 250 EUR tytułem szkody niemajątkowej.</w:t>
      </w:r>
    </w:p>
    <w:p w:rsidR="00165B2E" w:rsidRPr="00ED0C6A" w:rsidRDefault="00165B2E" w:rsidP="00F11942">
      <w:pPr>
        <w:pStyle w:val="ClinContent"/>
        <w:spacing w:before="0"/>
        <w:rPr>
          <w:rFonts w:asciiTheme="minorHAnsi" w:hAnsiTheme="minorHAnsi"/>
          <w:sz w:val="24"/>
          <w:lang w:val="pl-PL"/>
        </w:rPr>
      </w:pPr>
    </w:p>
    <w:p w:rsidR="00AB1DE2" w:rsidRPr="00ED0C6A" w:rsidRDefault="00165B2E" w:rsidP="00165B2E">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kolejny wyrok Trybunału dotyczący problematyki dyskryminacji z uwagi na płeć. Zawiera m.in. ciekawe rozważania dotyczące potrzeby zindywidualizowanej oceny</w:t>
      </w:r>
      <w:r w:rsidR="00867E02" w:rsidRPr="00ED0C6A">
        <w:rPr>
          <w:lang w:val="pl-PL"/>
        </w:rPr>
        <w:t xml:space="preserve"> </w:t>
      </w:r>
      <w:r w:rsidR="00867E02" w:rsidRPr="00ED0C6A">
        <w:rPr>
          <w:rFonts w:asciiTheme="minorHAnsi" w:hAnsiTheme="minorHAnsi"/>
          <w:sz w:val="24"/>
          <w:lang w:val="pl-PL"/>
        </w:rPr>
        <w:t>przez sąd</w:t>
      </w:r>
      <w:r w:rsidR="0006118B" w:rsidRPr="00ED0C6A">
        <w:rPr>
          <w:rFonts w:asciiTheme="minorHAnsi" w:hAnsiTheme="minorHAnsi"/>
          <w:sz w:val="24"/>
          <w:lang w:val="pl-PL"/>
        </w:rPr>
        <w:t>y</w:t>
      </w:r>
      <w:r w:rsidR="00867E02" w:rsidRPr="00ED0C6A">
        <w:rPr>
          <w:rFonts w:asciiTheme="minorHAnsi" w:hAnsiTheme="minorHAnsi"/>
          <w:sz w:val="24"/>
          <w:lang w:val="pl-PL"/>
        </w:rPr>
        <w:t xml:space="preserve"> danej</w:t>
      </w:r>
      <w:r w:rsidRPr="00ED0C6A">
        <w:rPr>
          <w:rFonts w:asciiTheme="minorHAnsi" w:hAnsiTheme="minorHAnsi"/>
          <w:sz w:val="24"/>
          <w:lang w:val="pl-PL"/>
        </w:rPr>
        <w:t xml:space="preserve"> sprawy, a nie w oparciu o ogólne założenia czy</w:t>
      </w:r>
      <w:r w:rsidR="00827554">
        <w:rPr>
          <w:rFonts w:asciiTheme="minorHAnsi" w:hAnsiTheme="minorHAnsi"/>
          <w:sz w:val="24"/>
          <w:lang w:val="pl-PL"/>
        </w:rPr>
        <w:t> </w:t>
      </w:r>
      <w:r w:rsidRPr="00ED0C6A">
        <w:rPr>
          <w:rFonts w:asciiTheme="minorHAnsi" w:hAnsiTheme="minorHAnsi"/>
          <w:sz w:val="24"/>
          <w:lang w:val="pl-PL"/>
        </w:rPr>
        <w:t>uprzedzenia. Wskazuje, że stereotypowe podejście do pewnych grup w społeczeństwie jest problematyczne z uwagi na fakt, że wyklucza ono indywidualną ocenę zdolności lub</w:t>
      </w:r>
      <w:r w:rsidR="00DC3463">
        <w:rPr>
          <w:rFonts w:asciiTheme="minorHAnsi" w:hAnsiTheme="minorHAnsi"/>
          <w:sz w:val="24"/>
          <w:lang w:val="pl-PL"/>
        </w:rPr>
        <w:t> </w:t>
      </w:r>
      <w:r w:rsidRPr="00ED0C6A">
        <w:rPr>
          <w:rFonts w:asciiTheme="minorHAnsi" w:hAnsiTheme="minorHAnsi"/>
          <w:sz w:val="24"/>
          <w:lang w:val="pl-PL"/>
        </w:rPr>
        <w:t xml:space="preserve">potrzeb poszczególnych osób. </w:t>
      </w:r>
    </w:p>
    <w:p w:rsidR="003E6E4F" w:rsidRPr="00ED0C6A" w:rsidRDefault="003E6E4F" w:rsidP="00165B2E">
      <w:pPr>
        <w:pStyle w:val="ClinContent"/>
        <w:spacing w:before="0"/>
        <w:rPr>
          <w:rFonts w:asciiTheme="minorHAnsi" w:hAnsiTheme="minorHAnsi"/>
          <w:sz w:val="24"/>
          <w:lang w:val="pl-PL"/>
        </w:rPr>
      </w:pPr>
    </w:p>
    <w:p w:rsidR="003E6E4F" w:rsidRPr="00ED0C6A" w:rsidRDefault="003E6E4F" w:rsidP="00165B2E">
      <w:pPr>
        <w:pStyle w:val="ClinContent"/>
        <w:spacing w:before="0"/>
        <w:rPr>
          <w:rFonts w:asciiTheme="minorHAnsi" w:hAnsiTheme="minorHAnsi"/>
          <w:sz w:val="24"/>
          <w:lang w:val="pl-PL"/>
        </w:rPr>
      </w:pPr>
      <w:r w:rsidRPr="00ED0C6A">
        <w:rPr>
          <w:rFonts w:asciiTheme="minorHAnsi" w:hAnsiTheme="minorHAnsi"/>
          <w:sz w:val="24"/>
          <w:lang w:val="pl-PL"/>
        </w:rPr>
        <w:t>Wyrok może mieć znaczenie dla sądów rozstrzygających sprawy o dyskryminację, a</w:t>
      </w:r>
      <w:r w:rsidR="00DC3463">
        <w:rPr>
          <w:rFonts w:asciiTheme="minorHAnsi" w:hAnsiTheme="minorHAnsi"/>
          <w:sz w:val="24"/>
          <w:lang w:val="pl-PL"/>
        </w:rPr>
        <w:t> </w:t>
      </w:r>
      <w:r w:rsidRPr="00ED0C6A">
        <w:rPr>
          <w:rFonts w:asciiTheme="minorHAnsi" w:hAnsiTheme="minorHAnsi"/>
          <w:sz w:val="24"/>
          <w:lang w:val="pl-PL"/>
        </w:rPr>
        <w:t>także</w:t>
      </w:r>
      <w:r w:rsidR="00DC3463">
        <w:rPr>
          <w:rFonts w:asciiTheme="minorHAnsi" w:hAnsiTheme="minorHAnsi"/>
          <w:sz w:val="24"/>
          <w:lang w:val="pl-PL"/>
        </w:rPr>
        <w:t> </w:t>
      </w:r>
      <w:r w:rsidRPr="00ED0C6A">
        <w:rPr>
          <w:rFonts w:asciiTheme="minorHAnsi" w:hAnsiTheme="minorHAnsi"/>
          <w:sz w:val="24"/>
          <w:lang w:val="pl-PL"/>
        </w:rPr>
        <w:t>dla</w:t>
      </w:r>
      <w:r w:rsidR="00827554">
        <w:rPr>
          <w:rFonts w:asciiTheme="minorHAnsi" w:hAnsiTheme="minorHAnsi"/>
          <w:sz w:val="24"/>
          <w:lang w:val="pl-PL"/>
        </w:rPr>
        <w:t> </w:t>
      </w:r>
      <w:r w:rsidRPr="00ED0C6A">
        <w:rPr>
          <w:rFonts w:asciiTheme="minorHAnsi" w:hAnsiTheme="minorHAnsi"/>
          <w:sz w:val="24"/>
          <w:lang w:val="pl-PL"/>
        </w:rPr>
        <w:t>organów właściwych ds. zapobiegania dyskryminacji</w:t>
      </w:r>
      <w:r w:rsidR="005F20C8" w:rsidRPr="00ED0C6A">
        <w:rPr>
          <w:rFonts w:asciiTheme="minorHAnsi" w:hAnsiTheme="minorHAnsi"/>
          <w:sz w:val="24"/>
          <w:lang w:val="pl-PL"/>
        </w:rPr>
        <w:t>, a także dla sądów rozpatrujących sprawy o odszkodowanie z tytułu błędów lekarskich</w:t>
      </w:r>
      <w:r w:rsidRPr="00ED0C6A">
        <w:rPr>
          <w:rFonts w:asciiTheme="minorHAnsi" w:hAnsiTheme="minorHAnsi"/>
          <w:sz w:val="24"/>
          <w:lang w:val="pl-PL"/>
        </w:rPr>
        <w:t xml:space="preserve">. </w:t>
      </w:r>
    </w:p>
    <w:p w:rsidR="003D728F" w:rsidRPr="00ED0C6A" w:rsidRDefault="003D728F" w:rsidP="009333A7">
      <w:pPr>
        <w:pStyle w:val="Nagwek2"/>
        <w:spacing w:before="480"/>
        <w:rPr>
          <w:rFonts w:asciiTheme="minorHAnsi" w:hAnsiTheme="minorHAnsi"/>
          <w:color w:val="auto"/>
          <w:sz w:val="24"/>
          <w:szCs w:val="24"/>
        </w:rPr>
      </w:pPr>
      <w:bookmarkStart w:id="8" w:name="_Ref509691893"/>
      <w:bookmarkStart w:id="9" w:name="_Toc524696727"/>
      <w:proofErr w:type="spellStart"/>
      <w:r w:rsidRPr="00ED0C6A">
        <w:rPr>
          <w:rFonts w:asciiTheme="minorHAnsi" w:hAnsiTheme="minorHAnsi"/>
          <w:color w:val="auto"/>
          <w:sz w:val="24"/>
          <w:szCs w:val="24"/>
        </w:rPr>
        <w:t>Chowdury</w:t>
      </w:r>
      <w:proofErr w:type="spellEnd"/>
      <w:r w:rsidRPr="00ED0C6A">
        <w:rPr>
          <w:rFonts w:asciiTheme="minorHAnsi" w:hAnsiTheme="minorHAnsi"/>
          <w:color w:val="auto"/>
          <w:sz w:val="24"/>
          <w:szCs w:val="24"/>
        </w:rPr>
        <w:t xml:space="preserve"> i Inni p. Grecji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21884/15</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E80C9C" w:rsidRPr="00ED0C6A">
        <w:rPr>
          <w:rFonts w:asciiTheme="minorHAnsi" w:hAnsiTheme="minorHAnsi"/>
          <w:color w:val="auto"/>
          <w:sz w:val="24"/>
          <w:szCs w:val="24"/>
        </w:rPr>
        <w:t xml:space="preserve">Izby </w:t>
      </w:r>
      <w:r w:rsidRPr="00ED0C6A">
        <w:rPr>
          <w:rFonts w:asciiTheme="minorHAnsi" w:hAnsiTheme="minorHAnsi"/>
          <w:color w:val="auto"/>
          <w:sz w:val="24"/>
          <w:szCs w:val="24"/>
        </w:rPr>
        <w:t>z 30</w:t>
      </w:r>
      <w:r w:rsidR="00B4260D" w:rsidRPr="00ED0C6A">
        <w:rPr>
          <w:rFonts w:asciiTheme="minorHAnsi" w:hAnsiTheme="minorHAnsi"/>
          <w:color w:val="auto"/>
          <w:sz w:val="24"/>
          <w:szCs w:val="24"/>
        </w:rPr>
        <w:t xml:space="preserve"> marca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8"/>
      <w:bookmarkEnd w:id="9"/>
    </w:p>
    <w:p w:rsidR="003D728F" w:rsidRPr="00ED0C6A" w:rsidRDefault="003D728F"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5D38CC" w:rsidRPr="00ED0C6A">
        <w:rPr>
          <w:b/>
          <w:color w:val="000000" w:themeColor="text1"/>
          <w:sz w:val="24"/>
          <w:szCs w:val="24"/>
          <w:lang w:val="pl-PL"/>
        </w:rPr>
        <w:t xml:space="preserve"> art. 4 ust. 2 Konwencji (zakaz niewolnictwa i pracy przymusowej – aspekty handlu ludźmi i pracy przymusowej) w odniesieniu do niewystarczającej reakcji władz na sytuację handlu ludźmi polegającą na wykorzystywaniu sytuacji bezbronnoś</w:t>
      </w:r>
      <w:r w:rsidR="00867E02" w:rsidRPr="00ED0C6A">
        <w:rPr>
          <w:b/>
          <w:color w:val="000000" w:themeColor="text1"/>
          <w:sz w:val="24"/>
          <w:szCs w:val="24"/>
          <w:lang w:val="pl-PL"/>
        </w:rPr>
        <w:t>ci pracowników – imigrantów nie</w:t>
      </w:r>
      <w:r w:rsidR="005D38CC" w:rsidRPr="00ED0C6A">
        <w:rPr>
          <w:b/>
          <w:color w:val="000000" w:themeColor="text1"/>
          <w:sz w:val="24"/>
          <w:szCs w:val="24"/>
          <w:lang w:val="pl-PL"/>
        </w:rPr>
        <w:t>posiadających zezwolenia</w:t>
      </w: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Skar</w:t>
      </w:r>
      <w:r w:rsidR="0016231D" w:rsidRPr="00ED0C6A">
        <w:rPr>
          <w:rFonts w:asciiTheme="minorHAnsi" w:hAnsiTheme="minorHAnsi"/>
          <w:sz w:val="24"/>
          <w:lang w:val="pl-PL"/>
        </w:rPr>
        <w:t xml:space="preserve">gę wniosło </w:t>
      </w:r>
      <w:r w:rsidRPr="00ED0C6A">
        <w:rPr>
          <w:rFonts w:asciiTheme="minorHAnsi" w:hAnsiTheme="minorHAnsi"/>
          <w:sz w:val="24"/>
          <w:lang w:val="pl-PL"/>
        </w:rPr>
        <w:t xml:space="preserve">42 obywateli Bangladeszu. </w:t>
      </w:r>
      <w:r w:rsidR="0016231D" w:rsidRPr="00ED0C6A">
        <w:rPr>
          <w:rFonts w:asciiTheme="minorHAnsi" w:hAnsiTheme="minorHAnsi"/>
          <w:sz w:val="24"/>
          <w:lang w:val="pl-PL"/>
        </w:rPr>
        <w:t xml:space="preserve">Byli oni </w:t>
      </w:r>
      <w:r w:rsidRPr="00ED0C6A">
        <w:rPr>
          <w:rFonts w:asciiTheme="minorHAnsi" w:hAnsiTheme="minorHAnsi"/>
          <w:sz w:val="24"/>
          <w:lang w:val="pl-PL"/>
        </w:rPr>
        <w:t>zatrudnieni w latach 2012-2013 jako</w:t>
      </w:r>
      <w:r w:rsidR="00DC3463">
        <w:rPr>
          <w:rFonts w:asciiTheme="minorHAnsi" w:hAnsiTheme="minorHAnsi"/>
          <w:sz w:val="24"/>
          <w:lang w:val="pl-PL"/>
        </w:rPr>
        <w:t> </w:t>
      </w:r>
      <w:r w:rsidRPr="00ED0C6A">
        <w:rPr>
          <w:rFonts w:asciiTheme="minorHAnsi" w:hAnsiTheme="minorHAnsi"/>
          <w:sz w:val="24"/>
          <w:lang w:val="pl-PL"/>
        </w:rPr>
        <w:t xml:space="preserve">sezonowi pracownicy rolni, nie mając zezwolenia na pracę i pobyt w Grecji. Za obietnicę wynagrodzenia w wysokości 22 euro za dzień i zakwaterowani w niegodnych warunkach pracowali oni w wyczerpującym wymiarze czasu pracy pod okiem uzbrojonych dozorców. </w:t>
      </w:r>
    </w:p>
    <w:p w:rsidR="0016231D" w:rsidRPr="00ED0C6A" w:rsidRDefault="0016231D"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Po wielu miesiącach bez wypłaty wybuchły strajki, na co szefowie odpowiedzieli groźbami i</w:t>
      </w:r>
      <w:r w:rsidR="00827554">
        <w:rPr>
          <w:rFonts w:asciiTheme="minorHAnsi" w:hAnsiTheme="minorHAnsi"/>
          <w:sz w:val="24"/>
          <w:lang w:val="pl-PL"/>
        </w:rPr>
        <w:t> </w:t>
      </w:r>
      <w:r w:rsidRPr="00ED0C6A">
        <w:rPr>
          <w:rFonts w:asciiTheme="minorHAnsi" w:hAnsiTheme="minorHAnsi"/>
          <w:sz w:val="24"/>
          <w:lang w:val="pl-PL"/>
        </w:rPr>
        <w:t xml:space="preserve">zatrudnieniem nowych imigrantów z Bangladeszu. W dniu 17 kwietnia 2013 r. jeden z dozorców otworzył ogień przeciwko około stu pracownikom, którzy domagali się swego wynagrodzenia, raniąc poważnie część skarżących. </w:t>
      </w:r>
    </w:p>
    <w:p w:rsidR="0016231D" w:rsidRPr="00ED0C6A" w:rsidRDefault="0016231D"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Wszczęto dochodzenie wobec pracodawców, osoby, która strzelała, oraz jednego z nadzorców. Oprócz zarzutów spowodowania poważnych obrażeń ciała, prokurator postawił też zarzut handlu ludźmi (art. 323A Kodeksu karnego). Części skarżących (wszystkim spośród rannych) prokuratura przyznała status ofiary handlu ludźmi i uczestniczyli oni w procesie. </w:t>
      </w:r>
    </w:p>
    <w:p w:rsidR="0016231D" w:rsidRPr="00ED0C6A" w:rsidRDefault="0016231D"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W lipcu 2014 r. sąd przysięgłych wymierzył kary pozbawienia wolności z tytułu spowodowania poważnych obrażeń ciała, ale oddalił zarzut handlu ludźmi na tej podstawie, że skarżący dobrowolnie podjęli zatrudnienie i nie utracili wolności poruszania się, co</w:t>
      </w:r>
      <w:r w:rsidR="00827554">
        <w:rPr>
          <w:rFonts w:asciiTheme="minorHAnsi" w:hAnsiTheme="minorHAnsi"/>
          <w:sz w:val="24"/>
          <w:lang w:val="pl-PL"/>
        </w:rPr>
        <w:t> </w:t>
      </w:r>
      <w:r w:rsidRPr="00ED0C6A">
        <w:rPr>
          <w:rFonts w:asciiTheme="minorHAnsi" w:hAnsiTheme="minorHAnsi"/>
          <w:sz w:val="24"/>
          <w:lang w:val="pl-PL"/>
        </w:rPr>
        <w:t xml:space="preserve">umożliwiało im opuszczenie pracodawcy. Prokurator przy Sądzie Kasacyjnym odmówił wniesienia kasacji. </w:t>
      </w:r>
    </w:p>
    <w:p w:rsidR="0016231D" w:rsidRPr="00ED0C6A" w:rsidRDefault="0016231D"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Pozostała grupa skarżących (osoby, które nie zostały ranne) nie uczestniczyła w procesie przed sądem przysięgłych. W maju 2013 r. wnieśli oni natomiast zawiadomienie o</w:t>
      </w:r>
      <w:r w:rsidR="00827554">
        <w:rPr>
          <w:rFonts w:asciiTheme="minorHAnsi" w:hAnsiTheme="minorHAnsi"/>
          <w:sz w:val="24"/>
          <w:lang w:val="pl-PL"/>
        </w:rPr>
        <w:t> </w:t>
      </w:r>
      <w:r w:rsidRPr="00ED0C6A">
        <w:rPr>
          <w:rFonts w:asciiTheme="minorHAnsi" w:hAnsiTheme="minorHAnsi"/>
          <w:sz w:val="24"/>
          <w:lang w:val="pl-PL"/>
        </w:rPr>
        <w:t>przestępstwie, domagając się, by również im przyznano status ofiar handlu ludźmi</w:t>
      </w:r>
      <w:r w:rsidR="0016231D" w:rsidRPr="00ED0C6A">
        <w:rPr>
          <w:rFonts w:asciiTheme="minorHAnsi" w:hAnsiTheme="minorHAnsi"/>
          <w:sz w:val="24"/>
          <w:lang w:val="pl-PL"/>
        </w:rPr>
        <w:t>.</w:t>
      </w:r>
      <w:r w:rsidRPr="00ED0C6A">
        <w:rPr>
          <w:rFonts w:asciiTheme="minorHAnsi" w:hAnsiTheme="minorHAnsi"/>
          <w:sz w:val="24"/>
          <w:lang w:val="pl-PL"/>
        </w:rPr>
        <w:t xml:space="preserve"> </w:t>
      </w:r>
      <w:r w:rsidR="0016231D" w:rsidRPr="00ED0C6A">
        <w:rPr>
          <w:rFonts w:asciiTheme="minorHAnsi" w:hAnsiTheme="minorHAnsi"/>
          <w:sz w:val="24"/>
          <w:lang w:val="pl-PL"/>
        </w:rPr>
        <w:t>W</w:t>
      </w:r>
      <w:r w:rsidR="00827554">
        <w:rPr>
          <w:rFonts w:asciiTheme="minorHAnsi" w:hAnsiTheme="minorHAnsi"/>
          <w:sz w:val="24"/>
          <w:lang w:val="pl-PL"/>
        </w:rPr>
        <w:t> </w:t>
      </w:r>
      <w:r w:rsidRPr="00ED0C6A">
        <w:rPr>
          <w:rFonts w:asciiTheme="minorHAnsi" w:hAnsiTheme="minorHAnsi"/>
          <w:sz w:val="24"/>
          <w:lang w:val="pl-PL"/>
        </w:rPr>
        <w:t xml:space="preserve">sierpniu 2014 r. prokurator odmówił </w:t>
      </w:r>
      <w:r w:rsidR="0016231D" w:rsidRPr="00ED0C6A">
        <w:rPr>
          <w:rFonts w:asciiTheme="minorHAnsi" w:hAnsiTheme="minorHAnsi"/>
          <w:sz w:val="24"/>
          <w:lang w:val="pl-PL"/>
        </w:rPr>
        <w:t xml:space="preserve">jednak </w:t>
      </w:r>
      <w:r w:rsidRPr="00ED0C6A">
        <w:rPr>
          <w:rFonts w:asciiTheme="minorHAnsi" w:hAnsiTheme="minorHAnsi"/>
          <w:sz w:val="24"/>
          <w:lang w:val="pl-PL"/>
        </w:rPr>
        <w:t>wszczęcia postępowania na tej podstawie, że</w:t>
      </w:r>
      <w:r w:rsidR="00827554">
        <w:rPr>
          <w:rFonts w:asciiTheme="minorHAnsi" w:hAnsiTheme="minorHAnsi"/>
          <w:sz w:val="24"/>
          <w:lang w:val="pl-PL"/>
        </w:rPr>
        <w:t> </w:t>
      </w:r>
      <w:r w:rsidRPr="00ED0C6A">
        <w:rPr>
          <w:rFonts w:asciiTheme="minorHAnsi" w:hAnsiTheme="minorHAnsi"/>
          <w:sz w:val="24"/>
          <w:lang w:val="pl-PL"/>
        </w:rPr>
        <w:t>występująca po stronie skarżących zwłoka w ujawnieniu się poddaje w wątpliwość ich</w:t>
      </w:r>
      <w:r w:rsidR="00827554">
        <w:rPr>
          <w:rFonts w:asciiTheme="minorHAnsi" w:hAnsiTheme="minorHAnsi"/>
          <w:sz w:val="24"/>
          <w:lang w:val="pl-PL"/>
        </w:rPr>
        <w:t> </w:t>
      </w:r>
      <w:r w:rsidRPr="00ED0C6A">
        <w:rPr>
          <w:rFonts w:asciiTheme="minorHAnsi" w:hAnsiTheme="minorHAnsi"/>
          <w:sz w:val="24"/>
          <w:lang w:val="pl-PL"/>
        </w:rPr>
        <w:t xml:space="preserve">obecność w momencie wydarzeń. </w:t>
      </w:r>
    </w:p>
    <w:p w:rsidR="0016231D" w:rsidRPr="00ED0C6A" w:rsidRDefault="0016231D"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Przed Trybunałem skarżący</w:t>
      </w:r>
      <w:r w:rsidR="0016231D" w:rsidRPr="00ED0C6A">
        <w:rPr>
          <w:rFonts w:asciiTheme="minorHAnsi" w:hAnsiTheme="minorHAnsi"/>
          <w:sz w:val="24"/>
          <w:lang w:val="pl-PL"/>
        </w:rPr>
        <w:t xml:space="preserve"> podnosili, że </w:t>
      </w:r>
      <w:r w:rsidRPr="00ED0C6A">
        <w:rPr>
          <w:rFonts w:asciiTheme="minorHAnsi" w:hAnsiTheme="minorHAnsi"/>
          <w:sz w:val="24"/>
          <w:lang w:val="pl-PL"/>
        </w:rPr>
        <w:t>byli ofiarami pra</w:t>
      </w:r>
      <w:r w:rsidR="0016231D" w:rsidRPr="00ED0C6A">
        <w:rPr>
          <w:rFonts w:asciiTheme="minorHAnsi" w:hAnsiTheme="minorHAnsi"/>
          <w:sz w:val="24"/>
          <w:lang w:val="pl-PL"/>
        </w:rPr>
        <w:t>cy przymusowej lub obowiązkowej i</w:t>
      </w:r>
      <w:r w:rsidR="00827554">
        <w:rPr>
          <w:rFonts w:asciiTheme="minorHAnsi" w:hAnsiTheme="minorHAnsi"/>
          <w:sz w:val="24"/>
          <w:lang w:val="pl-PL"/>
        </w:rPr>
        <w:t> </w:t>
      </w:r>
      <w:r w:rsidRPr="00ED0C6A">
        <w:rPr>
          <w:rFonts w:asciiTheme="minorHAnsi" w:hAnsiTheme="minorHAnsi"/>
          <w:sz w:val="24"/>
          <w:lang w:val="pl-PL"/>
        </w:rPr>
        <w:t xml:space="preserve">zarzucali brak reakcji ze strony władz. </w:t>
      </w:r>
    </w:p>
    <w:p w:rsidR="0016231D" w:rsidRPr="00ED0C6A" w:rsidRDefault="0016231D" w:rsidP="00F11942">
      <w:pPr>
        <w:pStyle w:val="ClinContent"/>
        <w:spacing w:before="0"/>
        <w:rPr>
          <w:rFonts w:asciiTheme="minorHAnsi" w:hAnsiTheme="minorHAnsi"/>
          <w:sz w:val="24"/>
          <w:lang w:val="pl-PL"/>
        </w:rPr>
      </w:pPr>
    </w:p>
    <w:p w:rsidR="003D728F" w:rsidRPr="00ED0C6A" w:rsidRDefault="0016231D"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w pierwszej kolejności zbadał, </w:t>
      </w:r>
      <w:r w:rsidRPr="00ED0C6A">
        <w:rPr>
          <w:rFonts w:asciiTheme="minorHAnsi" w:hAnsiTheme="minorHAnsi"/>
          <w:i/>
          <w:sz w:val="24"/>
          <w:u w:val="single"/>
          <w:lang w:val="pl-PL"/>
        </w:rPr>
        <w:t xml:space="preserve">czy </w:t>
      </w:r>
      <w:r w:rsidR="00F151C4" w:rsidRPr="00ED0C6A">
        <w:rPr>
          <w:rFonts w:asciiTheme="minorHAnsi" w:hAnsiTheme="minorHAnsi"/>
          <w:i/>
          <w:sz w:val="24"/>
          <w:u w:val="single"/>
          <w:lang w:val="pl-PL"/>
        </w:rPr>
        <w:t xml:space="preserve">w sprawie ma zastosowanie </w:t>
      </w:r>
      <w:r w:rsidRPr="00ED0C6A">
        <w:rPr>
          <w:rFonts w:asciiTheme="minorHAnsi" w:hAnsiTheme="minorHAnsi"/>
          <w:i/>
          <w:sz w:val="24"/>
          <w:u w:val="single"/>
          <w:lang w:val="pl-PL"/>
        </w:rPr>
        <w:t>a</w:t>
      </w:r>
      <w:r w:rsidR="003D728F" w:rsidRPr="00ED0C6A">
        <w:rPr>
          <w:rFonts w:asciiTheme="minorHAnsi" w:hAnsiTheme="minorHAnsi"/>
          <w:i/>
          <w:sz w:val="24"/>
          <w:u w:val="single"/>
          <w:lang w:val="pl-PL"/>
        </w:rPr>
        <w:t>rt. 4 ust. 2</w:t>
      </w:r>
      <w:r w:rsidRPr="00ED0C6A">
        <w:rPr>
          <w:rFonts w:asciiTheme="minorHAnsi" w:hAnsiTheme="minorHAnsi"/>
          <w:sz w:val="24"/>
          <w:lang w:val="pl-PL"/>
        </w:rPr>
        <w:t xml:space="preserve"> Konwencji, </w:t>
      </w:r>
      <w:r w:rsidR="00F151C4" w:rsidRPr="00ED0C6A">
        <w:rPr>
          <w:rFonts w:asciiTheme="minorHAnsi" w:hAnsiTheme="minorHAnsi"/>
          <w:sz w:val="24"/>
          <w:lang w:val="pl-PL"/>
        </w:rPr>
        <w:t xml:space="preserve">w świetle którego nikt nie może być zmuszony do świadczenia pracy przymusowej lub obowiązkowej. </w:t>
      </w:r>
    </w:p>
    <w:p w:rsidR="00F151C4" w:rsidRPr="00ED0C6A" w:rsidRDefault="00F151C4" w:rsidP="00F11942">
      <w:pPr>
        <w:pStyle w:val="ClinContent"/>
        <w:spacing w:before="0"/>
        <w:rPr>
          <w:rFonts w:asciiTheme="minorHAnsi" w:hAnsiTheme="minorHAnsi"/>
          <w:sz w:val="24"/>
          <w:lang w:val="pl-PL"/>
        </w:rPr>
      </w:pPr>
    </w:p>
    <w:p w:rsidR="003D728F" w:rsidRPr="00ED0C6A" w:rsidRDefault="00F151C4" w:rsidP="00F11942">
      <w:pPr>
        <w:pStyle w:val="ClinContent"/>
        <w:spacing w:before="0"/>
        <w:rPr>
          <w:rFonts w:asciiTheme="minorHAnsi" w:hAnsiTheme="minorHAnsi"/>
          <w:sz w:val="24"/>
          <w:lang w:val="pl-PL"/>
        </w:rPr>
      </w:pPr>
      <w:r w:rsidRPr="00ED0C6A">
        <w:rPr>
          <w:rFonts w:asciiTheme="minorHAnsi" w:hAnsiTheme="minorHAnsi"/>
          <w:sz w:val="24"/>
          <w:lang w:val="pl-PL"/>
        </w:rPr>
        <w:t>Trybunał przypomniał, że po</w:t>
      </w:r>
      <w:r w:rsidR="003D728F" w:rsidRPr="00ED0C6A">
        <w:rPr>
          <w:rFonts w:asciiTheme="minorHAnsi" w:hAnsiTheme="minorHAnsi"/>
          <w:sz w:val="24"/>
          <w:lang w:val="pl-PL"/>
        </w:rPr>
        <w:t>jęcie handlu ludźmi nie ogranicza się jedynie do</w:t>
      </w:r>
      <w:r w:rsidR="00827554">
        <w:rPr>
          <w:rFonts w:asciiTheme="minorHAnsi" w:hAnsiTheme="minorHAnsi"/>
          <w:sz w:val="24"/>
          <w:lang w:val="pl-PL"/>
        </w:rPr>
        <w:t> </w:t>
      </w:r>
      <w:r w:rsidR="003D728F" w:rsidRPr="00ED0C6A">
        <w:rPr>
          <w:rFonts w:asciiTheme="minorHAnsi" w:hAnsiTheme="minorHAnsi"/>
          <w:sz w:val="24"/>
          <w:lang w:val="pl-PL"/>
        </w:rPr>
        <w:t xml:space="preserve">wykorzystywania seksualnego. Wykorzystywanie pracy stanowi jedną z form wykorzystania przewidzianych definicją handlu ludźmi sformułowaną w art. 4 lit. a </w:t>
      </w:r>
      <w:r w:rsidR="003D728F" w:rsidRPr="00ED0C6A">
        <w:rPr>
          <w:rFonts w:asciiTheme="minorHAnsi" w:hAnsiTheme="minorHAnsi"/>
          <w:i/>
          <w:sz w:val="24"/>
          <w:lang w:val="pl-PL"/>
        </w:rPr>
        <w:t>Konwencji Rady Europy w sprawie działań przeciwko handlowi ludźmi</w:t>
      </w:r>
      <w:r w:rsidR="00E25FB7" w:rsidRPr="00ED0C6A">
        <w:rPr>
          <w:rStyle w:val="Odwoanieprzypisudolnego"/>
          <w:rFonts w:asciiTheme="minorHAnsi" w:hAnsiTheme="minorHAnsi"/>
          <w:sz w:val="24"/>
          <w:lang w:val="pl-PL"/>
        </w:rPr>
        <w:footnoteReference w:id="8"/>
      </w:r>
      <w:r w:rsidR="004A5748" w:rsidRPr="00ED0C6A">
        <w:rPr>
          <w:rFonts w:asciiTheme="minorHAnsi" w:hAnsiTheme="minorHAnsi"/>
          <w:sz w:val="24"/>
          <w:lang w:val="pl-PL"/>
        </w:rPr>
        <w:t xml:space="preserve">, </w:t>
      </w:r>
      <w:r w:rsidR="003D728F" w:rsidRPr="00ED0C6A">
        <w:rPr>
          <w:rFonts w:asciiTheme="minorHAnsi" w:hAnsiTheme="minorHAnsi"/>
          <w:sz w:val="24"/>
          <w:lang w:val="pl-PL"/>
        </w:rPr>
        <w:t xml:space="preserve">co świadczy o nieodłącznym związku między pracą przymusową lub obowiązkową a handlem ludźmi. Ta sama idea wyraźnie przejawia się w artykule Kodeksu karnego zastosowanym w obecnej sprawie. </w:t>
      </w:r>
    </w:p>
    <w:p w:rsidR="00F151C4" w:rsidRPr="00ED0C6A" w:rsidRDefault="00F151C4" w:rsidP="00F11942">
      <w:pPr>
        <w:pStyle w:val="ClinContent"/>
        <w:spacing w:before="0"/>
        <w:rPr>
          <w:rFonts w:asciiTheme="minorHAnsi" w:hAnsiTheme="minorHAnsi"/>
          <w:sz w:val="24"/>
          <w:lang w:val="pl-PL"/>
        </w:rPr>
      </w:pPr>
    </w:p>
    <w:p w:rsidR="003D728F" w:rsidRPr="00ED0C6A" w:rsidRDefault="003D728F" w:rsidP="00F11942">
      <w:pPr>
        <w:spacing w:after="0" w:line="240" w:lineRule="auto"/>
        <w:jc w:val="both"/>
        <w:rPr>
          <w:sz w:val="24"/>
          <w:szCs w:val="24"/>
          <w:lang w:val="pl-PL"/>
        </w:rPr>
      </w:pPr>
      <w:r w:rsidRPr="00ED0C6A">
        <w:rPr>
          <w:sz w:val="24"/>
          <w:szCs w:val="24"/>
          <w:lang w:val="pl-PL"/>
        </w:rPr>
        <w:t>Uprzednia zgoda ofiary nie jest wystarczająca, by wykluczyć zakwalifikowanie pracy jako</w:t>
      </w:r>
      <w:r w:rsidR="00827554">
        <w:rPr>
          <w:sz w:val="24"/>
          <w:szCs w:val="24"/>
          <w:lang w:val="pl-PL"/>
        </w:rPr>
        <w:t> </w:t>
      </w:r>
      <w:r w:rsidRPr="00ED0C6A">
        <w:rPr>
          <w:sz w:val="24"/>
          <w:szCs w:val="24"/>
          <w:lang w:val="pl-PL"/>
        </w:rPr>
        <w:t>„pracy przymusowej”. W sytuacji, gdy pracodawca nadużywa swej władzy lub czerpie korzyści z sytuacji bezbronności swych pracowników w celu ich wykorzystania, osoby te</w:t>
      </w:r>
      <w:r w:rsidR="00827554">
        <w:rPr>
          <w:sz w:val="24"/>
          <w:szCs w:val="24"/>
          <w:lang w:val="pl-PL"/>
        </w:rPr>
        <w:t> </w:t>
      </w:r>
      <w:r w:rsidRPr="00ED0C6A">
        <w:rPr>
          <w:sz w:val="24"/>
          <w:szCs w:val="24"/>
          <w:lang w:val="pl-PL"/>
        </w:rPr>
        <w:t>nie</w:t>
      </w:r>
      <w:r w:rsidR="00827554">
        <w:rPr>
          <w:sz w:val="24"/>
          <w:szCs w:val="24"/>
          <w:lang w:val="pl-PL"/>
        </w:rPr>
        <w:t> </w:t>
      </w:r>
      <w:r w:rsidRPr="00ED0C6A">
        <w:rPr>
          <w:sz w:val="24"/>
          <w:szCs w:val="24"/>
          <w:lang w:val="pl-PL"/>
        </w:rPr>
        <w:t>świadczą pracy z własnej woli. Kwestia, czy dana osoba świadczyła pracę dobrowolnie, jest pytaniem o fakty, które powinno zostać zbadane w świetle wszystkich istotnych okoliczności danej sprawy.</w:t>
      </w:r>
    </w:p>
    <w:p w:rsidR="00E627EC" w:rsidRPr="00ED0C6A" w:rsidRDefault="00E627EC" w:rsidP="00F11942">
      <w:pPr>
        <w:spacing w:after="0" w:line="240" w:lineRule="auto"/>
        <w:jc w:val="both"/>
        <w:rPr>
          <w:sz w:val="24"/>
          <w:szCs w:val="24"/>
          <w:lang w:val="pl-PL"/>
        </w:rPr>
      </w:pPr>
    </w:p>
    <w:p w:rsidR="003D728F" w:rsidRPr="00ED0C6A" w:rsidRDefault="00F151C4" w:rsidP="00F11942">
      <w:pPr>
        <w:pStyle w:val="ClinContent"/>
        <w:spacing w:before="0"/>
        <w:rPr>
          <w:rFonts w:asciiTheme="minorHAnsi" w:hAnsiTheme="minorHAnsi"/>
          <w:sz w:val="24"/>
          <w:lang w:val="pl-PL"/>
        </w:rPr>
      </w:pPr>
      <w:r w:rsidRPr="00ED0C6A">
        <w:rPr>
          <w:rFonts w:asciiTheme="minorHAnsi" w:hAnsiTheme="minorHAnsi"/>
          <w:sz w:val="24"/>
          <w:lang w:val="pl-PL"/>
        </w:rPr>
        <w:t>Trybunał zaważył, że w obecnej sprawie</w:t>
      </w:r>
      <w:r w:rsidR="003D728F" w:rsidRPr="00ED0C6A">
        <w:rPr>
          <w:rFonts w:asciiTheme="minorHAnsi" w:hAnsiTheme="minorHAnsi"/>
          <w:sz w:val="24"/>
          <w:lang w:val="pl-PL"/>
        </w:rPr>
        <w:t xml:space="preserve"> skarżący rozpoczęli pracę w czasie, gdy znajdowali się w sytuacji bezbronności jako imigranci o nieuregulowanym statusie, pozbawieni środków i narażeni na ryzyko zatrzymania, pozbawienia wolności i wydalenia. Bez wątpienia zdawali sobie sprawę, że jeśli zaprzestaną pracy, nigdy nie zobaczą swego zaległego wynagrodzenia, które gromadziło się z biegiem dni. </w:t>
      </w:r>
    </w:p>
    <w:p w:rsidR="00F151C4" w:rsidRPr="00ED0C6A" w:rsidRDefault="00F151C4"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Nawet zakładając, że w momencie podjęcia zatrudnienia skarżący zaoferowali swą pracę z własnej woli i w dobrej wierze sądzili, że ich wynagrodzenie będzie im wypłacane, zachowanie ich pracodawców (groźby i przemoc, zwłaszcza w odpowiedzi na żądania zapłaty wynagrodzenia) wskazuje, że sytuacja następnie uległa zmianie.</w:t>
      </w:r>
    </w:p>
    <w:p w:rsidR="00F151C4" w:rsidRPr="00ED0C6A" w:rsidRDefault="00F151C4" w:rsidP="00F11942">
      <w:pPr>
        <w:pStyle w:val="ClinContent"/>
        <w:spacing w:before="0"/>
        <w:rPr>
          <w:rFonts w:asciiTheme="minorHAnsi" w:hAnsiTheme="minorHAnsi"/>
          <w:sz w:val="24"/>
          <w:lang w:val="pl-PL"/>
        </w:rPr>
      </w:pPr>
    </w:p>
    <w:p w:rsidR="00AB41FD" w:rsidRPr="00ED0C6A" w:rsidRDefault="003D728F" w:rsidP="00F11942">
      <w:pPr>
        <w:pStyle w:val="ClinContent"/>
        <w:spacing w:before="0"/>
        <w:rPr>
          <w:rFonts w:asciiTheme="minorHAnsi" w:hAnsiTheme="minorHAnsi"/>
          <w:i/>
          <w:sz w:val="24"/>
          <w:lang w:val="pl-PL"/>
        </w:rPr>
      </w:pPr>
      <w:r w:rsidRPr="00ED0C6A">
        <w:rPr>
          <w:rFonts w:asciiTheme="minorHAnsi" w:hAnsiTheme="minorHAnsi"/>
          <w:sz w:val="24"/>
          <w:lang w:val="pl-PL"/>
        </w:rPr>
        <w:t xml:space="preserve">Wprawdzie skarżący nie znajdowali się w sytuacji poddaństwa, tym niemniej, </w:t>
      </w:r>
      <w:r w:rsidR="00F151C4" w:rsidRPr="00ED0C6A">
        <w:rPr>
          <w:rFonts w:asciiTheme="minorHAnsi" w:hAnsiTheme="minorHAnsi"/>
          <w:sz w:val="24"/>
          <w:lang w:val="pl-PL"/>
        </w:rPr>
        <w:t xml:space="preserve">w opinii Trybunału </w:t>
      </w:r>
      <w:r w:rsidRPr="00ED0C6A">
        <w:rPr>
          <w:rFonts w:asciiTheme="minorHAnsi" w:hAnsiTheme="minorHAnsi"/>
          <w:sz w:val="24"/>
          <w:lang w:val="pl-PL"/>
        </w:rPr>
        <w:t xml:space="preserve">warunki ich pracy pozwalają jasno uznać, że ich sytuacja wypełniała znamiona pracy przymusowej i handlu ludźmi, zgodnie z jego definicją zawartą w art. 3 lit. a </w:t>
      </w:r>
      <w:r w:rsidRPr="00ED0C6A">
        <w:rPr>
          <w:rFonts w:asciiTheme="minorHAnsi" w:hAnsiTheme="minorHAnsi"/>
          <w:i/>
          <w:sz w:val="24"/>
          <w:lang w:val="pl-PL"/>
        </w:rPr>
        <w:t xml:space="preserve">Protokołu [o zapobieganiu, zwalczaniu oraz karaniu za handel ludźmi, w szczególności kobietami i dziećmi] uzupełniającego Konwencję Narodów Zjednoczonych przeciwko międzynarodowej przestępczości zorganizowanej </w:t>
      </w:r>
      <w:r w:rsidRPr="00ED0C6A">
        <w:rPr>
          <w:rFonts w:asciiTheme="minorHAnsi" w:hAnsiTheme="minorHAnsi"/>
          <w:sz w:val="24"/>
          <w:lang w:val="pl-PL"/>
        </w:rPr>
        <w:t>(</w:t>
      </w:r>
      <w:r w:rsidRPr="00ED0C6A">
        <w:rPr>
          <w:rFonts w:asciiTheme="minorHAnsi" w:eastAsiaTheme="majorEastAsia" w:hAnsiTheme="minorHAnsi"/>
          <w:i/>
          <w:sz w:val="24"/>
          <w:lang w:val="pl-PL"/>
        </w:rPr>
        <w:t>Protok</w:t>
      </w:r>
      <w:r w:rsidR="00F151C4" w:rsidRPr="00ED0C6A">
        <w:rPr>
          <w:rFonts w:asciiTheme="minorHAnsi" w:eastAsiaTheme="majorEastAsia" w:hAnsiTheme="minorHAnsi"/>
          <w:i/>
          <w:sz w:val="24"/>
          <w:lang w:val="pl-PL"/>
        </w:rPr>
        <w:t>ołu</w:t>
      </w:r>
      <w:r w:rsidRPr="00ED0C6A">
        <w:rPr>
          <w:rFonts w:asciiTheme="minorHAnsi" w:eastAsiaTheme="majorEastAsia" w:hAnsiTheme="minorHAnsi"/>
          <w:i/>
          <w:sz w:val="24"/>
          <w:lang w:val="pl-PL"/>
        </w:rPr>
        <w:t xml:space="preserve"> z Palermo</w:t>
      </w:r>
      <w:r w:rsidR="004A5748" w:rsidRPr="00ED0C6A">
        <w:rPr>
          <w:rStyle w:val="Odwoanieprzypisudolnego"/>
          <w:rFonts w:asciiTheme="minorHAnsi" w:eastAsiaTheme="majorEastAsia" w:hAnsiTheme="minorHAnsi"/>
          <w:sz w:val="24"/>
          <w:lang w:val="pl-PL"/>
        </w:rPr>
        <w:footnoteReference w:id="9"/>
      </w:r>
      <w:r w:rsidRPr="00ED0C6A">
        <w:rPr>
          <w:rFonts w:asciiTheme="minorHAnsi" w:hAnsiTheme="minorHAnsi"/>
          <w:sz w:val="24"/>
          <w:lang w:val="pl-PL"/>
        </w:rPr>
        <w:t xml:space="preserve">) oraz w art. 4 </w:t>
      </w:r>
      <w:r w:rsidRPr="00ED0C6A">
        <w:rPr>
          <w:rFonts w:asciiTheme="minorHAnsi" w:hAnsiTheme="minorHAnsi"/>
          <w:i/>
          <w:sz w:val="24"/>
          <w:lang w:val="pl-PL"/>
        </w:rPr>
        <w:t xml:space="preserve">Konwencji </w:t>
      </w:r>
      <w:r w:rsidR="00F151C4" w:rsidRPr="00ED0C6A">
        <w:rPr>
          <w:rFonts w:asciiTheme="minorHAnsi" w:hAnsiTheme="minorHAnsi"/>
          <w:i/>
          <w:sz w:val="24"/>
          <w:lang w:val="pl-PL"/>
        </w:rPr>
        <w:t xml:space="preserve">RE </w:t>
      </w:r>
      <w:proofErr w:type="spellStart"/>
      <w:r w:rsidRPr="00ED0C6A">
        <w:rPr>
          <w:rFonts w:asciiTheme="minorHAnsi" w:hAnsiTheme="minorHAnsi"/>
          <w:i/>
          <w:sz w:val="24"/>
          <w:lang w:val="pl-PL"/>
        </w:rPr>
        <w:t>ws</w:t>
      </w:r>
      <w:proofErr w:type="spellEnd"/>
      <w:r w:rsidRPr="00ED0C6A">
        <w:rPr>
          <w:rFonts w:asciiTheme="minorHAnsi" w:hAnsiTheme="minorHAnsi"/>
          <w:i/>
          <w:sz w:val="24"/>
          <w:lang w:val="pl-PL"/>
        </w:rPr>
        <w:t xml:space="preserve">. działań przeciwko handlowi ludźmi. </w:t>
      </w:r>
    </w:p>
    <w:p w:rsidR="00AB41FD" w:rsidRPr="00ED0C6A" w:rsidRDefault="00AB41FD" w:rsidP="00F11942">
      <w:pPr>
        <w:pStyle w:val="ClinContent"/>
        <w:spacing w:before="0"/>
        <w:rPr>
          <w:rFonts w:asciiTheme="minorHAnsi" w:hAnsiTheme="minorHAnsi"/>
          <w:i/>
          <w:sz w:val="24"/>
          <w:lang w:val="pl-PL"/>
        </w:rPr>
      </w:pPr>
    </w:p>
    <w:p w:rsidR="00AB41FD" w:rsidRPr="00ED0C6A" w:rsidRDefault="00F151C4" w:rsidP="00AB41FD">
      <w:pPr>
        <w:pStyle w:val="ClinContent"/>
        <w:spacing w:before="0"/>
        <w:rPr>
          <w:rFonts w:asciiTheme="minorHAnsi" w:hAnsiTheme="minorHAnsi"/>
          <w:sz w:val="24"/>
          <w:lang w:val="pl-PL"/>
        </w:rPr>
      </w:pPr>
      <w:r w:rsidRPr="00ED0C6A">
        <w:rPr>
          <w:rFonts w:asciiTheme="minorHAnsi" w:hAnsiTheme="minorHAnsi"/>
          <w:sz w:val="24"/>
          <w:lang w:val="pl-PL"/>
        </w:rPr>
        <w:t xml:space="preserve">Z powyższych względów Trybunał jednomyślnie stwierdził, że art. 4 </w:t>
      </w:r>
      <w:r w:rsidR="00E8203B" w:rsidRPr="00ED0C6A">
        <w:rPr>
          <w:rFonts w:asciiTheme="minorHAnsi" w:hAnsiTheme="minorHAnsi"/>
          <w:sz w:val="24"/>
          <w:lang w:val="pl-PL"/>
        </w:rPr>
        <w:t>u</w:t>
      </w:r>
      <w:r w:rsidRPr="00ED0C6A">
        <w:rPr>
          <w:rFonts w:asciiTheme="minorHAnsi" w:hAnsiTheme="minorHAnsi"/>
          <w:sz w:val="24"/>
          <w:lang w:val="pl-PL"/>
        </w:rPr>
        <w:t>st. 2 ma zastosowanie w</w:t>
      </w:r>
      <w:r w:rsidR="00827554">
        <w:rPr>
          <w:rFonts w:asciiTheme="minorHAnsi" w:hAnsiTheme="minorHAnsi"/>
          <w:sz w:val="24"/>
          <w:lang w:val="pl-PL"/>
        </w:rPr>
        <w:t> </w:t>
      </w:r>
      <w:r w:rsidRPr="00ED0C6A">
        <w:rPr>
          <w:rFonts w:asciiTheme="minorHAnsi" w:hAnsiTheme="minorHAnsi"/>
          <w:sz w:val="24"/>
          <w:lang w:val="pl-PL"/>
        </w:rPr>
        <w:t xml:space="preserve">obecnej sprawie, jako że dotyczy ona sytuacji </w:t>
      </w:r>
      <w:r w:rsidR="00675D33" w:rsidRPr="00ED0C6A">
        <w:rPr>
          <w:rFonts w:asciiTheme="minorHAnsi" w:hAnsiTheme="minorHAnsi"/>
          <w:sz w:val="24"/>
          <w:lang w:val="pl-PL"/>
        </w:rPr>
        <w:t xml:space="preserve">handlu ludźmi i </w:t>
      </w:r>
      <w:r w:rsidRPr="00ED0C6A">
        <w:rPr>
          <w:rFonts w:asciiTheme="minorHAnsi" w:hAnsiTheme="minorHAnsi"/>
          <w:sz w:val="24"/>
          <w:lang w:val="pl-PL"/>
        </w:rPr>
        <w:t>pracy przymusowej.</w:t>
      </w:r>
      <w:r w:rsidR="00AB41FD" w:rsidRPr="00ED0C6A">
        <w:rPr>
          <w:rFonts w:asciiTheme="minorHAnsi" w:hAnsiTheme="minorHAnsi"/>
          <w:sz w:val="24"/>
          <w:lang w:val="pl-PL"/>
        </w:rPr>
        <w:t xml:space="preserve"> </w:t>
      </w:r>
    </w:p>
    <w:p w:rsidR="00AB41FD" w:rsidRPr="00ED0C6A" w:rsidRDefault="00AB41FD" w:rsidP="00AB41FD">
      <w:pPr>
        <w:pStyle w:val="ClinContent"/>
        <w:spacing w:before="0"/>
        <w:rPr>
          <w:rFonts w:asciiTheme="minorHAnsi" w:hAnsiTheme="minorHAnsi"/>
          <w:sz w:val="24"/>
          <w:lang w:val="pl-PL"/>
        </w:rPr>
      </w:pPr>
    </w:p>
    <w:p w:rsidR="00AB41FD" w:rsidRPr="00ED0C6A" w:rsidRDefault="00AB41FD" w:rsidP="00AB41FD">
      <w:pPr>
        <w:pStyle w:val="ClinContent"/>
        <w:spacing w:before="0"/>
        <w:rPr>
          <w:rFonts w:asciiTheme="minorHAnsi" w:hAnsiTheme="minorHAnsi"/>
          <w:sz w:val="24"/>
          <w:lang w:val="pl-PL"/>
        </w:rPr>
      </w:pPr>
      <w:r w:rsidRPr="00ED0C6A">
        <w:rPr>
          <w:rFonts w:asciiTheme="minorHAnsi" w:hAnsiTheme="minorHAnsi"/>
          <w:sz w:val="24"/>
          <w:lang w:val="pl-PL"/>
        </w:rPr>
        <w:t xml:space="preserve">Trybunał zbadał następnie czy pozwane Państwo wywiązało się ze swoich </w:t>
      </w:r>
      <w:r w:rsidRPr="00ED0C6A">
        <w:rPr>
          <w:rFonts w:asciiTheme="minorHAnsi" w:hAnsiTheme="minorHAnsi"/>
          <w:sz w:val="24"/>
          <w:u w:val="single"/>
          <w:lang w:val="pl-PL"/>
        </w:rPr>
        <w:t>pozytywnych obowiązków</w:t>
      </w:r>
      <w:r w:rsidRPr="00ED0C6A">
        <w:rPr>
          <w:rFonts w:asciiTheme="minorHAnsi" w:hAnsiTheme="minorHAnsi"/>
          <w:sz w:val="24"/>
          <w:lang w:val="pl-PL"/>
        </w:rPr>
        <w:t xml:space="preserve"> w odniesieniu do sytuacji  handlu ludźmi, a mianowicie obowiązków zapobiegania sytuacji handlu ludźmi, ochrony ofiar, przeprowadzenia śledztwa w sposób skuteczny i ukarania winnych. Trybunał uznał, ze </w:t>
      </w:r>
      <w:r w:rsidR="003D728F" w:rsidRPr="00ED0C6A">
        <w:rPr>
          <w:rFonts w:asciiTheme="minorHAnsi" w:hAnsiTheme="minorHAnsi"/>
          <w:sz w:val="24"/>
          <w:lang w:val="pl-PL"/>
        </w:rPr>
        <w:t>pozwane Państwo nie wypełniło swych obowiązków pozytywnych w odniesieniu d</w:t>
      </w:r>
      <w:r w:rsidRPr="00ED0C6A">
        <w:rPr>
          <w:rFonts w:asciiTheme="minorHAnsi" w:hAnsiTheme="minorHAnsi"/>
          <w:sz w:val="24"/>
          <w:lang w:val="pl-PL"/>
        </w:rPr>
        <w:t>o handlu ludźmi.</w:t>
      </w:r>
    </w:p>
    <w:p w:rsidR="003D728F" w:rsidRPr="00ED0C6A" w:rsidRDefault="003D728F" w:rsidP="00AB41FD">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3D728F" w:rsidRPr="00ED0C6A" w:rsidRDefault="00AB41FD"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Przy swej ocenie </w:t>
      </w:r>
      <w:r w:rsidR="003D728F" w:rsidRPr="00ED0C6A">
        <w:rPr>
          <w:rFonts w:asciiTheme="minorHAnsi" w:hAnsiTheme="minorHAnsi"/>
          <w:sz w:val="24"/>
          <w:lang w:val="pl-PL"/>
        </w:rPr>
        <w:t xml:space="preserve">Trybunał opierał się na </w:t>
      </w:r>
      <w:r w:rsidR="003D728F" w:rsidRPr="00ED0C6A">
        <w:rPr>
          <w:rFonts w:asciiTheme="minorHAnsi" w:hAnsiTheme="minorHAnsi"/>
          <w:i/>
          <w:sz w:val="24"/>
          <w:lang w:val="pl-PL"/>
        </w:rPr>
        <w:t xml:space="preserve">Konwencji </w:t>
      </w:r>
      <w:r w:rsidRPr="00ED0C6A">
        <w:rPr>
          <w:rFonts w:asciiTheme="minorHAnsi" w:hAnsiTheme="minorHAnsi"/>
          <w:i/>
          <w:sz w:val="24"/>
          <w:lang w:val="pl-PL"/>
        </w:rPr>
        <w:t xml:space="preserve">RE </w:t>
      </w:r>
      <w:proofErr w:type="spellStart"/>
      <w:r w:rsidR="003D728F" w:rsidRPr="00ED0C6A">
        <w:rPr>
          <w:rFonts w:asciiTheme="minorHAnsi" w:hAnsiTheme="minorHAnsi"/>
          <w:i/>
          <w:sz w:val="24"/>
          <w:lang w:val="pl-PL"/>
        </w:rPr>
        <w:t>ws</w:t>
      </w:r>
      <w:proofErr w:type="spellEnd"/>
      <w:r w:rsidR="003D728F" w:rsidRPr="00ED0C6A">
        <w:rPr>
          <w:rFonts w:asciiTheme="minorHAnsi" w:hAnsiTheme="minorHAnsi"/>
          <w:i/>
          <w:sz w:val="24"/>
          <w:lang w:val="pl-PL"/>
        </w:rPr>
        <w:t xml:space="preserve">. działań przeciwko handlowi ludźmi </w:t>
      </w:r>
      <w:r w:rsidR="003D728F" w:rsidRPr="00ED0C6A">
        <w:rPr>
          <w:rFonts w:asciiTheme="minorHAnsi" w:hAnsiTheme="minorHAnsi"/>
          <w:sz w:val="24"/>
          <w:lang w:val="pl-PL"/>
        </w:rPr>
        <w:t>i na sposobie, w jaki jest ona interpretowana przez Grupę ekspertów do spraw działań przeciwko handlowi ludźmi.</w:t>
      </w:r>
      <w:r w:rsidRPr="00ED0C6A">
        <w:rPr>
          <w:rFonts w:asciiTheme="minorHAnsi" w:hAnsiTheme="minorHAnsi"/>
          <w:sz w:val="24"/>
          <w:lang w:val="pl-PL"/>
        </w:rPr>
        <w:t xml:space="preserve"> Zbadał sprawę w odniesieniu do następujących kwestii:</w:t>
      </w:r>
    </w:p>
    <w:p w:rsidR="00AB41FD" w:rsidRPr="00ED0C6A" w:rsidRDefault="00AB41FD" w:rsidP="00F11942">
      <w:pPr>
        <w:pStyle w:val="ClinContent"/>
        <w:spacing w:before="0"/>
        <w:rPr>
          <w:rFonts w:asciiTheme="minorHAnsi" w:hAnsiTheme="minorHAnsi"/>
          <w:sz w:val="24"/>
          <w:lang w:val="pl-PL"/>
        </w:rPr>
      </w:pPr>
    </w:p>
    <w:p w:rsidR="00AB41FD"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i. </w:t>
      </w:r>
      <w:r w:rsidRPr="00ED0C6A">
        <w:rPr>
          <w:rFonts w:asciiTheme="minorHAnsi" w:hAnsiTheme="minorHAnsi"/>
          <w:i/>
          <w:sz w:val="24"/>
          <w:u w:val="single"/>
          <w:lang w:val="pl-PL"/>
        </w:rPr>
        <w:t>Ustanowienie odpowiednich ram prawnych i regulacyjnych</w:t>
      </w:r>
    </w:p>
    <w:p w:rsidR="003D728F" w:rsidRPr="00ED0C6A" w:rsidRDefault="00AB41FD"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 ocenie Trybunału </w:t>
      </w:r>
      <w:r w:rsidR="003D728F" w:rsidRPr="00ED0C6A">
        <w:rPr>
          <w:rFonts w:asciiTheme="minorHAnsi" w:hAnsiTheme="minorHAnsi"/>
          <w:sz w:val="24"/>
          <w:lang w:val="pl-PL"/>
        </w:rPr>
        <w:t xml:space="preserve">ten obowiązek </w:t>
      </w:r>
      <w:r w:rsidRPr="00ED0C6A">
        <w:rPr>
          <w:rFonts w:asciiTheme="minorHAnsi" w:hAnsiTheme="minorHAnsi"/>
          <w:sz w:val="24"/>
          <w:lang w:val="pl-PL"/>
        </w:rPr>
        <w:t xml:space="preserve">zasadniczo </w:t>
      </w:r>
      <w:r w:rsidR="003D728F" w:rsidRPr="00ED0C6A">
        <w:rPr>
          <w:rFonts w:asciiTheme="minorHAnsi" w:hAnsiTheme="minorHAnsi"/>
          <w:sz w:val="24"/>
          <w:lang w:val="pl-PL"/>
        </w:rPr>
        <w:t xml:space="preserve">został wypełniony. W szczególności, </w:t>
      </w:r>
      <w:r w:rsidRPr="00ED0C6A">
        <w:rPr>
          <w:rFonts w:asciiTheme="minorHAnsi" w:hAnsiTheme="minorHAnsi"/>
          <w:sz w:val="24"/>
          <w:lang w:val="pl-PL"/>
        </w:rPr>
        <w:t xml:space="preserve">na długo, zanim doszło do wydarzeń obecnej sprawy, </w:t>
      </w:r>
      <w:r w:rsidR="003D728F" w:rsidRPr="00ED0C6A">
        <w:rPr>
          <w:rFonts w:asciiTheme="minorHAnsi" w:hAnsiTheme="minorHAnsi"/>
          <w:sz w:val="24"/>
          <w:lang w:val="pl-PL"/>
        </w:rPr>
        <w:t xml:space="preserve">Grecja ratyfikowała lub podpisała podstawowe instrumenty międzynarodowe (w tym </w:t>
      </w:r>
      <w:r w:rsidR="003D728F" w:rsidRPr="00ED0C6A">
        <w:rPr>
          <w:rFonts w:asciiTheme="minorHAnsi" w:hAnsiTheme="minorHAnsi"/>
          <w:i/>
          <w:sz w:val="24"/>
          <w:lang w:val="pl-PL"/>
        </w:rPr>
        <w:t>Protokół z Palermo</w:t>
      </w:r>
      <w:r w:rsidR="003D728F" w:rsidRPr="00ED0C6A">
        <w:rPr>
          <w:rFonts w:asciiTheme="minorHAnsi" w:hAnsiTheme="minorHAnsi"/>
          <w:sz w:val="24"/>
          <w:lang w:val="pl-PL"/>
        </w:rPr>
        <w:t xml:space="preserve"> z grudnia 2000 r. oraz </w:t>
      </w:r>
      <w:r w:rsidR="003D728F" w:rsidRPr="00ED0C6A">
        <w:rPr>
          <w:rFonts w:asciiTheme="minorHAnsi" w:hAnsiTheme="minorHAnsi"/>
          <w:i/>
          <w:sz w:val="24"/>
          <w:lang w:val="pl-PL"/>
        </w:rPr>
        <w:t>Konwencję</w:t>
      </w:r>
      <w:r w:rsidRPr="00ED0C6A">
        <w:rPr>
          <w:rFonts w:asciiTheme="minorHAnsi" w:hAnsiTheme="minorHAnsi"/>
          <w:i/>
          <w:sz w:val="24"/>
          <w:lang w:val="pl-PL"/>
        </w:rPr>
        <w:t xml:space="preserve"> RE</w:t>
      </w:r>
      <w:r w:rsidR="003D728F" w:rsidRPr="00ED0C6A">
        <w:rPr>
          <w:rFonts w:asciiTheme="minorHAnsi" w:hAnsiTheme="minorHAnsi"/>
          <w:i/>
          <w:sz w:val="24"/>
          <w:lang w:val="pl-PL"/>
        </w:rPr>
        <w:t xml:space="preserve"> </w:t>
      </w:r>
      <w:proofErr w:type="spellStart"/>
      <w:r w:rsidR="003D728F" w:rsidRPr="00ED0C6A">
        <w:rPr>
          <w:rFonts w:asciiTheme="minorHAnsi" w:hAnsiTheme="minorHAnsi"/>
          <w:i/>
          <w:sz w:val="24"/>
          <w:lang w:val="pl-PL"/>
        </w:rPr>
        <w:t>ws</w:t>
      </w:r>
      <w:proofErr w:type="spellEnd"/>
      <w:r w:rsidR="003D728F" w:rsidRPr="00ED0C6A">
        <w:rPr>
          <w:rFonts w:asciiTheme="minorHAnsi" w:hAnsiTheme="minorHAnsi"/>
          <w:i/>
          <w:sz w:val="24"/>
          <w:lang w:val="pl-PL"/>
        </w:rPr>
        <w:t>. działań przeciwko handlowi ludźmi</w:t>
      </w:r>
      <w:r w:rsidRPr="00ED0C6A">
        <w:rPr>
          <w:rFonts w:asciiTheme="minorHAnsi" w:hAnsiTheme="minorHAnsi"/>
          <w:sz w:val="24"/>
          <w:lang w:val="pl-PL"/>
        </w:rPr>
        <w:t xml:space="preserve"> z 16 maja 2005 r.).</w:t>
      </w:r>
      <w:r w:rsidR="003D728F" w:rsidRPr="00ED0C6A">
        <w:rPr>
          <w:rFonts w:asciiTheme="minorHAnsi" w:hAnsiTheme="minorHAnsi"/>
          <w:sz w:val="24"/>
          <w:lang w:val="pl-PL"/>
        </w:rPr>
        <w:t xml:space="preserve"> </w:t>
      </w:r>
      <w:r w:rsidRPr="00ED0C6A">
        <w:rPr>
          <w:rFonts w:asciiTheme="minorHAnsi" w:hAnsiTheme="minorHAnsi"/>
          <w:sz w:val="24"/>
          <w:lang w:val="pl-PL"/>
        </w:rPr>
        <w:t>W</w:t>
      </w:r>
      <w:r w:rsidR="003D728F" w:rsidRPr="00ED0C6A">
        <w:rPr>
          <w:rFonts w:asciiTheme="minorHAnsi" w:hAnsiTheme="minorHAnsi"/>
          <w:sz w:val="24"/>
          <w:lang w:val="pl-PL"/>
        </w:rPr>
        <w:t xml:space="preserve">drożyła </w:t>
      </w:r>
      <w:r w:rsidRPr="00ED0C6A">
        <w:rPr>
          <w:rFonts w:asciiTheme="minorHAnsi" w:hAnsiTheme="minorHAnsi"/>
          <w:sz w:val="24"/>
          <w:lang w:val="pl-PL"/>
        </w:rPr>
        <w:t xml:space="preserve">także </w:t>
      </w:r>
      <w:r w:rsidR="003D728F" w:rsidRPr="00ED0C6A">
        <w:rPr>
          <w:rFonts w:asciiTheme="minorHAnsi" w:hAnsiTheme="minorHAnsi"/>
          <w:sz w:val="24"/>
          <w:lang w:val="pl-PL"/>
        </w:rPr>
        <w:t xml:space="preserve">właściwe prawo Unii Europejskiej do Kodeksu karnego oraz Kodeksu postępowania karnego – zarówno w aspekcie karnym, jak i dotyczącym ochrony ofiar. </w:t>
      </w:r>
    </w:p>
    <w:p w:rsidR="00AB41FD" w:rsidRPr="00ED0C6A" w:rsidRDefault="00AB41FD" w:rsidP="00F11942">
      <w:pPr>
        <w:pStyle w:val="ClinContent"/>
        <w:spacing w:before="0"/>
        <w:rPr>
          <w:rFonts w:asciiTheme="minorHAnsi" w:hAnsiTheme="minorHAnsi"/>
          <w:sz w:val="24"/>
          <w:lang w:val="pl-PL"/>
        </w:rPr>
      </w:pPr>
    </w:p>
    <w:p w:rsidR="00AB41FD"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ii. </w:t>
      </w:r>
      <w:r w:rsidRPr="00ED0C6A">
        <w:rPr>
          <w:rFonts w:asciiTheme="minorHAnsi" w:hAnsiTheme="minorHAnsi"/>
          <w:i/>
          <w:sz w:val="24"/>
          <w:u w:val="single"/>
          <w:lang w:val="pl-PL"/>
        </w:rPr>
        <w:t>Środki operacyjne</w:t>
      </w:r>
      <w:r w:rsidRPr="00ED0C6A">
        <w:rPr>
          <w:rFonts w:asciiTheme="minorHAnsi" w:hAnsiTheme="minorHAnsi"/>
          <w:sz w:val="24"/>
          <w:lang w:val="pl-PL"/>
        </w:rPr>
        <w:t xml:space="preserve"> </w:t>
      </w:r>
    </w:p>
    <w:p w:rsidR="00AB41FD" w:rsidRPr="00ED0C6A" w:rsidRDefault="00AB41FD" w:rsidP="00F11942">
      <w:pPr>
        <w:pStyle w:val="ClinContent"/>
        <w:spacing w:before="0"/>
        <w:rPr>
          <w:rFonts w:asciiTheme="minorHAnsi" w:hAnsiTheme="minorHAnsi"/>
          <w:sz w:val="24"/>
          <w:lang w:val="pl-PL"/>
        </w:rPr>
      </w:pPr>
      <w:r w:rsidRPr="00ED0C6A">
        <w:rPr>
          <w:rFonts w:asciiTheme="minorHAnsi" w:hAnsiTheme="minorHAnsi"/>
          <w:sz w:val="24"/>
          <w:lang w:val="pl-PL"/>
        </w:rPr>
        <w:t>Trybunał przypomniał, że</w:t>
      </w:r>
      <w:r w:rsidR="003D728F" w:rsidRPr="00ED0C6A">
        <w:rPr>
          <w:rFonts w:asciiTheme="minorHAnsi" w:hAnsiTheme="minorHAnsi"/>
          <w:sz w:val="24"/>
          <w:lang w:val="pl-PL"/>
        </w:rPr>
        <w:t xml:space="preserve"> </w:t>
      </w:r>
      <w:r w:rsidR="003D728F" w:rsidRPr="00ED0C6A">
        <w:rPr>
          <w:rFonts w:asciiTheme="minorHAnsi" w:hAnsiTheme="minorHAnsi"/>
          <w:i/>
          <w:sz w:val="24"/>
          <w:lang w:val="pl-PL"/>
        </w:rPr>
        <w:t xml:space="preserve">Konwencja </w:t>
      </w:r>
      <w:r w:rsidRPr="00ED0C6A">
        <w:rPr>
          <w:rFonts w:asciiTheme="minorHAnsi" w:hAnsiTheme="minorHAnsi"/>
          <w:i/>
          <w:sz w:val="24"/>
          <w:lang w:val="pl-PL"/>
        </w:rPr>
        <w:t xml:space="preserve">RE </w:t>
      </w:r>
      <w:proofErr w:type="spellStart"/>
      <w:r w:rsidR="003D728F" w:rsidRPr="00ED0C6A">
        <w:rPr>
          <w:rFonts w:asciiTheme="minorHAnsi" w:hAnsiTheme="minorHAnsi"/>
          <w:i/>
          <w:sz w:val="24"/>
          <w:lang w:val="pl-PL"/>
        </w:rPr>
        <w:t>ws</w:t>
      </w:r>
      <w:proofErr w:type="spellEnd"/>
      <w:r w:rsidR="003D728F" w:rsidRPr="00ED0C6A">
        <w:rPr>
          <w:rFonts w:asciiTheme="minorHAnsi" w:hAnsiTheme="minorHAnsi"/>
          <w:i/>
          <w:sz w:val="24"/>
          <w:lang w:val="pl-PL"/>
        </w:rPr>
        <w:t>. działań przeciwko handlowi</w:t>
      </w:r>
      <w:r w:rsidR="003D728F" w:rsidRPr="00ED0C6A">
        <w:rPr>
          <w:rFonts w:asciiTheme="minorHAnsi" w:hAnsiTheme="minorHAnsi"/>
          <w:sz w:val="24"/>
          <w:lang w:val="pl-PL"/>
        </w:rPr>
        <w:t xml:space="preserve"> ludźmi wymaga </w:t>
      </w:r>
      <w:r w:rsidRPr="00ED0C6A">
        <w:rPr>
          <w:rFonts w:asciiTheme="minorHAnsi" w:hAnsiTheme="minorHAnsi"/>
          <w:sz w:val="24"/>
          <w:lang w:val="pl-PL"/>
        </w:rPr>
        <w:t xml:space="preserve">przyjęcia </w:t>
      </w:r>
      <w:r w:rsidR="003D728F" w:rsidRPr="00ED0C6A">
        <w:rPr>
          <w:rFonts w:asciiTheme="minorHAnsi" w:hAnsiTheme="minorHAnsi"/>
          <w:sz w:val="24"/>
          <w:lang w:val="pl-PL"/>
        </w:rPr>
        <w:t xml:space="preserve">jednocześnie: </w:t>
      </w:r>
    </w:p>
    <w:p w:rsidR="00AB41FD" w:rsidRPr="00ED0C6A" w:rsidRDefault="00AB41FD"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 </w:t>
      </w:r>
      <w:r w:rsidR="003D728F" w:rsidRPr="00ED0C6A">
        <w:rPr>
          <w:rFonts w:asciiTheme="minorHAnsi" w:hAnsiTheme="minorHAnsi"/>
          <w:sz w:val="24"/>
          <w:lang w:val="pl-PL"/>
        </w:rPr>
        <w:t>środków w zakresie prewencji (wzmocnienie koordynacji na poziomie krajowym między różnymi organami odpowiedzialnymi za walkę z handlem ludźmi i ograniczanie popytu, w</w:t>
      </w:r>
      <w:r w:rsidR="00827554">
        <w:rPr>
          <w:rFonts w:asciiTheme="minorHAnsi" w:hAnsiTheme="minorHAnsi"/>
          <w:sz w:val="24"/>
          <w:lang w:val="pl-PL"/>
        </w:rPr>
        <w:t> </w:t>
      </w:r>
      <w:r w:rsidR="003D728F" w:rsidRPr="00ED0C6A">
        <w:rPr>
          <w:rFonts w:asciiTheme="minorHAnsi" w:hAnsiTheme="minorHAnsi"/>
          <w:sz w:val="24"/>
          <w:lang w:val="pl-PL"/>
        </w:rPr>
        <w:t xml:space="preserve">tym również poprzez kontrole graniczne) oraz </w:t>
      </w:r>
    </w:p>
    <w:p w:rsidR="003D728F" w:rsidRPr="00ED0C6A" w:rsidRDefault="00301DE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 </w:t>
      </w:r>
      <w:r w:rsidR="003D728F" w:rsidRPr="00ED0C6A">
        <w:rPr>
          <w:rFonts w:asciiTheme="minorHAnsi" w:hAnsiTheme="minorHAnsi"/>
          <w:sz w:val="24"/>
          <w:lang w:val="pl-PL"/>
        </w:rPr>
        <w:t>środków ochrony (ułatwianie identyfikacji ofiar przez wykwalifikowane osoby oraz</w:t>
      </w:r>
      <w:r w:rsidR="00827554">
        <w:rPr>
          <w:rFonts w:asciiTheme="minorHAnsi" w:hAnsiTheme="minorHAnsi"/>
          <w:sz w:val="24"/>
          <w:lang w:val="pl-PL"/>
        </w:rPr>
        <w:t> </w:t>
      </w:r>
      <w:r w:rsidR="003D728F" w:rsidRPr="00ED0C6A">
        <w:rPr>
          <w:rFonts w:asciiTheme="minorHAnsi" w:hAnsiTheme="minorHAnsi"/>
          <w:sz w:val="24"/>
          <w:lang w:val="pl-PL"/>
        </w:rPr>
        <w:t>pomaganie ofiarom w odzyskaniu równowagi fizycznej, psychicznej i społecznej).</w:t>
      </w:r>
    </w:p>
    <w:p w:rsidR="00AB41FD" w:rsidRPr="00ED0C6A" w:rsidRDefault="00AB41FD"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W obecnej sprawie, obowiązek ten nie został wypełniony</w:t>
      </w:r>
      <w:r w:rsidR="00AB41FD" w:rsidRPr="00ED0C6A">
        <w:rPr>
          <w:rFonts w:asciiTheme="minorHAnsi" w:hAnsiTheme="minorHAnsi"/>
          <w:sz w:val="24"/>
          <w:lang w:val="pl-PL"/>
        </w:rPr>
        <w:t xml:space="preserve"> przez pozwane Państwo. C</w:t>
      </w:r>
      <w:r w:rsidRPr="00ED0C6A">
        <w:rPr>
          <w:rFonts w:asciiTheme="minorHAnsi" w:hAnsiTheme="minorHAnsi"/>
          <w:sz w:val="24"/>
          <w:lang w:val="pl-PL"/>
        </w:rPr>
        <w:t>hoć</w:t>
      </w:r>
      <w:r w:rsidR="00827554">
        <w:rPr>
          <w:rFonts w:asciiTheme="minorHAnsi" w:hAnsiTheme="minorHAnsi"/>
          <w:sz w:val="24"/>
          <w:lang w:val="pl-PL"/>
        </w:rPr>
        <w:t> </w:t>
      </w:r>
      <w:r w:rsidRPr="00ED0C6A">
        <w:rPr>
          <w:rFonts w:asciiTheme="minorHAnsi" w:hAnsiTheme="minorHAnsi"/>
          <w:sz w:val="24"/>
          <w:lang w:val="pl-PL"/>
        </w:rPr>
        <w:t>sytuacja na miejscu była od dawna znana władzom (raport Rzecznika Praw Obywatelskich zwracał ich uwagę na nią już od 2008 r.), ich reakcja była jedynie doraźna i</w:t>
      </w:r>
      <w:r w:rsidR="00827554">
        <w:rPr>
          <w:rFonts w:asciiTheme="minorHAnsi" w:hAnsiTheme="minorHAnsi"/>
          <w:sz w:val="24"/>
          <w:lang w:val="pl-PL"/>
        </w:rPr>
        <w:t> </w:t>
      </w:r>
      <w:r w:rsidRPr="00ED0C6A">
        <w:rPr>
          <w:rFonts w:asciiTheme="minorHAnsi" w:hAnsiTheme="minorHAnsi"/>
          <w:sz w:val="24"/>
          <w:lang w:val="pl-PL"/>
        </w:rPr>
        <w:t>nie</w:t>
      </w:r>
      <w:r w:rsidR="00827554">
        <w:rPr>
          <w:rFonts w:asciiTheme="minorHAnsi" w:hAnsiTheme="minorHAnsi"/>
          <w:sz w:val="24"/>
          <w:lang w:val="pl-PL"/>
        </w:rPr>
        <w:t> </w:t>
      </w:r>
      <w:r w:rsidRPr="00ED0C6A">
        <w:rPr>
          <w:rFonts w:asciiTheme="minorHAnsi" w:hAnsiTheme="minorHAnsi"/>
          <w:sz w:val="24"/>
          <w:lang w:val="pl-PL"/>
        </w:rPr>
        <w:t xml:space="preserve">znaleziono żadnego generalnego rozwiązania sytuacji. </w:t>
      </w:r>
    </w:p>
    <w:p w:rsidR="00AB41FD" w:rsidRPr="00ED0C6A" w:rsidRDefault="00AB41FD" w:rsidP="00F11942">
      <w:pPr>
        <w:pStyle w:val="ClinContent"/>
        <w:spacing w:before="0"/>
        <w:rPr>
          <w:rFonts w:asciiTheme="minorHAnsi" w:hAnsiTheme="minorHAnsi"/>
          <w:sz w:val="24"/>
          <w:lang w:val="pl-PL"/>
        </w:rPr>
      </w:pPr>
    </w:p>
    <w:p w:rsidR="00AB41FD"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iii. </w:t>
      </w:r>
      <w:r w:rsidRPr="00ED0C6A">
        <w:rPr>
          <w:rFonts w:asciiTheme="minorHAnsi" w:hAnsiTheme="minorHAnsi"/>
          <w:i/>
          <w:sz w:val="24"/>
          <w:u w:val="single"/>
          <w:lang w:val="pl-PL"/>
        </w:rPr>
        <w:t>Skuteczność śledztwa i postępowania sądowego</w:t>
      </w:r>
      <w:r w:rsidRPr="00ED0C6A">
        <w:rPr>
          <w:rFonts w:asciiTheme="minorHAnsi" w:hAnsiTheme="minorHAnsi"/>
          <w:sz w:val="24"/>
          <w:lang w:val="pl-PL"/>
        </w:rPr>
        <w:t xml:space="preserve"> </w:t>
      </w:r>
    </w:p>
    <w:p w:rsidR="003D728F" w:rsidRPr="00ED0C6A" w:rsidRDefault="00AB41FD" w:rsidP="00F11942">
      <w:pPr>
        <w:pStyle w:val="ClinContent"/>
        <w:spacing w:before="0"/>
        <w:rPr>
          <w:rFonts w:asciiTheme="minorHAnsi" w:hAnsiTheme="minorHAnsi"/>
          <w:sz w:val="24"/>
          <w:lang w:val="pl-PL"/>
        </w:rPr>
      </w:pPr>
      <w:r w:rsidRPr="00ED0C6A">
        <w:rPr>
          <w:rFonts w:asciiTheme="minorHAnsi" w:hAnsiTheme="minorHAnsi"/>
          <w:sz w:val="24"/>
          <w:lang w:val="pl-PL"/>
        </w:rPr>
        <w:t>Trybunał podkreślił, że w</w:t>
      </w:r>
      <w:r w:rsidR="003D728F" w:rsidRPr="00ED0C6A">
        <w:rPr>
          <w:rFonts w:asciiTheme="minorHAnsi" w:hAnsiTheme="minorHAnsi"/>
          <w:sz w:val="24"/>
          <w:lang w:val="pl-PL"/>
        </w:rPr>
        <w:t xml:space="preserve"> sprawach wykorzystywania </w:t>
      </w:r>
      <w:r w:rsidRPr="00ED0C6A">
        <w:rPr>
          <w:rFonts w:asciiTheme="minorHAnsi" w:hAnsiTheme="minorHAnsi"/>
          <w:sz w:val="24"/>
          <w:lang w:val="pl-PL"/>
        </w:rPr>
        <w:t>osób</w:t>
      </w:r>
      <w:r w:rsidR="003D728F" w:rsidRPr="00ED0C6A">
        <w:rPr>
          <w:rFonts w:asciiTheme="minorHAnsi" w:hAnsiTheme="minorHAnsi"/>
          <w:sz w:val="24"/>
          <w:lang w:val="pl-PL"/>
        </w:rPr>
        <w:t xml:space="preserve"> organy ścigania i władze sądowe są zobowiązane wyciągać – w zakresie ich poszczególnych kompetencji – wszystkie konsekwencje wynikające z zastosowania właściwych przepisów karnych</w:t>
      </w:r>
      <w:r w:rsidRPr="00ED0C6A">
        <w:rPr>
          <w:rFonts w:asciiTheme="minorHAnsi" w:hAnsiTheme="minorHAnsi"/>
          <w:sz w:val="24"/>
          <w:lang w:val="pl-PL"/>
        </w:rPr>
        <w:t>. P</w:t>
      </w:r>
      <w:r w:rsidR="003D728F" w:rsidRPr="00ED0C6A">
        <w:rPr>
          <w:rFonts w:asciiTheme="minorHAnsi" w:hAnsiTheme="minorHAnsi"/>
          <w:sz w:val="24"/>
          <w:lang w:val="pl-PL"/>
        </w:rPr>
        <w:t xml:space="preserve">owinno </w:t>
      </w:r>
      <w:r w:rsidRPr="00ED0C6A">
        <w:rPr>
          <w:rFonts w:asciiTheme="minorHAnsi" w:hAnsiTheme="minorHAnsi"/>
          <w:sz w:val="24"/>
          <w:lang w:val="pl-PL"/>
        </w:rPr>
        <w:t xml:space="preserve">to </w:t>
      </w:r>
      <w:r w:rsidR="003D728F" w:rsidRPr="00ED0C6A">
        <w:rPr>
          <w:rFonts w:asciiTheme="minorHAnsi" w:hAnsiTheme="minorHAnsi"/>
          <w:sz w:val="24"/>
          <w:lang w:val="pl-PL"/>
        </w:rPr>
        <w:t xml:space="preserve">mieć </w:t>
      </w:r>
      <w:r w:rsidRPr="00ED0C6A">
        <w:rPr>
          <w:rFonts w:asciiTheme="minorHAnsi" w:hAnsiTheme="minorHAnsi"/>
          <w:sz w:val="24"/>
          <w:lang w:val="pl-PL"/>
        </w:rPr>
        <w:t xml:space="preserve">ponadto </w:t>
      </w:r>
      <w:r w:rsidR="003D728F" w:rsidRPr="00ED0C6A">
        <w:rPr>
          <w:rFonts w:asciiTheme="minorHAnsi" w:hAnsiTheme="minorHAnsi"/>
          <w:sz w:val="24"/>
          <w:lang w:val="pl-PL"/>
        </w:rPr>
        <w:t xml:space="preserve">miejsce w sposób pilny i z urzędu, gdy tylko </w:t>
      </w:r>
      <w:r w:rsidRPr="00ED0C6A">
        <w:rPr>
          <w:rFonts w:asciiTheme="minorHAnsi" w:hAnsiTheme="minorHAnsi"/>
          <w:sz w:val="24"/>
          <w:lang w:val="pl-PL"/>
        </w:rPr>
        <w:t xml:space="preserve">władze </w:t>
      </w:r>
      <w:r w:rsidR="003D728F" w:rsidRPr="00ED0C6A">
        <w:rPr>
          <w:rFonts w:asciiTheme="minorHAnsi" w:hAnsiTheme="minorHAnsi"/>
          <w:sz w:val="24"/>
          <w:lang w:val="pl-PL"/>
        </w:rPr>
        <w:t>dowiedzą się o sytuacji.</w:t>
      </w:r>
      <w:r w:rsidR="00E8203B" w:rsidRPr="00ED0C6A">
        <w:rPr>
          <w:rFonts w:asciiTheme="minorHAnsi" w:hAnsiTheme="minorHAnsi"/>
          <w:sz w:val="24"/>
          <w:lang w:val="pl-PL"/>
        </w:rPr>
        <w:t xml:space="preserve"> </w:t>
      </w:r>
      <w:r w:rsidR="003D728F" w:rsidRPr="00ED0C6A">
        <w:rPr>
          <w:rFonts w:asciiTheme="minorHAnsi" w:hAnsiTheme="minorHAnsi"/>
          <w:sz w:val="24"/>
          <w:lang w:val="pl-PL"/>
        </w:rPr>
        <w:t>W</w:t>
      </w:r>
      <w:r w:rsidR="00827554">
        <w:rPr>
          <w:rFonts w:asciiTheme="minorHAnsi" w:hAnsiTheme="minorHAnsi"/>
          <w:sz w:val="24"/>
          <w:lang w:val="pl-PL"/>
        </w:rPr>
        <w:t> </w:t>
      </w:r>
      <w:r w:rsidR="003D728F" w:rsidRPr="00ED0C6A">
        <w:rPr>
          <w:rFonts w:asciiTheme="minorHAnsi" w:hAnsiTheme="minorHAnsi"/>
          <w:sz w:val="24"/>
          <w:lang w:val="pl-PL"/>
        </w:rPr>
        <w:t>obecnej sprawie</w:t>
      </w:r>
      <w:r w:rsidRPr="00ED0C6A">
        <w:rPr>
          <w:rFonts w:asciiTheme="minorHAnsi" w:hAnsiTheme="minorHAnsi"/>
          <w:sz w:val="24"/>
          <w:lang w:val="pl-PL"/>
        </w:rPr>
        <w:t xml:space="preserve"> Trybunał uznał, że </w:t>
      </w:r>
      <w:r w:rsidR="003D728F" w:rsidRPr="00ED0C6A">
        <w:rPr>
          <w:rFonts w:asciiTheme="minorHAnsi" w:hAnsiTheme="minorHAnsi"/>
          <w:sz w:val="24"/>
          <w:lang w:val="pl-PL"/>
        </w:rPr>
        <w:t>obowiązki te nie zostały wypełnione</w:t>
      </w:r>
      <w:r w:rsidRPr="00ED0C6A">
        <w:rPr>
          <w:rFonts w:asciiTheme="minorHAnsi" w:hAnsiTheme="minorHAnsi"/>
          <w:sz w:val="24"/>
          <w:lang w:val="pl-PL"/>
        </w:rPr>
        <w:t xml:space="preserve"> z następujących względów</w:t>
      </w:r>
      <w:r w:rsidR="00E8203B" w:rsidRPr="00ED0C6A">
        <w:rPr>
          <w:rFonts w:asciiTheme="minorHAnsi" w:hAnsiTheme="minorHAnsi"/>
          <w:sz w:val="24"/>
          <w:lang w:val="pl-PL"/>
        </w:rPr>
        <w:t>:</w:t>
      </w:r>
    </w:p>
    <w:p w:rsidR="00AB41FD" w:rsidRPr="00ED0C6A" w:rsidRDefault="00AB41FD" w:rsidP="00F11942">
      <w:pPr>
        <w:pStyle w:val="ClinContent"/>
        <w:spacing w:before="0"/>
        <w:rPr>
          <w:rFonts w:asciiTheme="minorHAnsi" w:hAnsiTheme="minorHAnsi"/>
          <w:sz w:val="24"/>
          <w:lang w:val="pl-PL"/>
        </w:rPr>
      </w:pPr>
    </w:p>
    <w:p w:rsidR="00AB41FD"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α) </w:t>
      </w:r>
      <w:r w:rsidR="00CA27CA" w:rsidRPr="00ED0C6A">
        <w:rPr>
          <w:rFonts w:asciiTheme="minorHAnsi" w:hAnsiTheme="minorHAnsi"/>
          <w:sz w:val="24"/>
          <w:lang w:val="pl-PL"/>
        </w:rPr>
        <w:t xml:space="preserve"> </w:t>
      </w:r>
      <w:r w:rsidRPr="00ED0C6A">
        <w:rPr>
          <w:rFonts w:asciiTheme="minorHAnsi" w:hAnsiTheme="minorHAnsi"/>
          <w:i/>
          <w:sz w:val="24"/>
          <w:u w:val="single"/>
          <w:lang w:val="pl-PL"/>
        </w:rPr>
        <w:t>W odniesieniu do skarżących, którzy nie byli stronami postępowania przed sądem przysięgłych</w:t>
      </w:r>
      <w:r w:rsidR="00AB41FD" w:rsidRPr="00ED0C6A">
        <w:rPr>
          <w:rFonts w:asciiTheme="minorHAnsi" w:hAnsiTheme="minorHAnsi"/>
          <w:sz w:val="24"/>
          <w:lang w:val="pl-PL"/>
        </w:rPr>
        <w:t xml:space="preserve"> </w:t>
      </w:r>
    </w:p>
    <w:p w:rsidR="00AB41FD" w:rsidRPr="00ED0C6A" w:rsidRDefault="00AB41FD" w:rsidP="00F11942">
      <w:pPr>
        <w:pStyle w:val="ClinContent"/>
        <w:spacing w:before="0"/>
        <w:rPr>
          <w:rFonts w:asciiTheme="minorHAnsi" w:hAnsiTheme="minorHAnsi"/>
          <w:sz w:val="24"/>
          <w:lang w:val="pl-PL"/>
        </w:rPr>
      </w:pPr>
    </w:p>
    <w:p w:rsidR="00CA27CA" w:rsidRPr="00ED0C6A" w:rsidRDefault="00CA27CA" w:rsidP="00F11942">
      <w:pPr>
        <w:pStyle w:val="ClinContent"/>
        <w:spacing w:before="0"/>
        <w:rPr>
          <w:rFonts w:asciiTheme="minorHAnsi" w:hAnsiTheme="minorHAnsi"/>
          <w:sz w:val="24"/>
          <w:lang w:val="pl-PL"/>
        </w:rPr>
      </w:pPr>
      <w:r w:rsidRPr="00ED0C6A">
        <w:rPr>
          <w:rFonts w:asciiTheme="minorHAnsi" w:hAnsiTheme="minorHAnsi"/>
          <w:sz w:val="24"/>
          <w:lang w:val="pl-PL"/>
        </w:rPr>
        <w:t>Trybunał przypomniał, że g</w:t>
      </w:r>
      <w:r w:rsidR="003D728F" w:rsidRPr="00ED0C6A">
        <w:rPr>
          <w:rFonts w:asciiTheme="minorHAnsi" w:hAnsiTheme="minorHAnsi"/>
          <w:sz w:val="24"/>
          <w:lang w:val="pl-PL"/>
        </w:rPr>
        <w:t>dy tylko prokurator uzyskał informacje nt. faktów, pozwalające sądzić, że skarżący ci byli zatrudnieni przez tych samych pracodawców i pracowali w</w:t>
      </w:r>
      <w:r w:rsidR="00827554">
        <w:rPr>
          <w:rFonts w:asciiTheme="minorHAnsi" w:hAnsiTheme="minorHAnsi"/>
          <w:sz w:val="24"/>
          <w:lang w:val="pl-PL"/>
        </w:rPr>
        <w:t> </w:t>
      </w:r>
      <w:r w:rsidR="003D728F" w:rsidRPr="00ED0C6A">
        <w:rPr>
          <w:rFonts w:asciiTheme="minorHAnsi" w:hAnsiTheme="minorHAnsi"/>
          <w:sz w:val="24"/>
          <w:lang w:val="pl-PL"/>
        </w:rPr>
        <w:t>tych</w:t>
      </w:r>
      <w:r w:rsidR="00827554">
        <w:rPr>
          <w:rFonts w:asciiTheme="minorHAnsi" w:hAnsiTheme="minorHAnsi"/>
          <w:sz w:val="24"/>
          <w:lang w:val="pl-PL"/>
        </w:rPr>
        <w:t> </w:t>
      </w:r>
      <w:r w:rsidR="003D728F" w:rsidRPr="00ED0C6A">
        <w:rPr>
          <w:rFonts w:asciiTheme="minorHAnsi" w:hAnsiTheme="minorHAnsi"/>
          <w:sz w:val="24"/>
          <w:lang w:val="pl-PL"/>
        </w:rPr>
        <w:t>samych warunkach, co grupa skarżących uczestnicząca w postępowaniu przed sądem przysięgłych, był zobowiązany przeprowadzić dochodzenie w sprawie podnoszonego przez</w:t>
      </w:r>
      <w:r w:rsidR="00827554">
        <w:rPr>
          <w:rFonts w:asciiTheme="minorHAnsi" w:hAnsiTheme="minorHAnsi"/>
          <w:sz w:val="24"/>
          <w:lang w:val="pl-PL"/>
        </w:rPr>
        <w:t> </w:t>
      </w:r>
      <w:r w:rsidR="003D728F" w:rsidRPr="00ED0C6A">
        <w:rPr>
          <w:rFonts w:asciiTheme="minorHAnsi" w:hAnsiTheme="minorHAnsi"/>
          <w:sz w:val="24"/>
          <w:lang w:val="pl-PL"/>
        </w:rPr>
        <w:t>nich zarzutu handlu ludźmi i pracy przymusowej. Jednakże, z postanowienia o</w:t>
      </w:r>
      <w:r w:rsidR="00827554">
        <w:rPr>
          <w:rFonts w:asciiTheme="minorHAnsi" w:hAnsiTheme="minorHAnsi"/>
          <w:sz w:val="24"/>
          <w:lang w:val="pl-PL"/>
        </w:rPr>
        <w:t> </w:t>
      </w:r>
      <w:r w:rsidR="003D728F" w:rsidRPr="00ED0C6A">
        <w:rPr>
          <w:rFonts w:asciiTheme="minorHAnsi" w:hAnsiTheme="minorHAnsi"/>
          <w:sz w:val="24"/>
          <w:lang w:val="pl-PL"/>
        </w:rPr>
        <w:t>odmowie wsz</w:t>
      </w:r>
      <w:r w:rsidRPr="00ED0C6A">
        <w:rPr>
          <w:rFonts w:asciiTheme="minorHAnsi" w:hAnsiTheme="minorHAnsi"/>
          <w:sz w:val="24"/>
          <w:lang w:val="pl-PL"/>
        </w:rPr>
        <w:t>częcia postępowania</w:t>
      </w:r>
      <w:r w:rsidR="003D728F" w:rsidRPr="00ED0C6A">
        <w:rPr>
          <w:rFonts w:asciiTheme="minorHAnsi" w:hAnsiTheme="minorHAnsi"/>
          <w:sz w:val="24"/>
          <w:lang w:val="pl-PL"/>
        </w:rPr>
        <w:t xml:space="preserve"> w odniesieniu do ich zawiadomienia nie wynika, by</w:t>
      </w:r>
      <w:r w:rsidR="00827554">
        <w:rPr>
          <w:rFonts w:asciiTheme="minorHAnsi" w:hAnsiTheme="minorHAnsi"/>
          <w:sz w:val="24"/>
          <w:lang w:val="pl-PL"/>
        </w:rPr>
        <w:t> </w:t>
      </w:r>
      <w:r w:rsidR="003D728F" w:rsidRPr="00ED0C6A">
        <w:rPr>
          <w:rFonts w:asciiTheme="minorHAnsi" w:hAnsiTheme="minorHAnsi"/>
          <w:sz w:val="24"/>
          <w:lang w:val="pl-PL"/>
        </w:rPr>
        <w:t>prokurator rzeczywiście zbadał ten aspekt.</w:t>
      </w: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3D728F" w:rsidRPr="00ED0C6A" w:rsidRDefault="00CA27CA" w:rsidP="00F11942">
      <w:pPr>
        <w:pStyle w:val="ClinContent"/>
        <w:spacing w:before="0"/>
        <w:rPr>
          <w:rFonts w:asciiTheme="minorHAnsi" w:hAnsiTheme="minorHAnsi"/>
          <w:sz w:val="24"/>
          <w:lang w:val="pl-PL"/>
        </w:rPr>
      </w:pPr>
      <w:r w:rsidRPr="00ED0C6A">
        <w:rPr>
          <w:rFonts w:asciiTheme="minorHAnsi" w:hAnsiTheme="minorHAnsi"/>
          <w:sz w:val="24"/>
          <w:lang w:val="pl-PL"/>
        </w:rPr>
        <w:t>Poprzez nadanie znaczenia</w:t>
      </w:r>
      <w:r w:rsidR="003D728F" w:rsidRPr="00ED0C6A">
        <w:rPr>
          <w:rFonts w:asciiTheme="minorHAnsi" w:hAnsiTheme="minorHAnsi"/>
          <w:sz w:val="24"/>
          <w:lang w:val="pl-PL"/>
        </w:rPr>
        <w:t xml:space="preserve"> okoliczności, że skarżący ci zwlekali ze zwróceniem się do policji, prokurator naruszył art. 13 </w:t>
      </w:r>
      <w:r w:rsidR="003D728F" w:rsidRPr="00ED0C6A">
        <w:rPr>
          <w:rFonts w:asciiTheme="minorHAnsi" w:hAnsiTheme="minorHAnsi"/>
          <w:i/>
          <w:sz w:val="24"/>
          <w:lang w:val="pl-PL"/>
        </w:rPr>
        <w:t xml:space="preserve">Konwencji </w:t>
      </w:r>
      <w:r w:rsidRPr="00ED0C6A">
        <w:rPr>
          <w:rFonts w:asciiTheme="minorHAnsi" w:hAnsiTheme="minorHAnsi"/>
          <w:i/>
          <w:sz w:val="24"/>
          <w:lang w:val="pl-PL"/>
        </w:rPr>
        <w:t xml:space="preserve">RE </w:t>
      </w:r>
      <w:proofErr w:type="spellStart"/>
      <w:r w:rsidR="003D728F" w:rsidRPr="00ED0C6A">
        <w:rPr>
          <w:rFonts w:asciiTheme="minorHAnsi" w:hAnsiTheme="minorHAnsi"/>
          <w:i/>
          <w:sz w:val="24"/>
          <w:lang w:val="pl-PL"/>
        </w:rPr>
        <w:t>ws</w:t>
      </w:r>
      <w:proofErr w:type="spellEnd"/>
      <w:r w:rsidR="003D728F" w:rsidRPr="00ED0C6A">
        <w:rPr>
          <w:rFonts w:asciiTheme="minorHAnsi" w:hAnsiTheme="minorHAnsi"/>
          <w:i/>
          <w:sz w:val="24"/>
          <w:lang w:val="pl-PL"/>
        </w:rPr>
        <w:t>. działań przeciwko handlowi ludźmi</w:t>
      </w:r>
      <w:r w:rsidRPr="00ED0C6A">
        <w:rPr>
          <w:rFonts w:asciiTheme="minorHAnsi" w:hAnsiTheme="minorHAnsi"/>
          <w:sz w:val="24"/>
          <w:lang w:val="pl-PL"/>
        </w:rPr>
        <w:t>. Artykuł ten</w:t>
      </w:r>
      <w:r w:rsidR="00827554">
        <w:rPr>
          <w:rFonts w:asciiTheme="minorHAnsi" w:hAnsiTheme="minorHAnsi"/>
          <w:sz w:val="24"/>
          <w:lang w:val="pl-PL"/>
        </w:rPr>
        <w:t> </w:t>
      </w:r>
      <w:r w:rsidR="003D728F" w:rsidRPr="00ED0C6A">
        <w:rPr>
          <w:rFonts w:asciiTheme="minorHAnsi" w:hAnsiTheme="minorHAnsi"/>
          <w:sz w:val="24"/>
          <w:lang w:val="pl-PL"/>
        </w:rPr>
        <w:t xml:space="preserve">przewiduje właśnie „okres dochodzenia do równowagi i do namysłu” co najmniej 30 dni, </w:t>
      </w:r>
      <w:r w:rsidRPr="00ED0C6A">
        <w:rPr>
          <w:rFonts w:asciiTheme="minorHAnsi" w:hAnsiTheme="minorHAnsi"/>
          <w:sz w:val="24"/>
          <w:lang w:val="pl-PL"/>
        </w:rPr>
        <w:t xml:space="preserve">co ma </w:t>
      </w:r>
      <w:r w:rsidR="003D728F" w:rsidRPr="00ED0C6A">
        <w:rPr>
          <w:rFonts w:asciiTheme="minorHAnsi" w:hAnsiTheme="minorHAnsi"/>
          <w:sz w:val="24"/>
          <w:lang w:val="pl-PL"/>
        </w:rPr>
        <w:t xml:space="preserve">umożliwić zainteresowanej osobie uwolnienie się spod wpływu osób dopuszczających się handlu ludźmi i podjęcie świadomej decyzji dotyczącej współpracy z organami. </w:t>
      </w:r>
    </w:p>
    <w:p w:rsidR="00CA27CA" w:rsidRPr="00ED0C6A" w:rsidRDefault="00CA27CA"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Tym samym, </w:t>
      </w:r>
      <w:r w:rsidR="00CA27CA" w:rsidRPr="00ED0C6A">
        <w:rPr>
          <w:rFonts w:asciiTheme="minorHAnsi" w:hAnsiTheme="minorHAnsi"/>
          <w:sz w:val="24"/>
          <w:lang w:val="pl-PL"/>
        </w:rPr>
        <w:t xml:space="preserve">Trybunał uznał, że </w:t>
      </w:r>
      <w:r w:rsidRPr="00ED0C6A">
        <w:rPr>
          <w:rFonts w:asciiTheme="minorHAnsi" w:hAnsiTheme="minorHAnsi"/>
          <w:sz w:val="24"/>
          <w:lang w:val="pl-PL"/>
        </w:rPr>
        <w:t>należ</w:t>
      </w:r>
      <w:r w:rsidR="00CA27CA" w:rsidRPr="00ED0C6A">
        <w:rPr>
          <w:rFonts w:asciiTheme="minorHAnsi" w:hAnsiTheme="minorHAnsi"/>
          <w:sz w:val="24"/>
          <w:lang w:val="pl-PL"/>
        </w:rPr>
        <w:t xml:space="preserve">y </w:t>
      </w:r>
      <w:r w:rsidRPr="00ED0C6A">
        <w:rPr>
          <w:rFonts w:asciiTheme="minorHAnsi" w:hAnsiTheme="minorHAnsi"/>
          <w:sz w:val="24"/>
          <w:lang w:val="pl-PL"/>
        </w:rPr>
        <w:t xml:space="preserve">oddalić zastrzeżenie </w:t>
      </w:r>
      <w:r w:rsidR="00CA27CA" w:rsidRPr="00ED0C6A">
        <w:rPr>
          <w:rFonts w:asciiTheme="minorHAnsi" w:hAnsiTheme="minorHAnsi"/>
          <w:sz w:val="24"/>
          <w:lang w:val="pl-PL"/>
        </w:rPr>
        <w:t xml:space="preserve">wstępne Rządu </w:t>
      </w:r>
      <w:r w:rsidR="00E8203B" w:rsidRPr="00ED0C6A">
        <w:rPr>
          <w:rFonts w:asciiTheme="minorHAnsi" w:hAnsiTheme="minorHAnsi"/>
          <w:sz w:val="24"/>
          <w:lang w:val="pl-PL"/>
        </w:rPr>
        <w:t xml:space="preserve">dotyczące braku statusu </w:t>
      </w:r>
      <w:r w:rsidRPr="00ED0C6A">
        <w:rPr>
          <w:rFonts w:asciiTheme="minorHAnsi" w:hAnsiTheme="minorHAnsi"/>
          <w:sz w:val="24"/>
          <w:lang w:val="pl-PL"/>
        </w:rPr>
        <w:t>ofiary</w:t>
      </w:r>
      <w:r w:rsidR="00E8203B" w:rsidRPr="00ED0C6A">
        <w:rPr>
          <w:rFonts w:asciiTheme="minorHAnsi" w:hAnsiTheme="minorHAnsi"/>
          <w:sz w:val="24"/>
          <w:lang w:val="pl-PL"/>
        </w:rPr>
        <w:t xml:space="preserve"> na gruncie Konwencji </w:t>
      </w:r>
      <w:r w:rsidR="0071483C" w:rsidRPr="00ED0C6A">
        <w:rPr>
          <w:rFonts w:asciiTheme="minorHAnsi" w:hAnsiTheme="minorHAnsi"/>
          <w:sz w:val="24"/>
          <w:lang w:val="pl-PL"/>
        </w:rPr>
        <w:t>tej grupy skarżących i orzekł</w:t>
      </w:r>
      <w:r w:rsidRPr="00ED0C6A">
        <w:rPr>
          <w:rFonts w:asciiTheme="minorHAnsi" w:hAnsiTheme="minorHAnsi"/>
          <w:sz w:val="24"/>
          <w:lang w:val="pl-PL"/>
        </w:rPr>
        <w:t xml:space="preserve">, że śledztwo </w:t>
      </w:r>
      <w:r w:rsidR="00CA27CA" w:rsidRPr="00ED0C6A">
        <w:rPr>
          <w:rFonts w:asciiTheme="minorHAnsi" w:hAnsiTheme="minorHAnsi"/>
          <w:sz w:val="24"/>
          <w:lang w:val="pl-PL"/>
        </w:rPr>
        <w:t xml:space="preserve">w ich sprawie </w:t>
      </w:r>
      <w:r w:rsidRPr="00ED0C6A">
        <w:rPr>
          <w:rFonts w:asciiTheme="minorHAnsi" w:hAnsiTheme="minorHAnsi"/>
          <w:sz w:val="24"/>
          <w:lang w:val="pl-PL"/>
        </w:rPr>
        <w:t xml:space="preserve">było nieskuteczne. </w:t>
      </w:r>
    </w:p>
    <w:p w:rsidR="00CA27CA" w:rsidRPr="00ED0C6A" w:rsidRDefault="00CA27CA" w:rsidP="00F11942">
      <w:pPr>
        <w:pStyle w:val="ClinContent"/>
        <w:spacing w:before="0"/>
        <w:rPr>
          <w:rFonts w:asciiTheme="minorHAnsi" w:hAnsiTheme="minorHAnsi"/>
          <w:sz w:val="24"/>
          <w:lang w:val="pl-PL"/>
        </w:rPr>
      </w:pPr>
    </w:p>
    <w:p w:rsidR="003D728F"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β) </w:t>
      </w:r>
      <w:r w:rsidR="00CA27CA" w:rsidRPr="00ED0C6A">
        <w:rPr>
          <w:rFonts w:asciiTheme="minorHAnsi" w:hAnsiTheme="minorHAnsi"/>
          <w:sz w:val="24"/>
          <w:lang w:val="pl-PL"/>
        </w:rPr>
        <w:t xml:space="preserve"> </w:t>
      </w:r>
      <w:r w:rsidRPr="00ED0C6A">
        <w:rPr>
          <w:rFonts w:asciiTheme="minorHAnsi" w:hAnsiTheme="minorHAnsi"/>
          <w:i/>
          <w:sz w:val="24"/>
          <w:u w:val="single"/>
          <w:lang w:val="pl-PL"/>
        </w:rPr>
        <w:t>W odniesieniu do skarżących, którzy byli stroną postępowania przed sądem przysięgłych</w:t>
      </w:r>
      <w:r w:rsidRPr="00ED0C6A">
        <w:rPr>
          <w:rFonts w:asciiTheme="minorHAnsi" w:hAnsiTheme="minorHAnsi"/>
          <w:sz w:val="24"/>
          <w:lang w:val="pl-PL"/>
        </w:rPr>
        <w:t xml:space="preserve"> </w:t>
      </w:r>
    </w:p>
    <w:p w:rsidR="00827554" w:rsidRPr="00ED0C6A" w:rsidRDefault="00827554" w:rsidP="00F11942">
      <w:pPr>
        <w:pStyle w:val="ClinContent"/>
        <w:spacing w:before="0"/>
        <w:rPr>
          <w:rFonts w:asciiTheme="minorHAnsi" w:hAnsiTheme="minorHAnsi"/>
          <w:sz w:val="24"/>
          <w:lang w:val="pl-PL"/>
        </w:rPr>
      </w:pPr>
    </w:p>
    <w:p w:rsidR="00CA27CA" w:rsidRPr="00ED0C6A" w:rsidRDefault="00CA27CA"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zbadał sprawę z punktu widzenia realizacji przez Państwo obowiązków w aspekcie karnym i odszkodowawczym. </w:t>
      </w:r>
    </w:p>
    <w:p w:rsidR="00CA27CA" w:rsidRPr="00ED0C6A" w:rsidRDefault="00CA27CA" w:rsidP="00F11942">
      <w:pPr>
        <w:pStyle w:val="ClinContent"/>
        <w:spacing w:before="0"/>
        <w:rPr>
          <w:rFonts w:asciiTheme="minorHAnsi" w:hAnsiTheme="minorHAnsi"/>
          <w:sz w:val="24"/>
          <w:lang w:val="pl-PL"/>
        </w:rPr>
      </w:pPr>
    </w:p>
    <w:p w:rsidR="003D728F" w:rsidRPr="00ED0C6A" w:rsidRDefault="00CA27CA" w:rsidP="00F11942">
      <w:pPr>
        <w:pStyle w:val="ClinContent"/>
        <w:spacing w:before="0"/>
        <w:rPr>
          <w:rFonts w:asciiTheme="minorHAnsi" w:hAnsiTheme="minorHAnsi"/>
          <w:sz w:val="24"/>
          <w:lang w:val="pl-PL"/>
        </w:rPr>
      </w:pPr>
      <w:r w:rsidRPr="00ED0C6A">
        <w:rPr>
          <w:rFonts w:asciiTheme="minorHAnsi" w:hAnsiTheme="minorHAnsi"/>
          <w:sz w:val="24"/>
          <w:lang w:val="pl-PL"/>
        </w:rPr>
        <w:t>W</w:t>
      </w:r>
      <w:r w:rsidRPr="00ED0C6A">
        <w:rPr>
          <w:rFonts w:asciiTheme="minorHAnsi" w:hAnsiTheme="minorHAnsi"/>
          <w:i/>
          <w:sz w:val="24"/>
          <w:lang w:val="pl-PL"/>
        </w:rPr>
        <w:t xml:space="preserve"> </w:t>
      </w:r>
      <w:r w:rsidRPr="00ED0C6A">
        <w:rPr>
          <w:rFonts w:asciiTheme="minorHAnsi" w:hAnsiTheme="minorHAnsi"/>
          <w:sz w:val="24"/>
          <w:lang w:val="pl-PL"/>
        </w:rPr>
        <w:t xml:space="preserve">odniesieniu do obowiązków </w:t>
      </w:r>
      <w:r w:rsidRPr="00ED0C6A">
        <w:rPr>
          <w:rFonts w:asciiTheme="minorHAnsi" w:hAnsiTheme="minorHAnsi"/>
          <w:i/>
          <w:sz w:val="24"/>
          <w:u w:val="single"/>
          <w:lang w:val="pl-PL"/>
        </w:rPr>
        <w:t>w</w:t>
      </w:r>
      <w:r w:rsidRPr="00ED0C6A">
        <w:rPr>
          <w:rFonts w:asciiTheme="minorHAnsi" w:hAnsiTheme="minorHAnsi"/>
          <w:sz w:val="24"/>
          <w:u w:val="single"/>
          <w:lang w:val="pl-PL"/>
        </w:rPr>
        <w:t xml:space="preserve"> </w:t>
      </w:r>
      <w:r w:rsidRPr="00ED0C6A">
        <w:rPr>
          <w:rFonts w:asciiTheme="minorHAnsi" w:hAnsiTheme="minorHAnsi"/>
          <w:i/>
          <w:sz w:val="24"/>
          <w:u w:val="single"/>
          <w:lang w:val="pl-PL"/>
        </w:rPr>
        <w:t>aspekcie</w:t>
      </w:r>
      <w:r w:rsidR="003D728F" w:rsidRPr="00ED0C6A">
        <w:rPr>
          <w:rFonts w:asciiTheme="minorHAnsi" w:hAnsiTheme="minorHAnsi"/>
          <w:i/>
          <w:sz w:val="24"/>
          <w:u w:val="single"/>
          <w:lang w:val="pl-PL"/>
        </w:rPr>
        <w:t xml:space="preserve"> karny</w:t>
      </w:r>
      <w:r w:rsidRPr="00ED0C6A">
        <w:rPr>
          <w:rFonts w:asciiTheme="minorHAnsi" w:hAnsiTheme="minorHAnsi"/>
          <w:i/>
          <w:sz w:val="24"/>
          <w:u w:val="single"/>
          <w:lang w:val="pl-PL"/>
        </w:rPr>
        <w:t>m</w:t>
      </w:r>
      <w:r w:rsidR="003D728F" w:rsidRPr="00ED0C6A">
        <w:rPr>
          <w:rFonts w:asciiTheme="minorHAnsi" w:hAnsiTheme="minorHAnsi"/>
          <w:sz w:val="24"/>
          <w:lang w:val="pl-PL"/>
        </w:rPr>
        <w:t xml:space="preserve"> </w:t>
      </w:r>
      <w:r w:rsidRPr="00ED0C6A">
        <w:rPr>
          <w:rFonts w:asciiTheme="minorHAnsi" w:hAnsiTheme="minorHAnsi"/>
          <w:sz w:val="24"/>
          <w:lang w:val="pl-PL"/>
        </w:rPr>
        <w:t>Trybunał skrytykował fakt, że o</w:t>
      </w:r>
      <w:r w:rsidR="003D728F" w:rsidRPr="00ED0C6A">
        <w:rPr>
          <w:rFonts w:asciiTheme="minorHAnsi" w:hAnsiTheme="minorHAnsi"/>
          <w:sz w:val="24"/>
          <w:lang w:val="pl-PL"/>
        </w:rPr>
        <w:t>skarżeni o</w:t>
      </w:r>
      <w:r w:rsidR="00827554">
        <w:rPr>
          <w:rFonts w:asciiTheme="minorHAnsi" w:hAnsiTheme="minorHAnsi"/>
          <w:sz w:val="24"/>
          <w:lang w:val="pl-PL"/>
        </w:rPr>
        <w:t> </w:t>
      </w:r>
      <w:r w:rsidR="003D728F" w:rsidRPr="00ED0C6A">
        <w:rPr>
          <w:rFonts w:asciiTheme="minorHAnsi" w:hAnsiTheme="minorHAnsi"/>
          <w:sz w:val="24"/>
          <w:lang w:val="pl-PL"/>
        </w:rPr>
        <w:t>handel ludźmi zostali uniewinnieni w oparciu o wąską wykładnię</w:t>
      </w:r>
      <w:r w:rsidR="002C7F6D" w:rsidRPr="00ED0C6A">
        <w:rPr>
          <w:rFonts w:asciiTheme="minorHAnsi" w:hAnsiTheme="minorHAnsi"/>
          <w:sz w:val="24"/>
          <w:lang w:val="pl-PL"/>
        </w:rPr>
        <w:t xml:space="preserve"> prawa przez są</w:t>
      </w:r>
      <w:r w:rsidRPr="00ED0C6A">
        <w:rPr>
          <w:rFonts w:asciiTheme="minorHAnsi" w:hAnsiTheme="minorHAnsi"/>
          <w:sz w:val="24"/>
          <w:lang w:val="pl-PL"/>
        </w:rPr>
        <w:t>dy. W</w:t>
      </w:r>
      <w:r w:rsidR="00827554">
        <w:rPr>
          <w:rFonts w:asciiTheme="minorHAnsi" w:hAnsiTheme="minorHAnsi"/>
          <w:sz w:val="24"/>
          <w:lang w:val="pl-PL"/>
        </w:rPr>
        <w:t> </w:t>
      </w:r>
      <w:r w:rsidRPr="00ED0C6A">
        <w:rPr>
          <w:rFonts w:asciiTheme="minorHAnsi" w:hAnsiTheme="minorHAnsi"/>
          <w:sz w:val="24"/>
          <w:lang w:val="pl-PL"/>
        </w:rPr>
        <w:t xml:space="preserve">opinii Trybunału wykładnia ta </w:t>
      </w:r>
      <w:r w:rsidR="003D728F" w:rsidRPr="00ED0C6A">
        <w:rPr>
          <w:rFonts w:asciiTheme="minorHAnsi" w:hAnsiTheme="minorHAnsi"/>
          <w:sz w:val="24"/>
          <w:lang w:val="pl-PL"/>
        </w:rPr>
        <w:t>wyda</w:t>
      </w:r>
      <w:r w:rsidRPr="00ED0C6A">
        <w:rPr>
          <w:rFonts w:asciiTheme="minorHAnsi" w:hAnsiTheme="minorHAnsi"/>
          <w:sz w:val="24"/>
          <w:lang w:val="pl-PL"/>
        </w:rPr>
        <w:t xml:space="preserve">wała </w:t>
      </w:r>
      <w:r w:rsidR="003D728F" w:rsidRPr="00ED0C6A">
        <w:rPr>
          <w:rFonts w:asciiTheme="minorHAnsi" w:hAnsiTheme="minorHAnsi"/>
          <w:sz w:val="24"/>
          <w:lang w:val="pl-PL"/>
        </w:rPr>
        <w:t>się mieszać pojęcie handlu ludźmi z</w:t>
      </w:r>
      <w:r w:rsidR="00827554">
        <w:rPr>
          <w:rFonts w:asciiTheme="minorHAnsi" w:hAnsiTheme="minorHAnsi"/>
          <w:sz w:val="24"/>
          <w:lang w:val="pl-PL"/>
        </w:rPr>
        <w:t> </w:t>
      </w:r>
      <w:r w:rsidR="003D728F" w:rsidRPr="00ED0C6A">
        <w:rPr>
          <w:rFonts w:asciiTheme="minorHAnsi" w:hAnsiTheme="minorHAnsi"/>
          <w:sz w:val="24"/>
          <w:lang w:val="pl-PL"/>
        </w:rPr>
        <w:t xml:space="preserve">poddaństwem. </w:t>
      </w:r>
      <w:r w:rsidRPr="00ED0C6A">
        <w:rPr>
          <w:rFonts w:asciiTheme="minorHAnsi" w:hAnsiTheme="minorHAnsi"/>
          <w:sz w:val="24"/>
          <w:lang w:val="pl-PL"/>
        </w:rPr>
        <w:t xml:space="preserve">Trybunał, inaczej niż władze krajowe, uznał, że </w:t>
      </w:r>
      <w:r w:rsidR="003D728F" w:rsidRPr="00ED0C6A">
        <w:rPr>
          <w:rFonts w:asciiTheme="minorHAnsi" w:hAnsiTheme="minorHAnsi"/>
          <w:sz w:val="24"/>
          <w:lang w:val="pl-PL"/>
        </w:rPr>
        <w:t>ograniczenie wolności poruszania się</w:t>
      </w:r>
      <w:r w:rsidRPr="00ED0C6A">
        <w:rPr>
          <w:rFonts w:asciiTheme="minorHAnsi" w:hAnsiTheme="minorHAnsi"/>
          <w:sz w:val="24"/>
          <w:lang w:val="pl-PL"/>
        </w:rPr>
        <w:t xml:space="preserve"> </w:t>
      </w:r>
      <w:r w:rsidR="003D728F" w:rsidRPr="00ED0C6A">
        <w:rPr>
          <w:rFonts w:asciiTheme="minorHAnsi" w:hAnsiTheme="minorHAnsi"/>
          <w:sz w:val="24"/>
          <w:lang w:val="pl-PL"/>
        </w:rPr>
        <w:t xml:space="preserve">nie jest warunkiem </w:t>
      </w:r>
      <w:r w:rsidR="003D728F" w:rsidRPr="00ED0C6A">
        <w:rPr>
          <w:rFonts w:asciiTheme="minorHAnsi" w:hAnsiTheme="minorHAnsi"/>
          <w:i/>
          <w:sz w:val="24"/>
          <w:lang w:val="pl-PL"/>
        </w:rPr>
        <w:t>sine qua non</w:t>
      </w:r>
      <w:r w:rsidR="003D728F" w:rsidRPr="00ED0C6A">
        <w:rPr>
          <w:rFonts w:asciiTheme="minorHAnsi" w:hAnsiTheme="minorHAnsi"/>
          <w:sz w:val="24"/>
          <w:lang w:val="pl-PL"/>
        </w:rPr>
        <w:t xml:space="preserve"> dla zakwalifikowania sytuacji jako pracy przymu</w:t>
      </w:r>
      <w:r w:rsidRPr="00ED0C6A">
        <w:rPr>
          <w:rFonts w:asciiTheme="minorHAnsi" w:hAnsiTheme="minorHAnsi"/>
          <w:sz w:val="24"/>
          <w:lang w:val="pl-PL"/>
        </w:rPr>
        <w:t>sowej ani nawet handlu ludźmi. Dotyka ono nie tyle świadczenia pracy jako takiego, co raczej pewnych aspektów życia ofiary.</w:t>
      </w:r>
    </w:p>
    <w:p w:rsidR="003B51AC" w:rsidRPr="00ED0C6A" w:rsidRDefault="003B51AC" w:rsidP="00F11942">
      <w:pPr>
        <w:pStyle w:val="ClinContent"/>
        <w:spacing w:before="0"/>
        <w:rPr>
          <w:rFonts w:asciiTheme="minorHAnsi" w:hAnsiTheme="minorHAnsi"/>
          <w:sz w:val="24"/>
          <w:lang w:val="pl-PL"/>
        </w:rPr>
      </w:pPr>
    </w:p>
    <w:p w:rsidR="003D728F" w:rsidRPr="00ED0C6A" w:rsidRDefault="00CA27CA" w:rsidP="00F11942">
      <w:pPr>
        <w:pStyle w:val="ClinContent"/>
        <w:spacing w:before="0"/>
        <w:rPr>
          <w:rFonts w:asciiTheme="minorHAnsi" w:hAnsiTheme="minorHAnsi"/>
          <w:sz w:val="24"/>
          <w:lang w:val="pl-PL"/>
        </w:rPr>
      </w:pPr>
      <w:r w:rsidRPr="00ED0C6A">
        <w:rPr>
          <w:rFonts w:asciiTheme="minorHAnsi" w:hAnsiTheme="minorHAnsi"/>
          <w:sz w:val="24"/>
          <w:lang w:val="pl-PL"/>
        </w:rPr>
        <w:t>Trybunał wytknął również, że p</w:t>
      </w:r>
      <w:r w:rsidR="003D728F" w:rsidRPr="00ED0C6A">
        <w:rPr>
          <w:rFonts w:asciiTheme="minorHAnsi" w:hAnsiTheme="minorHAnsi"/>
          <w:sz w:val="24"/>
          <w:lang w:val="pl-PL"/>
        </w:rPr>
        <w:t>rokurator przy Sądzie Kasacyjnym odmówił następnie bez</w:t>
      </w:r>
      <w:r w:rsidR="00827554">
        <w:rPr>
          <w:rFonts w:asciiTheme="minorHAnsi" w:hAnsiTheme="minorHAnsi"/>
          <w:sz w:val="24"/>
          <w:lang w:val="pl-PL"/>
        </w:rPr>
        <w:t> </w:t>
      </w:r>
      <w:r w:rsidR="003D728F" w:rsidRPr="00ED0C6A">
        <w:rPr>
          <w:rFonts w:asciiTheme="minorHAnsi" w:hAnsiTheme="minorHAnsi"/>
          <w:sz w:val="24"/>
          <w:lang w:val="pl-PL"/>
        </w:rPr>
        <w:t xml:space="preserve">jakiegokolwiek uzasadnienia wniesienia kasacji od wyroku uniewinniającego. </w:t>
      </w:r>
    </w:p>
    <w:p w:rsidR="00CA27CA" w:rsidRPr="00ED0C6A" w:rsidRDefault="00CA27CA" w:rsidP="00F11942">
      <w:pPr>
        <w:pStyle w:val="ClinContent"/>
        <w:spacing w:before="0"/>
        <w:rPr>
          <w:rFonts w:asciiTheme="minorHAnsi" w:hAnsiTheme="minorHAnsi"/>
          <w:sz w:val="24"/>
          <w:lang w:val="pl-PL"/>
        </w:rPr>
      </w:pPr>
    </w:p>
    <w:p w:rsidR="003D728F" w:rsidRPr="00ED0C6A" w:rsidRDefault="00CA27CA"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Wreszcie, oceniając sankcję karną, Trybunał odnotował, że </w:t>
      </w:r>
      <w:r w:rsidR="003D728F" w:rsidRPr="00ED0C6A">
        <w:rPr>
          <w:rFonts w:asciiTheme="minorHAnsi" w:hAnsiTheme="minorHAnsi"/>
          <w:sz w:val="24"/>
          <w:lang w:val="pl-PL"/>
        </w:rPr>
        <w:t>nawet kara pozbawienia wolności nałożona z tytułu spowodowania poważnych obrażeń ciała została zamieniona na karę pieniężną w wymiarze 5 euro za dzień pozbawienia wolności.</w:t>
      </w:r>
    </w:p>
    <w:p w:rsidR="00CA27CA" w:rsidRPr="00ED0C6A" w:rsidRDefault="00CA27CA" w:rsidP="00F11942">
      <w:pPr>
        <w:pStyle w:val="ClinContent"/>
        <w:spacing w:before="0"/>
        <w:rPr>
          <w:rFonts w:asciiTheme="minorHAnsi" w:hAnsiTheme="minorHAnsi"/>
          <w:sz w:val="24"/>
          <w:lang w:val="pl-PL"/>
        </w:rPr>
      </w:pPr>
    </w:p>
    <w:p w:rsidR="003D728F" w:rsidRPr="00ED0C6A" w:rsidRDefault="00CA27CA" w:rsidP="00F11942">
      <w:pPr>
        <w:pStyle w:val="ClinContent"/>
        <w:spacing w:before="0"/>
        <w:rPr>
          <w:rFonts w:asciiTheme="minorHAnsi" w:hAnsiTheme="minorHAnsi"/>
          <w:sz w:val="24"/>
          <w:lang w:val="pl-PL"/>
        </w:rPr>
      </w:pPr>
      <w:r w:rsidRPr="00ED0C6A">
        <w:rPr>
          <w:rFonts w:asciiTheme="minorHAnsi" w:hAnsiTheme="minorHAnsi"/>
          <w:sz w:val="24"/>
          <w:lang w:val="pl-PL"/>
        </w:rPr>
        <w:t>W</w:t>
      </w:r>
      <w:r w:rsidRPr="00ED0C6A">
        <w:rPr>
          <w:rFonts w:asciiTheme="minorHAnsi" w:hAnsiTheme="minorHAnsi"/>
          <w:i/>
          <w:sz w:val="24"/>
          <w:lang w:val="pl-PL"/>
        </w:rPr>
        <w:t xml:space="preserve"> </w:t>
      </w:r>
      <w:r w:rsidRPr="00ED0C6A">
        <w:rPr>
          <w:rFonts w:asciiTheme="minorHAnsi" w:hAnsiTheme="minorHAnsi"/>
          <w:sz w:val="24"/>
          <w:lang w:val="pl-PL"/>
        </w:rPr>
        <w:t xml:space="preserve">odniesieniu zaś do obowiązków </w:t>
      </w:r>
      <w:r w:rsidRPr="00ED0C6A">
        <w:rPr>
          <w:rFonts w:asciiTheme="minorHAnsi" w:hAnsiTheme="minorHAnsi"/>
          <w:i/>
          <w:sz w:val="24"/>
          <w:u w:val="single"/>
          <w:lang w:val="pl-PL"/>
        </w:rPr>
        <w:t>w aspekcie</w:t>
      </w:r>
      <w:r w:rsidR="003D728F" w:rsidRPr="00ED0C6A">
        <w:rPr>
          <w:rFonts w:asciiTheme="minorHAnsi" w:hAnsiTheme="minorHAnsi"/>
          <w:i/>
          <w:sz w:val="24"/>
          <w:u w:val="single"/>
          <w:lang w:val="pl-PL"/>
        </w:rPr>
        <w:t xml:space="preserve"> odszkodowawczy</w:t>
      </w:r>
      <w:r w:rsidRPr="00ED0C6A">
        <w:rPr>
          <w:rFonts w:asciiTheme="minorHAnsi" w:hAnsiTheme="minorHAnsi"/>
          <w:i/>
          <w:sz w:val="24"/>
          <w:u w:val="single"/>
          <w:lang w:val="pl-PL"/>
        </w:rPr>
        <w:t>m</w:t>
      </w:r>
      <w:r w:rsidR="003D728F" w:rsidRPr="00ED0C6A">
        <w:rPr>
          <w:rFonts w:asciiTheme="minorHAnsi" w:hAnsiTheme="minorHAnsi"/>
          <w:i/>
          <w:sz w:val="24"/>
          <w:lang w:val="pl-PL"/>
        </w:rPr>
        <w:t xml:space="preserve"> </w:t>
      </w:r>
      <w:r w:rsidRPr="00ED0C6A">
        <w:rPr>
          <w:rFonts w:asciiTheme="minorHAnsi" w:hAnsiTheme="minorHAnsi"/>
          <w:sz w:val="24"/>
          <w:lang w:val="pl-PL"/>
        </w:rPr>
        <w:t>Trybunał przypomniał, że</w:t>
      </w:r>
      <w:r w:rsidR="00827554">
        <w:rPr>
          <w:rFonts w:asciiTheme="minorHAnsi" w:hAnsiTheme="minorHAnsi"/>
          <w:i/>
          <w:sz w:val="24"/>
          <w:lang w:val="pl-PL"/>
        </w:rPr>
        <w:t> </w:t>
      </w:r>
      <w:r w:rsidR="003D728F" w:rsidRPr="00ED0C6A">
        <w:rPr>
          <w:rFonts w:asciiTheme="minorHAnsi" w:hAnsiTheme="minorHAnsi"/>
          <w:sz w:val="24"/>
          <w:lang w:val="pl-PL"/>
        </w:rPr>
        <w:t xml:space="preserve">art. 15 </w:t>
      </w:r>
      <w:r w:rsidR="003D728F" w:rsidRPr="00ED0C6A">
        <w:rPr>
          <w:rFonts w:asciiTheme="minorHAnsi" w:hAnsiTheme="minorHAnsi"/>
          <w:i/>
          <w:sz w:val="24"/>
          <w:lang w:val="pl-PL"/>
        </w:rPr>
        <w:t xml:space="preserve">Konwencji </w:t>
      </w:r>
      <w:r w:rsidRPr="00ED0C6A">
        <w:rPr>
          <w:rFonts w:asciiTheme="minorHAnsi" w:hAnsiTheme="minorHAnsi"/>
          <w:i/>
          <w:sz w:val="24"/>
          <w:lang w:val="pl-PL"/>
        </w:rPr>
        <w:t xml:space="preserve">RE </w:t>
      </w:r>
      <w:proofErr w:type="spellStart"/>
      <w:r w:rsidR="003D728F" w:rsidRPr="00ED0C6A">
        <w:rPr>
          <w:rFonts w:asciiTheme="minorHAnsi" w:hAnsiTheme="minorHAnsi"/>
          <w:i/>
          <w:sz w:val="24"/>
          <w:lang w:val="pl-PL"/>
        </w:rPr>
        <w:t>ws</w:t>
      </w:r>
      <w:proofErr w:type="spellEnd"/>
      <w:r w:rsidR="003D728F" w:rsidRPr="00ED0C6A">
        <w:rPr>
          <w:rFonts w:asciiTheme="minorHAnsi" w:hAnsiTheme="minorHAnsi"/>
          <w:i/>
          <w:sz w:val="24"/>
          <w:lang w:val="pl-PL"/>
        </w:rPr>
        <w:t xml:space="preserve">. działań przeciwko handlowi ludźmi </w:t>
      </w:r>
      <w:r w:rsidR="003D728F" w:rsidRPr="00ED0C6A">
        <w:rPr>
          <w:rFonts w:asciiTheme="minorHAnsi" w:hAnsiTheme="minorHAnsi"/>
          <w:sz w:val="24"/>
          <w:lang w:val="pl-PL"/>
        </w:rPr>
        <w:t>zobowiązuje Państwa Strony, by zapewniły w swym prawie krajowym prawo ofiar do uzyskania odszkodowania od</w:t>
      </w:r>
      <w:r w:rsidR="00827554">
        <w:rPr>
          <w:rFonts w:asciiTheme="minorHAnsi" w:hAnsiTheme="minorHAnsi"/>
          <w:sz w:val="24"/>
          <w:lang w:val="pl-PL"/>
        </w:rPr>
        <w:t> </w:t>
      </w:r>
      <w:r w:rsidR="003D728F" w:rsidRPr="00ED0C6A">
        <w:rPr>
          <w:rFonts w:asciiTheme="minorHAnsi" w:hAnsiTheme="minorHAnsi"/>
          <w:sz w:val="24"/>
          <w:lang w:val="pl-PL"/>
        </w:rPr>
        <w:t xml:space="preserve">sprawców naruszenia, jak też, by podjęły środki w celu utworzenia funduszu odszkodowawczego. </w:t>
      </w:r>
    </w:p>
    <w:p w:rsidR="00E8203B" w:rsidRPr="00ED0C6A" w:rsidRDefault="00E8203B" w:rsidP="00F11942">
      <w:pPr>
        <w:pStyle w:val="ClinContent"/>
        <w:spacing w:before="0"/>
        <w:rPr>
          <w:rFonts w:asciiTheme="minorHAnsi" w:hAnsiTheme="minorHAnsi"/>
          <w:sz w:val="24"/>
          <w:lang w:val="pl-PL"/>
        </w:rPr>
      </w:pPr>
    </w:p>
    <w:p w:rsidR="003D728F" w:rsidRPr="00ED0C6A" w:rsidRDefault="003D728F" w:rsidP="00F11942">
      <w:pPr>
        <w:pStyle w:val="ClinContent"/>
        <w:spacing w:before="0"/>
        <w:rPr>
          <w:rFonts w:asciiTheme="minorHAnsi" w:hAnsiTheme="minorHAnsi"/>
          <w:sz w:val="24"/>
          <w:lang w:val="pl-PL"/>
        </w:rPr>
      </w:pPr>
      <w:r w:rsidRPr="00ED0C6A">
        <w:rPr>
          <w:rFonts w:asciiTheme="minorHAnsi" w:hAnsiTheme="minorHAnsi"/>
          <w:sz w:val="24"/>
          <w:lang w:val="pl-PL"/>
        </w:rPr>
        <w:t>Jednakże, w obecnej sprawie nawet cywilnoprawne odszkodowanie przyznane przez sąd</w:t>
      </w:r>
      <w:r w:rsidR="00827554">
        <w:rPr>
          <w:rFonts w:asciiTheme="minorHAnsi" w:hAnsiTheme="minorHAnsi"/>
          <w:sz w:val="24"/>
          <w:lang w:val="pl-PL"/>
        </w:rPr>
        <w:t> </w:t>
      </w:r>
      <w:r w:rsidRPr="00ED0C6A">
        <w:rPr>
          <w:rFonts w:asciiTheme="minorHAnsi" w:hAnsiTheme="minorHAnsi"/>
          <w:sz w:val="24"/>
          <w:lang w:val="pl-PL"/>
        </w:rPr>
        <w:t>przysięgłych z tytułu poważnych obrażeń ciała nie przekraczało kwoty 43 euro na</w:t>
      </w:r>
      <w:r w:rsidR="00827554">
        <w:rPr>
          <w:rFonts w:asciiTheme="minorHAnsi" w:hAnsiTheme="minorHAnsi"/>
          <w:sz w:val="24"/>
          <w:lang w:val="pl-PL"/>
        </w:rPr>
        <w:t> </w:t>
      </w:r>
      <w:r w:rsidRPr="00ED0C6A">
        <w:rPr>
          <w:rFonts w:asciiTheme="minorHAnsi" w:hAnsiTheme="minorHAnsi"/>
          <w:sz w:val="24"/>
          <w:lang w:val="pl-PL"/>
        </w:rPr>
        <w:t xml:space="preserve">poszkodowanego pracownika. </w:t>
      </w:r>
    </w:p>
    <w:p w:rsidR="00E8203B" w:rsidRPr="00ED0C6A" w:rsidRDefault="00E8203B" w:rsidP="00F11942">
      <w:pPr>
        <w:pStyle w:val="ClinContent"/>
        <w:spacing w:before="0"/>
        <w:rPr>
          <w:rFonts w:asciiTheme="minorHAnsi" w:hAnsiTheme="minorHAnsi"/>
          <w:i/>
          <w:sz w:val="24"/>
          <w:lang w:val="pl-PL"/>
        </w:rPr>
      </w:pPr>
    </w:p>
    <w:p w:rsidR="003D728F" w:rsidRPr="00ED0C6A" w:rsidRDefault="00E8203B"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Z powyższych względów Trybunał jednomyślnie stwierdził naruszenie art. 4 ust. 2 Konwencji </w:t>
      </w:r>
      <w:r w:rsidR="0071483C" w:rsidRPr="00ED0C6A">
        <w:rPr>
          <w:rFonts w:asciiTheme="minorHAnsi" w:hAnsiTheme="minorHAnsi"/>
          <w:sz w:val="24"/>
          <w:lang w:val="pl-PL"/>
        </w:rPr>
        <w:t xml:space="preserve">(zakaz pracy przymusowej) </w:t>
      </w:r>
      <w:r w:rsidRPr="00ED0C6A">
        <w:rPr>
          <w:rFonts w:asciiTheme="minorHAnsi" w:hAnsiTheme="minorHAnsi"/>
          <w:sz w:val="24"/>
          <w:lang w:val="pl-PL"/>
        </w:rPr>
        <w:t>i przyznał zadośćuczynienie skarżącym</w:t>
      </w:r>
      <w:r w:rsidR="003D728F" w:rsidRPr="00ED0C6A">
        <w:rPr>
          <w:rFonts w:asciiTheme="minorHAnsi" w:hAnsiTheme="minorHAnsi"/>
          <w:sz w:val="24"/>
          <w:lang w:val="pl-PL"/>
        </w:rPr>
        <w:t xml:space="preserve">. </w:t>
      </w:r>
    </w:p>
    <w:p w:rsidR="0071483C" w:rsidRPr="00ED0C6A" w:rsidRDefault="0071483C" w:rsidP="00F11942">
      <w:pPr>
        <w:pStyle w:val="ClinContent"/>
        <w:spacing w:before="0"/>
        <w:rPr>
          <w:rFonts w:asciiTheme="minorHAnsi" w:hAnsiTheme="minorHAnsi"/>
          <w:sz w:val="24"/>
          <w:lang w:val="pl-PL"/>
        </w:rPr>
      </w:pPr>
    </w:p>
    <w:p w:rsidR="003D728F" w:rsidRPr="00ED0C6A" w:rsidRDefault="0071483C" w:rsidP="00F11942">
      <w:pPr>
        <w:pStyle w:val="ClinContent"/>
        <w:spacing w:before="0"/>
        <w:rPr>
          <w:rFonts w:asciiTheme="minorHAnsi" w:hAnsiTheme="minorHAnsi"/>
          <w:sz w:val="24"/>
          <w:lang w:val="pl-PL"/>
        </w:rPr>
      </w:pPr>
      <w:r w:rsidRPr="00ED0C6A">
        <w:rPr>
          <w:rFonts w:asciiTheme="minorHAnsi" w:hAnsiTheme="minorHAnsi"/>
          <w:sz w:val="24"/>
          <w:lang w:val="pl-PL"/>
        </w:rPr>
        <w:t>Ustalając kwotę słusznego zadośćuczynienia Trybunał uznał, że trudno jest</w:t>
      </w:r>
      <w:r w:rsidR="003D728F" w:rsidRPr="00ED0C6A">
        <w:rPr>
          <w:rFonts w:asciiTheme="minorHAnsi" w:hAnsiTheme="minorHAnsi"/>
          <w:sz w:val="24"/>
          <w:lang w:val="pl-PL"/>
        </w:rPr>
        <w:t xml:space="preserve"> oszacowa</w:t>
      </w:r>
      <w:r w:rsidRPr="00ED0C6A">
        <w:rPr>
          <w:rFonts w:asciiTheme="minorHAnsi" w:hAnsiTheme="minorHAnsi"/>
          <w:sz w:val="24"/>
          <w:lang w:val="pl-PL"/>
        </w:rPr>
        <w:t>ć</w:t>
      </w:r>
      <w:r w:rsidR="003D728F" w:rsidRPr="00ED0C6A">
        <w:rPr>
          <w:rFonts w:asciiTheme="minorHAnsi" w:hAnsiTheme="minorHAnsi"/>
          <w:sz w:val="24"/>
          <w:lang w:val="pl-PL"/>
        </w:rPr>
        <w:t xml:space="preserve"> szkod</w:t>
      </w:r>
      <w:r w:rsidRPr="00ED0C6A">
        <w:rPr>
          <w:rFonts w:asciiTheme="minorHAnsi" w:hAnsiTheme="minorHAnsi"/>
          <w:sz w:val="24"/>
          <w:lang w:val="pl-PL"/>
        </w:rPr>
        <w:t>ę materialną wynikającą</w:t>
      </w:r>
      <w:r w:rsidR="003D728F" w:rsidRPr="00ED0C6A">
        <w:rPr>
          <w:rFonts w:asciiTheme="minorHAnsi" w:hAnsiTheme="minorHAnsi"/>
          <w:sz w:val="24"/>
          <w:lang w:val="pl-PL"/>
        </w:rPr>
        <w:t xml:space="preserve"> z niewypłaconych wynagrodzeń oraz </w:t>
      </w:r>
      <w:r w:rsidRPr="00ED0C6A">
        <w:rPr>
          <w:rFonts w:asciiTheme="minorHAnsi" w:hAnsiTheme="minorHAnsi"/>
          <w:sz w:val="24"/>
          <w:lang w:val="pl-PL"/>
        </w:rPr>
        <w:t xml:space="preserve">wydania wyroku sądu przysięgłych. Z tego względu </w:t>
      </w:r>
      <w:r w:rsidR="003D728F" w:rsidRPr="00ED0C6A">
        <w:rPr>
          <w:rFonts w:asciiTheme="minorHAnsi" w:hAnsiTheme="minorHAnsi"/>
          <w:sz w:val="24"/>
          <w:lang w:val="pl-PL"/>
        </w:rPr>
        <w:t>Trybunał na zasadzie słuszności ustalił globalną kwotę obejmującą zarówno szkodę materialną, jak i moralną: 16.000 euro dla każdego ze</w:t>
      </w:r>
      <w:r w:rsidR="00827554">
        <w:rPr>
          <w:rFonts w:asciiTheme="minorHAnsi" w:hAnsiTheme="minorHAnsi"/>
          <w:sz w:val="24"/>
          <w:lang w:val="pl-PL"/>
        </w:rPr>
        <w:t> </w:t>
      </w:r>
      <w:r w:rsidR="003D728F" w:rsidRPr="00ED0C6A">
        <w:rPr>
          <w:rFonts w:asciiTheme="minorHAnsi" w:hAnsiTheme="minorHAnsi"/>
          <w:sz w:val="24"/>
          <w:lang w:val="pl-PL"/>
        </w:rPr>
        <w:t xml:space="preserve">skarżących uczestniczących w postępowaniu przed sądem przysięgłych oraz 12.000 euro dla każdego z pozostałych – tytułem wszystkich poniesionych szkód. </w:t>
      </w:r>
    </w:p>
    <w:p w:rsidR="00301DE7" w:rsidRPr="00ED0C6A" w:rsidRDefault="00301DE7" w:rsidP="00F11942">
      <w:pPr>
        <w:pStyle w:val="ClinContent"/>
        <w:spacing w:before="0"/>
        <w:rPr>
          <w:rFonts w:asciiTheme="minorHAnsi" w:hAnsiTheme="minorHAnsi"/>
          <w:sz w:val="24"/>
          <w:lang w:val="pl-PL"/>
        </w:rPr>
      </w:pPr>
    </w:p>
    <w:p w:rsidR="003B51AC" w:rsidRPr="00ED0C6A" w:rsidRDefault="00301DE7" w:rsidP="00F11942">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kolejny w ostatnim czasie wyrok Trybunału dotyczący pozytywnych obowiązków </w:t>
      </w:r>
      <w:r w:rsidR="00721A8D" w:rsidRPr="00ED0C6A">
        <w:rPr>
          <w:rFonts w:asciiTheme="minorHAnsi" w:hAnsiTheme="minorHAnsi"/>
          <w:sz w:val="24"/>
          <w:lang w:val="pl-PL"/>
        </w:rPr>
        <w:t xml:space="preserve">Państw </w:t>
      </w:r>
      <w:r w:rsidRPr="00ED0C6A">
        <w:rPr>
          <w:rFonts w:asciiTheme="minorHAnsi" w:hAnsiTheme="minorHAnsi"/>
          <w:sz w:val="24"/>
          <w:lang w:val="pl-PL"/>
        </w:rPr>
        <w:t>w odpowiedzi na zjawisko handlu ludźmi</w:t>
      </w:r>
      <w:r w:rsidR="003B51AC" w:rsidRPr="00ED0C6A">
        <w:rPr>
          <w:rStyle w:val="Odwoanieprzypisudolnego"/>
          <w:rFonts w:asciiTheme="minorHAnsi" w:hAnsiTheme="minorHAnsi"/>
          <w:sz w:val="24"/>
          <w:lang w:val="pl-PL"/>
        </w:rPr>
        <w:footnoteReference w:id="10"/>
      </w:r>
      <w:r w:rsidRPr="00ED0C6A">
        <w:rPr>
          <w:rFonts w:asciiTheme="minorHAnsi" w:hAnsiTheme="minorHAnsi"/>
          <w:sz w:val="24"/>
          <w:lang w:val="pl-PL"/>
        </w:rPr>
        <w:t xml:space="preserve"> i</w:t>
      </w:r>
      <w:r w:rsidR="00827554">
        <w:rPr>
          <w:rFonts w:asciiTheme="minorHAnsi" w:hAnsiTheme="minorHAnsi"/>
          <w:sz w:val="24"/>
          <w:lang w:val="pl-PL"/>
        </w:rPr>
        <w:t> </w:t>
      </w:r>
      <w:r w:rsidRPr="00ED0C6A">
        <w:rPr>
          <w:rFonts w:asciiTheme="minorHAnsi" w:hAnsiTheme="minorHAnsi"/>
          <w:sz w:val="24"/>
          <w:lang w:val="pl-PL"/>
        </w:rPr>
        <w:t xml:space="preserve">wykorzystywania pracy przymusowej. Trybunał identyfikuje w swoim orzecznictwie konkretne kryteria, według których ocenia odpowiedź </w:t>
      </w:r>
      <w:r w:rsidR="00721A8D" w:rsidRPr="00ED0C6A">
        <w:rPr>
          <w:rFonts w:asciiTheme="minorHAnsi" w:hAnsiTheme="minorHAnsi"/>
          <w:sz w:val="24"/>
          <w:lang w:val="pl-PL"/>
        </w:rPr>
        <w:t>Państwa</w:t>
      </w:r>
      <w:r w:rsidR="00A90DA3" w:rsidRPr="00ED0C6A">
        <w:rPr>
          <w:rFonts w:asciiTheme="minorHAnsi" w:hAnsiTheme="minorHAnsi"/>
          <w:sz w:val="24"/>
          <w:lang w:val="pl-PL"/>
        </w:rPr>
        <w:t xml:space="preserve"> (warto uwzględniać te</w:t>
      </w:r>
      <w:r w:rsidR="00827554">
        <w:rPr>
          <w:rFonts w:asciiTheme="minorHAnsi" w:hAnsiTheme="minorHAnsi"/>
          <w:sz w:val="24"/>
          <w:lang w:val="pl-PL"/>
        </w:rPr>
        <w:t> </w:t>
      </w:r>
      <w:r w:rsidR="00A90DA3" w:rsidRPr="00ED0C6A">
        <w:rPr>
          <w:rFonts w:asciiTheme="minorHAnsi" w:hAnsiTheme="minorHAnsi"/>
          <w:sz w:val="24"/>
          <w:lang w:val="pl-PL"/>
        </w:rPr>
        <w:t>kryteria w prowadzonych działaniach szkoleniowych)</w:t>
      </w:r>
      <w:r w:rsidRPr="00ED0C6A">
        <w:rPr>
          <w:rFonts w:asciiTheme="minorHAnsi" w:hAnsiTheme="minorHAnsi"/>
          <w:sz w:val="24"/>
          <w:lang w:val="pl-PL"/>
        </w:rPr>
        <w:t xml:space="preserve">. Musi ona obejmować zarówno stworzenie odpowiednich ram prawnych, </w:t>
      </w:r>
      <w:r w:rsidR="002C7F6D" w:rsidRPr="00ED0C6A">
        <w:rPr>
          <w:rFonts w:asciiTheme="minorHAnsi" w:hAnsiTheme="minorHAnsi"/>
          <w:sz w:val="24"/>
          <w:lang w:val="pl-PL"/>
        </w:rPr>
        <w:t xml:space="preserve">podjęcie </w:t>
      </w:r>
      <w:r w:rsidRPr="00ED0C6A">
        <w:rPr>
          <w:rFonts w:asciiTheme="minorHAnsi" w:hAnsiTheme="minorHAnsi"/>
          <w:sz w:val="24"/>
          <w:lang w:val="pl-PL"/>
        </w:rPr>
        <w:t xml:space="preserve">środków operacyjnych w zakresie prewencji i ochrony osób, w tym identyfikacji ofiar handlu ludźmi, </w:t>
      </w:r>
      <w:r w:rsidR="002C7F6D" w:rsidRPr="00ED0C6A">
        <w:rPr>
          <w:rFonts w:asciiTheme="minorHAnsi" w:hAnsiTheme="minorHAnsi"/>
          <w:sz w:val="24"/>
          <w:lang w:val="pl-PL"/>
        </w:rPr>
        <w:t xml:space="preserve">przeprowadzenie </w:t>
      </w:r>
      <w:r w:rsidRPr="00ED0C6A">
        <w:rPr>
          <w:rFonts w:asciiTheme="minorHAnsi" w:hAnsiTheme="minorHAnsi"/>
          <w:sz w:val="24"/>
          <w:lang w:val="pl-PL"/>
        </w:rPr>
        <w:t>skutecznego śledztwa i postępowania sądowego</w:t>
      </w:r>
      <w:r w:rsidR="003B51AC" w:rsidRPr="00ED0C6A">
        <w:rPr>
          <w:rFonts w:asciiTheme="minorHAnsi" w:hAnsiTheme="minorHAnsi"/>
          <w:sz w:val="24"/>
          <w:lang w:val="pl-PL"/>
        </w:rPr>
        <w:t xml:space="preserve"> oraz </w:t>
      </w:r>
      <w:r w:rsidR="002C7F6D" w:rsidRPr="00ED0C6A">
        <w:rPr>
          <w:rFonts w:asciiTheme="minorHAnsi" w:hAnsiTheme="minorHAnsi"/>
          <w:sz w:val="24"/>
          <w:lang w:val="pl-PL"/>
        </w:rPr>
        <w:t xml:space="preserve">zapewnienie </w:t>
      </w:r>
      <w:r w:rsidR="003B51AC" w:rsidRPr="00ED0C6A">
        <w:rPr>
          <w:rFonts w:asciiTheme="minorHAnsi" w:hAnsiTheme="minorHAnsi"/>
          <w:sz w:val="24"/>
          <w:lang w:val="pl-PL"/>
        </w:rPr>
        <w:t>odszkodowania</w:t>
      </w:r>
      <w:r w:rsidRPr="00ED0C6A">
        <w:rPr>
          <w:rFonts w:asciiTheme="minorHAnsi" w:hAnsiTheme="minorHAnsi"/>
          <w:sz w:val="24"/>
          <w:lang w:val="pl-PL"/>
        </w:rPr>
        <w:t xml:space="preserve">. Trybunał ocenia reakcję </w:t>
      </w:r>
      <w:r w:rsidR="00721A8D" w:rsidRPr="00ED0C6A">
        <w:rPr>
          <w:rFonts w:asciiTheme="minorHAnsi" w:hAnsiTheme="minorHAnsi"/>
          <w:sz w:val="24"/>
          <w:lang w:val="pl-PL"/>
        </w:rPr>
        <w:t xml:space="preserve">Państw </w:t>
      </w:r>
      <w:r w:rsidRPr="00ED0C6A">
        <w:rPr>
          <w:rFonts w:asciiTheme="minorHAnsi" w:hAnsiTheme="minorHAnsi"/>
          <w:sz w:val="24"/>
          <w:lang w:val="pl-PL"/>
        </w:rPr>
        <w:t>ze ścisłym uwzględnieniem ich obowiązków wynikających z</w:t>
      </w:r>
      <w:r w:rsidR="00827554">
        <w:rPr>
          <w:rFonts w:asciiTheme="minorHAnsi" w:hAnsiTheme="minorHAnsi"/>
          <w:sz w:val="24"/>
          <w:lang w:val="pl-PL"/>
        </w:rPr>
        <w:t> </w:t>
      </w:r>
      <w:r w:rsidRPr="00ED0C6A">
        <w:rPr>
          <w:rFonts w:asciiTheme="minorHAnsi" w:hAnsiTheme="minorHAnsi"/>
          <w:sz w:val="24"/>
          <w:lang w:val="pl-PL"/>
        </w:rPr>
        <w:t>wyspecjalizowanych umów międzynarodowych dotyczących zwalczania zjawiska handlu ludźmi, w szczególności Konwencji Rady Europy w sprawie działań przeciwko handlowi ludźmi – w świetle również jej interpretacji przez mechanizm ustanowiony na podstawie tej</w:t>
      </w:r>
      <w:r w:rsidR="00827554">
        <w:rPr>
          <w:rFonts w:asciiTheme="minorHAnsi" w:hAnsiTheme="minorHAnsi"/>
          <w:sz w:val="24"/>
          <w:lang w:val="pl-PL"/>
        </w:rPr>
        <w:t> </w:t>
      </w:r>
      <w:r w:rsidRPr="00ED0C6A">
        <w:rPr>
          <w:rFonts w:asciiTheme="minorHAnsi" w:hAnsiTheme="minorHAnsi"/>
          <w:sz w:val="24"/>
          <w:lang w:val="pl-PL"/>
        </w:rPr>
        <w:t>konwencji (GRETA)</w:t>
      </w:r>
      <w:r w:rsidR="003B51AC" w:rsidRPr="00ED0C6A">
        <w:rPr>
          <w:rFonts w:asciiTheme="minorHAnsi" w:hAnsiTheme="minorHAnsi"/>
          <w:sz w:val="24"/>
          <w:lang w:val="pl-PL"/>
        </w:rPr>
        <w:t>, w tym wszystkich jej zapisów dotyczących mechanizmów ochrony ofiar</w:t>
      </w:r>
      <w:r w:rsidRPr="00ED0C6A">
        <w:rPr>
          <w:rFonts w:asciiTheme="minorHAnsi" w:hAnsiTheme="minorHAnsi"/>
          <w:sz w:val="24"/>
          <w:lang w:val="pl-PL"/>
        </w:rPr>
        <w:t xml:space="preserve">. </w:t>
      </w:r>
    </w:p>
    <w:p w:rsidR="003B51AC" w:rsidRPr="00ED0C6A" w:rsidRDefault="003B51AC" w:rsidP="00F11942">
      <w:pPr>
        <w:pStyle w:val="ClinContent"/>
        <w:spacing w:before="0"/>
        <w:rPr>
          <w:rFonts w:asciiTheme="minorHAnsi" w:hAnsiTheme="minorHAnsi"/>
          <w:sz w:val="24"/>
          <w:lang w:val="pl-PL"/>
        </w:rPr>
      </w:pPr>
    </w:p>
    <w:p w:rsidR="003B51AC" w:rsidRPr="00ED0C6A" w:rsidRDefault="003B51AC"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Szczególnie ważny aspekt obecnej sprawy dotyczy także kwestii definicji pracy przymusowej. Fakt pierwotnie dobrowolnego zawarcia takiej umowy, a nawet formalnie swoboda poruszania się pracowników, nie są warunkami </w:t>
      </w:r>
      <w:r w:rsidRPr="00ED0C6A">
        <w:rPr>
          <w:rFonts w:asciiTheme="minorHAnsi" w:hAnsiTheme="minorHAnsi"/>
          <w:i/>
          <w:sz w:val="24"/>
          <w:lang w:val="pl-PL"/>
        </w:rPr>
        <w:t>sine qua non</w:t>
      </w:r>
      <w:r w:rsidRPr="00ED0C6A">
        <w:rPr>
          <w:rFonts w:asciiTheme="minorHAnsi" w:hAnsiTheme="minorHAnsi"/>
          <w:sz w:val="24"/>
          <w:lang w:val="pl-PL"/>
        </w:rPr>
        <w:t>, by można było mówić o handlu ludźmi i pracy przymusowej, gdy są spełnione inne aspekty, jak wykorzystanie wrażliwej sytuacji osób (np. nieuregulowany status imigracyjny, imigrantów), zastraszenie, przemoc, bariery uniemożliwiające odejście związane z brakiem wypłaty zaległego wynagrodzenia</w:t>
      </w:r>
      <w:r w:rsidR="007F5F7E" w:rsidRPr="00ED0C6A">
        <w:rPr>
          <w:rFonts w:asciiTheme="minorHAnsi" w:hAnsiTheme="minorHAnsi"/>
          <w:sz w:val="24"/>
          <w:lang w:val="pl-PL"/>
        </w:rPr>
        <w:t xml:space="preserve"> czy</w:t>
      </w:r>
      <w:r w:rsidR="00827554">
        <w:rPr>
          <w:rFonts w:asciiTheme="minorHAnsi" w:hAnsiTheme="minorHAnsi"/>
          <w:sz w:val="24"/>
          <w:lang w:val="pl-PL"/>
        </w:rPr>
        <w:t> </w:t>
      </w:r>
      <w:r w:rsidR="007F5F7E" w:rsidRPr="00ED0C6A">
        <w:rPr>
          <w:rFonts w:asciiTheme="minorHAnsi" w:hAnsiTheme="minorHAnsi"/>
          <w:sz w:val="24"/>
          <w:lang w:val="pl-PL"/>
        </w:rPr>
        <w:t>nieuregulowanym statusem</w:t>
      </w:r>
      <w:r w:rsidRPr="00ED0C6A">
        <w:rPr>
          <w:rFonts w:asciiTheme="minorHAnsi" w:hAnsiTheme="minorHAnsi"/>
          <w:sz w:val="24"/>
          <w:lang w:val="pl-PL"/>
        </w:rPr>
        <w:t xml:space="preserve">.  </w:t>
      </w:r>
    </w:p>
    <w:p w:rsidR="003B51AC" w:rsidRPr="00ED0C6A" w:rsidRDefault="003B51AC" w:rsidP="00F11942">
      <w:pPr>
        <w:pStyle w:val="ClinContent"/>
        <w:spacing w:before="0"/>
        <w:rPr>
          <w:rFonts w:asciiTheme="minorHAnsi" w:hAnsiTheme="minorHAnsi"/>
          <w:sz w:val="24"/>
          <w:lang w:val="pl-PL"/>
        </w:rPr>
      </w:pPr>
    </w:p>
    <w:p w:rsidR="003B51AC" w:rsidRPr="00ED0C6A" w:rsidRDefault="003B51AC" w:rsidP="00F11942">
      <w:pPr>
        <w:pStyle w:val="ClinContent"/>
        <w:spacing w:before="0"/>
        <w:rPr>
          <w:rFonts w:asciiTheme="minorHAnsi" w:hAnsiTheme="minorHAnsi"/>
          <w:sz w:val="24"/>
          <w:lang w:val="pl-PL"/>
        </w:rPr>
      </w:pPr>
      <w:r w:rsidRPr="00ED0C6A">
        <w:rPr>
          <w:rFonts w:asciiTheme="minorHAnsi" w:hAnsiTheme="minorHAnsi"/>
          <w:sz w:val="24"/>
          <w:lang w:val="pl-PL"/>
        </w:rPr>
        <w:t>Wyrok m</w:t>
      </w:r>
      <w:r w:rsidR="005505BF" w:rsidRPr="00ED0C6A">
        <w:rPr>
          <w:rFonts w:asciiTheme="minorHAnsi" w:hAnsiTheme="minorHAnsi"/>
          <w:sz w:val="24"/>
          <w:lang w:val="pl-PL"/>
        </w:rPr>
        <w:t xml:space="preserve">oże mieć </w:t>
      </w:r>
      <w:r w:rsidRPr="00ED0C6A">
        <w:rPr>
          <w:rFonts w:asciiTheme="minorHAnsi" w:hAnsiTheme="minorHAnsi"/>
          <w:sz w:val="24"/>
          <w:lang w:val="pl-PL"/>
        </w:rPr>
        <w:t xml:space="preserve">znaczenie </w:t>
      </w:r>
      <w:r w:rsidR="002677F5" w:rsidRPr="00ED0C6A">
        <w:rPr>
          <w:rFonts w:asciiTheme="minorHAnsi" w:hAnsiTheme="minorHAnsi"/>
          <w:sz w:val="24"/>
          <w:lang w:val="pl-PL"/>
        </w:rPr>
        <w:t xml:space="preserve">zwłaszcza </w:t>
      </w:r>
      <w:r w:rsidRPr="00ED0C6A">
        <w:rPr>
          <w:rFonts w:asciiTheme="minorHAnsi" w:hAnsiTheme="minorHAnsi"/>
          <w:sz w:val="24"/>
          <w:lang w:val="pl-PL"/>
        </w:rPr>
        <w:t>dla policji, prokuratury, sądów, organów inspekcji pracy, a także innych organów oraz organizacji pozarządowych zaangażowanych w</w:t>
      </w:r>
      <w:r w:rsidR="00827554">
        <w:rPr>
          <w:rFonts w:asciiTheme="minorHAnsi" w:hAnsiTheme="minorHAnsi"/>
          <w:sz w:val="24"/>
          <w:lang w:val="pl-PL"/>
        </w:rPr>
        <w:t> </w:t>
      </w:r>
      <w:r w:rsidRPr="00ED0C6A">
        <w:rPr>
          <w:rFonts w:asciiTheme="minorHAnsi" w:hAnsiTheme="minorHAnsi"/>
          <w:sz w:val="24"/>
          <w:lang w:val="pl-PL"/>
        </w:rPr>
        <w:t xml:space="preserve">zwalczanie handlu ludźmi i pracy przymusowej oraz wspieranie ofiar. </w:t>
      </w:r>
      <w:r w:rsidR="00792EF1" w:rsidRPr="00ED0C6A">
        <w:rPr>
          <w:rFonts w:asciiTheme="minorHAnsi" w:hAnsiTheme="minorHAnsi"/>
          <w:sz w:val="24"/>
          <w:lang w:val="pl-PL"/>
        </w:rPr>
        <w:t>M</w:t>
      </w:r>
      <w:r w:rsidR="005505BF" w:rsidRPr="00ED0C6A">
        <w:rPr>
          <w:rFonts w:asciiTheme="minorHAnsi" w:hAnsiTheme="minorHAnsi"/>
          <w:sz w:val="24"/>
          <w:lang w:val="pl-PL"/>
        </w:rPr>
        <w:t xml:space="preserve">oże </w:t>
      </w:r>
      <w:r w:rsidR="00792EF1" w:rsidRPr="00ED0C6A">
        <w:rPr>
          <w:rFonts w:asciiTheme="minorHAnsi" w:hAnsiTheme="minorHAnsi"/>
          <w:sz w:val="24"/>
          <w:lang w:val="pl-PL"/>
        </w:rPr>
        <w:t xml:space="preserve">też </w:t>
      </w:r>
      <w:r w:rsidR="005505BF" w:rsidRPr="00ED0C6A">
        <w:rPr>
          <w:rFonts w:asciiTheme="minorHAnsi" w:hAnsiTheme="minorHAnsi"/>
          <w:sz w:val="24"/>
          <w:lang w:val="pl-PL"/>
        </w:rPr>
        <w:t xml:space="preserve">mieć </w:t>
      </w:r>
      <w:r w:rsidR="00792EF1" w:rsidRPr="00ED0C6A">
        <w:rPr>
          <w:rFonts w:asciiTheme="minorHAnsi" w:hAnsiTheme="minorHAnsi"/>
          <w:sz w:val="24"/>
          <w:lang w:val="pl-PL"/>
        </w:rPr>
        <w:t xml:space="preserve">znaczenie dla organów </w:t>
      </w:r>
      <w:r w:rsidR="002677F5" w:rsidRPr="00ED0C6A">
        <w:rPr>
          <w:rFonts w:asciiTheme="minorHAnsi" w:hAnsiTheme="minorHAnsi"/>
          <w:sz w:val="24"/>
          <w:lang w:val="pl-PL"/>
        </w:rPr>
        <w:t xml:space="preserve">właściwych ds. </w:t>
      </w:r>
      <w:r w:rsidR="00792EF1" w:rsidRPr="00ED0C6A">
        <w:rPr>
          <w:rFonts w:asciiTheme="minorHAnsi" w:hAnsiTheme="minorHAnsi"/>
          <w:sz w:val="24"/>
          <w:lang w:val="pl-PL"/>
        </w:rPr>
        <w:t xml:space="preserve">uregulowań </w:t>
      </w:r>
      <w:r w:rsidR="002677F5" w:rsidRPr="00ED0C6A">
        <w:rPr>
          <w:rFonts w:asciiTheme="minorHAnsi" w:hAnsiTheme="minorHAnsi"/>
          <w:sz w:val="24"/>
          <w:lang w:val="pl-PL"/>
        </w:rPr>
        <w:t>prawnych i kontroli prawa dotyczącego</w:t>
      </w:r>
      <w:r w:rsidR="00792EF1" w:rsidRPr="00ED0C6A">
        <w:rPr>
          <w:rFonts w:asciiTheme="minorHAnsi" w:hAnsiTheme="minorHAnsi"/>
          <w:sz w:val="24"/>
          <w:lang w:val="pl-PL"/>
        </w:rPr>
        <w:t xml:space="preserve"> zwalczania handlu ludźmi.</w:t>
      </w:r>
    </w:p>
    <w:p w:rsidR="006F3FA2" w:rsidRPr="00ED0C6A" w:rsidRDefault="006F3FA2" w:rsidP="009333A7">
      <w:pPr>
        <w:pStyle w:val="Nagwek2"/>
        <w:spacing w:before="480"/>
        <w:rPr>
          <w:rFonts w:asciiTheme="minorHAnsi" w:hAnsiTheme="minorHAnsi"/>
          <w:color w:val="auto"/>
          <w:sz w:val="24"/>
          <w:szCs w:val="24"/>
        </w:rPr>
      </w:pPr>
      <w:bookmarkStart w:id="10" w:name="_Toc524696728"/>
      <w:proofErr w:type="spellStart"/>
      <w:r w:rsidRPr="00ED0C6A">
        <w:rPr>
          <w:rFonts w:asciiTheme="minorHAnsi" w:hAnsiTheme="minorHAnsi"/>
          <w:color w:val="auto"/>
          <w:sz w:val="24"/>
          <w:szCs w:val="24"/>
        </w:rPr>
        <w:t>Davydov</w:t>
      </w:r>
      <w:proofErr w:type="spellEnd"/>
      <w:r w:rsidRPr="00ED0C6A">
        <w:rPr>
          <w:rFonts w:asciiTheme="minorHAnsi" w:hAnsiTheme="minorHAnsi"/>
          <w:color w:val="auto"/>
          <w:sz w:val="24"/>
          <w:szCs w:val="24"/>
        </w:rPr>
        <w:t xml:space="preserve"> i Inni p. Rosji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75947/11</w:t>
      </w:r>
      <w:r w:rsidR="004A22AD" w:rsidRPr="00ED0C6A">
        <w:rPr>
          <w:rFonts w:asciiTheme="minorHAnsi" w:hAnsiTheme="minorHAnsi"/>
          <w:color w:val="auto"/>
          <w:sz w:val="24"/>
          <w:szCs w:val="24"/>
        </w:rPr>
        <w:t>, w</w:t>
      </w:r>
      <w:r w:rsidRPr="00ED0C6A">
        <w:rPr>
          <w:rFonts w:asciiTheme="minorHAnsi" w:hAnsiTheme="minorHAnsi"/>
          <w:color w:val="auto"/>
          <w:sz w:val="24"/>
          <w:szCs w:val="24"/>
        </w:rPr>
        <w:t>yrok</w:t>
      </w:r>
      <w:r w:rsidR="00E80C9C" w:rsidRPr="00ED0C6A">
        <w:rPr>
          <w:rFonts w:asciiTheme="minorHAnsi" w:hAnsiTheme="minorHAnsi"/>
          <w:color w:val="auto"/>
          <w:sz w:val="24"/>
          <w:szCs w:val="24"/>
        </w:rPr>
        <w:t xml:space="preserve"> Izby</w:t>
      </w:r>
      <w:r w:rsidRPr="00ED0C6A">
        <w:rPr>
          <w:rFonts w:asciiTheme="minorHAnsi" w:hAnsiTheme="minorHAnsi"/>
          <w:color w:val="auto"/>
          <w:sz w:val="24"/>
          <w:szCs w:val="24"/>
        </w:rPr>
        <w:t xml:space="preserve"> z 30</w:t>
      </w:r>
      <w:r w:rsidR="00B4260D" w:rsidRPr="00ED0C6A">
        <w:rPr>
          <w:rFonts w:asciiTheme="minorHAnsi" w:hAnsiTheme="minorHAnsi"/>
          <w:color w:val="auto"/>
          <w:sz w:val="24"/>
          <w:szCs w:val="24"/>
        </w:rPr>
        <w:t xml:space="preserve"> maja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10"/>
      <w:r w:rsidRPr="00ED0C6A">
        <w:rPr>
          <w:rFonts w:asciiTheme="minorHAnsi" w:hAnsiTheme="minorHAnsi"/>
          <w:color w:val="auto"/>
          <w:sz w:val="24"/>
          <w:szCs w:val="24"/>
        </w:rPr>
        <w:t xml:space="preserve"> </w:t>
      </w:r>
      <w:r w:rsidR="004C7CD6" w:rsidRPr="00ED0C6A">
        <w:rPr>
          <w:rFonts w:asciiTheme="minorHAnsi" w:hAnsiTheme="minorHAnsi"/>
          <w:color w:val="auto"/>
          <w:sz w:val="24"/>
          <w:szCs w:val="24"/>
        </w:rPr>
        <w:t xml:space="preserve"> </w:t>
      </w:r>
    </w:p>
    <w:p w:rsidR="006F3FA2" w:rsidRPr="00ED0C6A" w:rsidRDefault="006F3FA2"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5D38CC" w:rsidRPr="00ED0C6A">
        <w:rPr>
          <w:b/>
          <w:color w:val="000000" w:themeColor="text1"/>
          <w:sz w:val="24"/>
          <w:szCs w:val="24"/>
          <w:lang w:val="pl-PL"/>
        </w:rPr>
        <w:t xml:space="preserve"> art. 3 Protokołu nr 1 do Konwencji (prawo do wolnych wyborów) w</w:t>
      </w:r>
      <w:r w:rsidR="00827554">
        <w:rPr>
          <w:b/>
          <w:color w:val="000000" w:themeColor="text1"/>
          <w:sz w:val="24"/>
          <w:szCs w:val="24"/>
          <w:lang w:val="pl-PL"/>
        </w:rPr>
        <w:t> </w:t>
      </w:r>
      <w:r w:rsidR="005D38CC" w:rsidRPr="00ED0C6A">
        <w:rPr>
          <w:b/>
          <w:color w:val="000000" w:themeColor="text1"/>
          <w:sz w:val="24"/>
          <w:szCs w:val="24"/>
          <w:lang w:val="pl-PL"/>
        </w:rPr>
        <w:t xml:space="preserve">odniesieniu </w:t>
      </w:r>
      <w:r w:rsidR="00CB62D0" w:rsidRPr="00ED0C6A">
        <w:rPr>
          <w:b/>
          <w:color w:val="000000" w:themeColor="text1"/>
          <w:sz w:val="24"/>
          <w:szCs w:val="24"/>
          <w:lang w:val="pl-PL"/>
        </w:rPr>
        <w:t xml:space="preserve">do </w:t>
      </w:r>
      <w:r w:rsidR="005D38CC" w:rsidRPr="00ED0C6A">
        <w:rPr>
          <w:b/>
          <w:color w:val="000000" w:themeColor="text1"/>
          <w:sz w:val="24"/>
          <w:szCs w:val="24"/>
          <w:lang w:val="pl-PL"/>
        </w:rPr>
        <w:t>braku odpowiedniego zbadania przez władze krajowe zarzutów dotyczących poważnych nieprawidłowości wyborczych</w:t>
      </w:r>
    </w:p>
    <w:p w:rsidR="00161D5F" w:rsidRPr="00ED0C6A" w:rsidRDefault="00286D4B" w:rsidP="009B32DE">
      <w:pPr>
        <w:pStyle w:val="ClinContent"/>
        <w:spacing w:before="0"/>
        <w:rPr>
          <w:rFonts w:asciiTheme="minorHAnsi" w:hAnsiTheme="minorHAnsi"/>
          <w:sz w:val="24"/>
          <w:lang w:val="pl-PL"/>
        </w:rPr>
      </w:pPr>
      <w:r w:rsidRPr="00ED0C6A">
        <w:rPr>
          <w:rFonts w:asciiTheme="minorHAnsi" w:hAnsiTheme="minorHAnsi"/>
          <w:sz w:val="24"/>
          <w:lang w:val="pl-PL"/>
        </w:rPr>
        <w:t>Sprawa dotyczyła wyborów na szczeblu miejskim i federalnym do Zgromadzenia Ustawodawczego Petersburga oraz Dumy Państwowej Federacji Rosyjskiej (niższej izby rosyjskiego Parlamentu)</w:t>
      </w:r>
      <w:r w:rsidR="00161D5F" w:rsidRPr="00ED0C6A">
        <w:rPr>
          <w:rFonts w:asciiTheme="minorHAnsi" w:hAnsiTheme="minorHAnsi"/>
          <w:sz w:val="24"/>
          <w:lang w:val="pl-PL"/>
        </w:rPr>
        <w:t>, przeprowadzonych w dniu 4 grudnia 2011 r</w:t>
      </w:r>
      <w:r w:rsidRPr="00ED0C6A">
        <w:rPr>
          <w:rFonts w:asciiTheme="minorHAnsi" w:hAnsiTheme="minorHAnsi"/>
          <w:sz w:val="24"/>
          <w:lang w:val="pl-PL"/>
        </w:rPr>
        <w:t>. Skarżący uczestniczyli w wyborach w różny sposób: wszyscy – jako zarejestrowani wyborcy, niektórzy – jako</w:t>
      </w:r>
      <w:r w:rsidR="00DC3463">
        <w:rPr>
          <w:rFonts w:asciiTheme="minorHAnsi" w:hAnsiTheme="minorHAnsi"/>
          <w:sz w:val="24"/>
          <w:lang w:val="pl-PL"/>
        </w:rPr>
        <w:t> </w:t>
      </w:r>
      <w:r w:rsidRPr="00ED0C6A">
        <w:rPr>
          <w:rFonts w:asciiTheme="minorHAnsi" w:hAnsiTheme="minorHAnsi"/>
          <w:sz w:val="24"/>
          <w:lang w:val="pl-PL"/>
        </w:rPr>
        <w:t xml:space="preserve">kandydaci do Zgromadzenia Ustawodawczego, a </w:t>
      </w:r>
      <w:r w:rsidR="00161D5F" w:rsidRPr="00ED0C6A">
        <w:rPr>
          <w:rFonts w:asciiTheme="minorHAnsi" w:hAnsiTheme="minorHAnsi"/>
          <w:sz w:val="24"/>
          <w:lang w:val="pl-PL"/>
        </w:rPr>
        <w:t xml:space="preserve">jeszcze </w:t>
      </w:r>
      <w:r w:rsidRPr="00ED0C6A">
        <w:rPr>
          <w:rFonts w:asciiTheme="minorHAnsi" w:hAnsiTheme="minorHAnsi"/>
          <w:sz w:val="24"/>
          <w:lang w:val="pl-PL"/>
        </w:rPr>
        <w:t xml:space="preserve">inni jako członkowie komisji wyborczych lub obserwatorzy. </w:t>
      </w:r>
    </w:p>
    <w:p w:rsidR="009B32DE" w:rsidRPr="00ED0C6A" w:rsidRDefault="009B32DE" w:rsidP="009B32DE">
      <w:pPr>
        <w:pStyle w:val="ClinContent"/>
        <w:spacing w:before="0"/>
        <w:rPr>
          <w:rFonts w:asciiTheme="minorHAnsi" w:hAnsiTheme="minorHAnsi"/>
          <w:sz w:val="24"/>
          <w:lang w:val="pl-PL"/>
        </w:rPr>
      </w:pPr>
    </w:p>
    <w:p w:rsidR="00286D4B" w:rsidRPr="00ED0C6A" w:rsidRDefault="00A7680C" w:rsidP="009B32DE">
      <w:pPr>
        <w:pStyle w:val="ClinContent"/>
        <w:spacing w:before="0"/>
        <w:rPr>
          <w:rFonts w:asciiTheme="minorHAnsi" w:hAnsiTheme="minorHAnsi"/>
          <w:sz w:val="24"/>
          <w:lang w:val="pl-PL"/>
        </w:rPr>
      </w:pPr>
      <w:r w:rsidRPr="00ED0C6A">
        <w:rPr>
          <w:rFonts w:asciiTheme="minorHAnsi" w:hAnsiTheme="minorHAnsi"/>
          <w:sz w:val="24"/>
          <w:lang w:val="pl-PL"/>
        </w:rPr>
        <w:t>Przed Trybunałem</w:t>
      </w:r>
      <w:r w:rsidR="00161D5F" w:rsidRPr="00ED0C6A">
        <w:rPr>
          <w:rFonts w:asciiTheme="minorHAnsi" w:hAnsiTheme="minorHAnsi"/>
          <w:sz w:val="24"/>
          <w:lang w:val="pl-PL"/>
        </w:rPr>
        <w:t xml:space="preserve"> </w:t>
      </w:r>
      <w:r w:rsidR="00286D4B" w:rsidRPr="00ED0C6A">
        <w:rPr>
          <w:rFonts w:asciiTheme="minorHAnsi" w:hAnsiTheme="minorHAnsi"/>
          <w:sz w:val="24"/>
          <w:lang w:val="pl-PL"/>
        </w:rPr>
        <w:t>skarżący zarzucali naruszenia ich prawa do wolnych wyborów w czasie wyborów, a także niezapewnienie przez władze krajowe skutecznego zbadania ich zarzutów. Zarzucali</w:t>
      </w:r>
      <w:r w:rsidR="00161D5F" w:rsidRPr="00ED0C6A">
        <w:rPr>
          <w:rFonts w:asciiTheme="minorHAnsi" w:hAnsiTheme="minorHAnsi"/>
          <w:sz w:val="24"/>
          <w:lang w:val="pl-PL"/>
        </w:rPr>
        <w:t xml:space="preserve"> oni mianowicie</w:t>
      </w:r>
      <w:r w:rsidR="00286D4B" w:rsidRPr="00ED0C6A">
        <w:rPr>
          <w:rFonts w:asciiTheme="minorHAnsi" w:hAnsiTheme="minorHAnsi"/>
          <w:sz w:val="24"/>
          <w:lang w:val="pl-PL"/>
        </w:rPr>
        <w:t>, że komisje wyborcze sfałszowały wyn</w:t>
      </w:r>
      <w:r w:rsidR="00161D5F" w:rsidRPr="00ED0C6A">
        <w:rPr>
          <w:rFonts w:asciiTheme="minorHAnsi" w:hAnsiTheme="minorHAnsi"/>
          <w:sz w:val="24"/>
          <w:lang w:val="pl-PL"/>
        </w:rPr>
        <w:t>iki wyborów, nakazując ponowne</w:t>
      </w:r>
      <w:r w:rsidR="00286D4B" w:rsidRPr="00ED0C6A">
        <w:rPr>
          <w:rFonts w:asciiTheme="minorHAnsi" w:hAnsiTheme="minorHAnsi"/>
          <w:sz w:val="24"/>
          <w:lang w:val="pl-PL"/>
        </w:rPr>
        <w:t xml:space="preserve"> przeliczenie głosów, w wyniku którego rządzącej partii „Jedna Rosja” i</w:t>
      </w:r>
      <w:r w:rsidR="00827554">
        <w:rPr>
          <w:rFonts w:asciiTheme="minorHAnsi" w:hAnsiTheme="minorHAnsi"/>
          <w:sz w:val="24"/>
          <w:lang w:val="pl-PL"/>
        </w:rPr>
        <w:t> </w:t>
      </w:r>
      <w:r w:rsidR="00286D4B" w:rsidRPr="00ED0C6A">
        <w:rPr>
          <w:rFonts w:asciiTheme="minorHAnsi" w:hAnsiTheme="minorHAnsi"/>
          <w:sz w:val="24"/>
          <w:lang w:val="pl-PL"/>
        </w:rPr>
        <w:t>jej</w:t>
      </w:r>
      <w:r w:rsidR="00827554">
        <w:rPr>
          <w:rFonts w:asciiTheme="minorHAnsi" w:hAnsiTheme="minorHAnsi"/>
          <w:sz w:val="24"/>
          <w:lang w:val="pl-PL"/>
        </w:rPr>
        <w:t> </w:t>
      </w:r>
      <w:r w:rsidR="00286D4B" w:rsidRPr="00ED0C6A">
        <w:rPr>
          <w:rFonts w:asciiTheme="minorHAnsi" w:hAnsiTheme="minorHAnsi"/>
          <w:sz w:val="24"/>
          <w:lang w:val="pl-PL"/>
        </w:rPr>
        <w:t>kandydatom systematycznie przypisywano więcej głosów, podczas gdy partie opozycyjne i ich kandydaci byli pozbawiani głosów. Niektórzy skarżący złożyli skargi do Miejskiej Komisji Wyborczej Petersburga, natomiast inni złożyli zawiadomienia o przestępstwie i pozwali komisje wyborcze przed sądami krajowymi. Ich twierdzenia zostały jednak od</w:t>
      </w:r>
      <w:r w:rsidR="0007677A" w:rsidRPr="00ED0C6A">
        <w:rPr>
          <w:rFonts w:asciiTheme="minorHAnsi" w:hAnsiTheme="minorHAnsi"/>
          <w:sz w:val="24"/>
          <w:lang w:val="pl-PL"/>
        </w:rPr>
        <w:t>dalone</w:t>
      </w:r>
      <w:r w:rsidR="00286D4B" w:rsidRPr="00ED0C6A">
        <w:rPr>
          <w:rFonts w:asciiTheme="minorHAnsi" w:hAnsiTheme="minorHAnsi"/>
          <w:sz w:val="24"/>
          <w:lang w:val="pl-PL"/>
        </w:rPr>
        <w:t xml:space="preserve">.      </w:t>
      </w:r>
    </w:p>
    <w:p w:rsidR="009B32DE" w:rsidRPr="00ED0C6A" w:rsidRDefault="009B32DE" w:rsidP="009B32DE">
      <w:pPr>
        <w:pStyle w:val="ClinContent"/>
        <w:spacing w:before="0"/>
        <w:rPr>
          <w:rFonts w:asciiTheme="minorHAnsi" w:hAnsiTheme="minorHAnsi"/>
          <w:sz w:val="24"/>
          <w:lang w:val="pl-PL"/>
        </w:rPr>
      </w:pPr>
    </w:p>
    <w:p w:rsidR="00286D4B" w:rsidRPr="00ED0C6A" w:rsidRDefault="00161D5F" w:rsidP="009B32DE">
      <w:pPr>
        <w:pStyle w:val="ClinContent"/>
        <w:spacing w:before="0"/>
        <w:rPr>
          <w:rFonts w:asciiTheme="minorHAnsi" w:hAnsiTheme="minorHAnsi"/>
          <w:sz w:val="24"/>
          <w:lang w:val="pl-PL"/>
        </w:rPr>
      </w:pPr>
      <w:r w:rsidRPr="00ED0C6A">
        <w:rPr>
          <w:rFonts w:asciiTheme="minorHAnsi" w:hAnsiTheme="minorHAnsi"/>
          <w:sz w:val="24"/>
          <w:lang w:val="pl-PL"/>
        </w:rPr>
        <w:t xml:space="preserve">Trybunał zbadał w pierwszej kolejności, </w:t>
      </w:r>
      <w:r w:rsidRPr="00ED0C6A">
        <w:rPr>
          <w:rFonts w:asciiTheme="minorHAnsi" w:hAnsiTheme="minorHAnsi"/>
          <w:i/>
          <w:sz w:val="24"/>
          <w:u w:val="single"/>
          <w:lang w:val="pl-PL"/>
        </w:rPr>
        <w:t>czy a</w:t>
      </w:r>
      <w:r w:rsidR="00286D4B" w:rsidRPr="00ED0C6A">
        <w:rPr>
          <w:rFonts w:asciiTheme="minorHAnsi" w:hAnsiTheme="minorHAnsi"/>
          <w:i/>
          <w:sz w:val="24"/>
          <w:u w:val="single"/>
          <w:lang w:val="pl-PL"/>
        </w:rPr>
        <w:t>rt. 3 Protokołu nr 1</w:t>
      </w:r>
      <w:r w:rsidRPr="00ED0C6A">
        <w:rPr>
          <w:rFonts w:asciiTheme="minorHAnsi" w:hAnsiTheme="minorHAnsi"/>
          <w:i/>
          <w:sz w:val="24"/>
          <w:u w:val="single"/>
          <w:lang w:val="pl-PL"/>
        </w:rPr>
        <w:t xml:space="preserve"> ma zastosowanie</w:t>
      </w:r>
      <w:r w:rsidRPr="00ED0C6A">
        <w:rPr>
          <w:rFonts w:asciiTheme="minorHAnsi" w:hAnsiTheme="minorHAnsi"/>
          <w:sz w:val="24"/>
          <w:lang w:val="pl-PL"/>
        </w:rPr>
        <w:t xml:space="preserve"> w obecnej sprawie. Nie miał wątpliwości, </w:t>
      </w:r>
      <w:r w:rsidR="00286D4B" w:rsidRPr="00ED0C6A">
        <w:rPr>
          <w:rFonts w:asciiTheme="minorHAnsi" w:hAnsiTheme="minorHAnsi"/>
          <w:sz w:val="24"/>
          <w:lang w:val="pl-PL"/>
        </w:rPr>
        <w:t>że wybory do Dumy Państwowej stanowiły wybory „ciała</w:t>
      </w:r>
      <w:r w:rsidR="00827554">
        <w:rPr>
          <w:rFonts w:asciiTheme="minorHAnsi" w:hAnsiTheme="minorHAnsi"/>
          <w:sz w:val="24"/>
          <w:lang w:val="pl-PL"/>
        </w:rPr>
        <w:t> </w:t>
      </w:r>
      <w:r w:rsidR="00286D4B" w:rsidRPr="00ED0C6A">
        <w:rPr>
          <w:rFonts w:asciiTheme="minorHAnsi" w:hAnsiTheme="minorHAnsi"/>
          <w:sz w:val="24"/>
          <w:lang w:val="pl-PL"/>
        </w:rPr>
        <w:t xml:space="preserve">ustawodawczego” w rozumieniu art. 3 Protokołu nr 1. </w:t>
      </w:r>
    </w:p>
    <w:p w:rsidR="009B32DE" w:rsidRPr="00ED0C6A" w:rsidRDefault="009B32DE" w:rsidP="009B32DE">
      <w:pPr>
        <w:pStyle w:val="ClinContent"/>
        <w:spacing w:before="0"/>
        <w:rPr>
          <w:rFonts w:asciiTheme="minorHAnsi" w:hAnsiTheme="minorHAnsi"/>
          <w:sz w:val="24"/>
          <w:lang w:val="pl-PL"/>
        </w:rPr>
      </w:pPr>
    </w:p>
    <w:p w:rsidR="00286D4B" w:rsidRPr="00ED0C6A" w:rsidRDefault="00161D5F" w:rsidP="009B32DE">
      <w:pPr>
        <w:pStyle w:val="ClinContent"/>
        <w:spacing w:before="0"/>
        <w:rPr>
          <w:rFonts w:asciiTheme="minorHAnsi" w:hAnsiTheme="minorHAnsi"/>
          <w:sz w:val="24"/>
          <w:lang w:val="pl-PL"/>
        </w:rPr>
      </w:pPr>
      <w:r w:rsidRPr="00ED0C6A">
        <w:rPr>
          <w:rFonts w:asciiTheme="minorHAnsi" w:hAnsiTheme="minorHAnsi"/>
          <w:sz w:val="24"/>
          <w:lang w:val="pl-PL"/>
        </w:rPr>
        <w:t xml:space="preserve">Oceniając natomiast status </w:t>
      </w:r>
      <w:r w:rsidR="00596B0A" w:rsidRPr="00ED0C6A">
        <w:rPr>
          <w:rFonts w:asciiTheme="minorHAnsi" w:hAnsiTheme="minorHAnsi"/>
          <w:sz w:val="24"/>
          <w:lang w:val="pl-PL"/>
        </w:rPr>
        <w:t>Zgromadzenia</w:t>
      </w:r>
      <w:r w:rsidRPr="00ED0C6A">
        <w:rPr>
          <w:rFonts w:asciiTheme="minorHAnsi" w:hAnsiTheme="minorHAnsi"/>
          <w:sz w:val="24"/>
          <w:lang w:val="pl-PL"/>
        </w:rPr>
        <w:t xml:space="preserve"> Ustawodawczej</w:t>
      </w:r>
      <w:r w:rsidR="00286D4B" w:rsidRPr="00ED0C6A">
        <w:rPr>
          <w:rFonts w:asciiTheme="minorHAnsi" w:hAnsiTheme="minorHAnsi"/>
          <w:sz w:val="24"/>
          <w:lang w:val="pl-PL"/>
        </w:rPr>
        <w:t xml:space="preserve"> Petersburga</w:t>
      </w:r>
      <w:r w:rsidR="009B32DE" w:rsidRPr="00ED0C6A">
        <w:rPr>
          <w:rFonts w:asciiTheme="minorHAnsi" w:hAnsiTheme="minorHAnsi"/>
          <w:sz w:val="24"/>
          <w:lang w:val="pl-PL"/>
        </w:rPr>
        <w:t>,</w:t>
      </w:r>
      <w:r w:rsidR="00286D4B" w:rsidRPr="00ED0C6A">
        <w:rPr>
          <w:rFonts w:asciiTheme="minorHAnsi" w:hAnsiTheme="minorHAnsi"/>
          <w:sz w:val="24"/>
          <w:lang w:val="pl-PL"/>
        </w:rPr>
        <w:t xml:space="preserve"> </w:t>
      </w:r>
      <w:r w:rsidR="009B32DE" w:rsidRPr="00ED0C6A">
        <w:rPr>
          <w:rFonts w:asciiTheme="minorHAnsi" w:hAnsiTheme="minorHAnsi"/>
          <w:sz w:val="24"/>
          <w:lang w:val="pl-PL"/>
        </w:rPr>
        <w:t xml:space="preserve">Trybunał odnotował, że </w:t>
      </w:r>
      <w:r w:rsidR="0007677A" w:rsidRPr="00ED0C6A">
        <w:rPr>
          <w:rFonts w:asciiTheme="minorHAnsi" w:hAnsiTheme="minorHAnsi"/>
          <w:sz w:val="24"/>
          <w:lang w:val="pl-PL"/>
        </w:rPr>
        <w:t xml:space="preserve">w oparciu o konstytucyjny podział władz między regionami a Federacją </w:t>
      </w:r>
      <w:r w:rsidR="00286D4B" w:rsidRPr="00ED0C6A">
        <w:rPr>
          <w:rFonts w:asciiTheme="minorHAnsi" w:hAnsiTheme="minorHAnsi"/>
          <w:sz w:val="24"/>
          <w:lang w:val="pl-PL"/>
        </w:rPr>
        <w:t xml:space="preserve">stanowi </w:t>
      </w:r>
      <w:r w:rsidR="009B32DE" w:rsidRPr="00ED0C6A">
        <w:rPr>
          <w:rFonts w:asciiTheme="minorHAnsi" w:hAnsiTheme="minorHAnsi"/>
          <w:sz w:val="24"/>
          <w:lang w:val="pl-PL"/>
        </w:rPr>
        <w:t xml:space="preserve">ona </w:t>
      </w:r>
      <w:r w:rsidR="00286D4B" w:rsidRPr="00ED0C6A">
        <w:rPr>
          <w:rFonts w:asciiTheme="minorHAnsi" w:hAnsiTheme="minorHAnsi"/>
          <w:sz w:val="24"/>
          <w:lang w:val="pl-PL"/>
        </w:rPr>
        <w:t xml:space="preserve">demokratyczny organ władzy jednego z podmiotów Federacji Rosyjskiej </w:t>
      </w:r>
      <w:r w:rsidR="009B32DE" w:rsidRPr="00ED0C6A">
        <w:rPr>
          <w:rFonts w:asciiTheme="minorHAnsi" w:hAnsiTheme="minorHAnsi"/>
          <w:sz w:val="24"/>
          <w:lang w:val="pl-PL"/>
        </w:rPr>
        <w:t xml:space="preserve">i </w:t>
      </w:r>
      <w:r w:rsidR="00286D4B" w:rsidRPr="00ED0C6A">
        <w:rPr>
          <w:rFonts w:asciiTheme="minorHAnsi" w:hAnsiTheme="minorHAnsi"/>
          <w:sz w:val="24"/>
          <w:lang w:val="pl-PL"/>
        </w:rPr>
        <w:t>posia</w:t>
      </w:r>
      <w:r w:rsidR="009B32DE" w:rsidRPr="00ED0C6A">
        <w:rPr>
          <w:rFonts w:asciiTheme="minorHAnsi" w:hAnsiTheme="minorHAnsi"/>
          <w:sz w:val="24"/>
          <w:lang w:val="pl-PL"/>
        </w:rPr>
        <w:t>da</w:t>
      </w:r>
      <w:r w:rsidR="00286D4B" w:rsidRPr="00ED0C6A">
        <w:rPr>
          <w:rFonts w:asciiTheme="minorHAnsi" w:hAnsiTheme="minorHAnsi"/>
          <w:sz w:val="24"/>
          <w:lang w:val="pl-PL"/>
        </w:rPr>
        <w:t xml:space="preserve"> szeroki zakres uprawnień na terytorium składowym. W związku z powyższym Rada również spełnia przesłanki z definicji „ciała ustawodawczego” w rozumieniu art. 3 Protokołu nr 1. </w:t>
      </w:r>
    </w:p>
    <w:p w:rsidR="009B32DE" w:rsidRPr="00ED0C6A" w:rsidRDefault="009B32DE" w:rsidP="009B32DE">
      <w:pPr>
        <w:pStyle w:val="ClinContent"/>
        <w:spacing w:before="0"/>
        <w:rPr>
          <w:rFonts w:asciiTheme="minorHAnsi" w:hAnsiTheme="minorHAnsi"/>
          <w:sz w:val="24"/>
          <w:lang w:val="pl-PL"/>
        </w:rPr>
      </w:pPr>
    </w:p>
    <w:p w:rsidR="00286D4B" w:rsidRPr="00ED0C6A" w:rsidRDefault="009B32DE" w:rsidP="009B32DE">
      <w:pPr>
        <w:pStyle w:val="ClinContent"/>
        <w:spacing w:before="0"/>
        <w:rPr>
          <w:rFonts w:asciiTheme="minorHAnsi" w:hAnsiTheme="minorHAnsi"/>
          <w:sz w:val="24"/>
          <w:lang w:val="pl-PL"/>
        </w:rPr>
      </w:pPr>
      <w:r w:rsidRPr="00ED0C6A">
        <w:rPr>
          <w:rFonts w:asciiTheme="minorHAnsi" w:hAnsiTheme="minorHAnsi"/>
          <w:sz w:val="24"/>
          <w:lang w:val="pl-PL"/>
        </w:rPr>
        <w:t xml:space="preserve">Badając </w:t>
      </w:r>
      <w:r w:rsidRPr="00ED0C6A">
        <w:rPr>
          <w:rFonts w:asciiTheme="minorHAnsi" w:hAnsiTheme="minorHAnsi"/>
          <w:i/>
          <w:sz w:val="24"/>
          <w:u w:val="single"/>
          <w:lang w:val="pl-PL"/>
        </w:rPr>
        <w:t>p</w:t>
      </w:r>
      <w:r w:rsidR="00286D4B" w:rsidRPr="00ED0C6A">
        <w:rPr>
          <w:rFonts w:asciiTheme="minorHAnsi" w:hAnsiTheme="minorHAnsi"/>
          <w:i/>
          <w:sz w:val="24"/>
          <w:u w:val="single"/>
          <w:lang w:val="pl-PL"/>
        </w:rPr>
        <w:t>rzedmiot skargi</w:t>
      </w:r>
      <w:r w:rsidRPr="00ED0C6A">
        <w:rPr>
          <w:rFonts w:asciiTheme="minorHAnsi" w:hAnsiTheme="minorHAnsi"/>
          <w:i/>
          <w:sz w:val="24"/>
          <w:lang w:val="pl-PL"/>
        </w:rPr>
        <w:t xml:space="preserve">, </w:t>
      </w:r>
      <w:r w:rsidRPr="00ED0C6A">
        <w:rPr>
          <w:rFonts w:asciiTheme="minorHAnsi" w:hAnsiTheme="minorHAnsi"/>
          <w:sz w:val="24"/>
          <w:lang w:val="pl-PL"/>
        </w:rPr>
        <w:t>Trybunał</w:t>
      </w:r>
      <w:r w:rsidRPr="00ED0C6A">
        <w:rPr>
          <w:rFonts w:asciiTheme="minorHAnsi" w:hAnsiTheme="minorHAnsi"/>
          <w:i/>
          <w:sz w:val="24"/>
          <w:lang w:val="pl-PL"/>
        </w:rPr>
        <w:t xml:space="preserve"> </w:t>
      </w:r>
      <w:r w:rsidRPr="00ED0C6A">
        <w:rPr>
          <w:rFonts w:asciiTheme="minorHAnsi" w:hAnsiTheme="minorHAnsi"/>
          <w:sz w:val="24"/>
          <w:lang w:val="pl-PL"/>
        </w:rPr>
        <w:t>odniósł się do szczegółowych zaleceń poczynionych</w:t>
      </w:r>
      <w:r w:rsidR="00286D4B" w:rsidRPr="00ED0C6A">
        <w:rPr>
          <w:rFonts w:asciiTheme="minorHAnsi" w:hAnsiTheme="minorHAnsi"/>
          <w:sz w:val="24"/>
          <w:lang w:val="pl-PL"/>
        </w:rPr>
        <w:t xml:space="preserve"> w</w:t>
      </w:r>
      <w:r w:rsidR="00827554">
        <w:rPr>
          <w:rFonts w:asciiTheme="minorHAnsi" w:hAnsiTheme="minorHAnsi"/>
          <w:sz w:val="24"/>
          <w:lang w:val="pl-PL"/>
        </w:rPr>
        <w:t> </w:t>
      </w:r>
      <w:r w:rsidR="00286D4B" w:rsidRPr="00ED0C6A">
        <w:rPr>
          <w:rFonts w:asciiTheme="minorHAnsi" w:hAnsiTheme="minorHAnsi"/>
          <w:sz w:val="24"/>
          <w:lang w:val="pl-PL"/>
        </w:rPr>
        <w:t xml:space="preserve">Raporcie Wyjaśniającym do </w:t>
      </w:r>
      <w:r w:rsidR="00286D4B" w:rsidRPr="00ED0C6A">
        <w:rPr>
          <w:rFonts w:asciiTheme="minorHAnsi" w:hAnsiTheme="minorHAnsi"/>
          <w:i/>
          <w:sz w:val="24"/>
          <w:lang w:val="pl-PL"/>
        </w:rPr>
        <w:t>Kodeksu Dobrych Praktyk w Sprawach Wyborczych Komisji Weneckiej</w:t>
      </w:r>
      <w:r w:rsidR="004A463C" w:rsidRPr="00ED0C6A">
        <w:rPr>
          <w:rStyle w:val="Odwoanieprzypisudolnego"/>
          <w:rFonts w:asciiTheme="minorHAnsi" w:hAnsiTheme="minorHAnsi"/>
          <w:sz w:val="24"/>
          <w:lang w:val="pl-PL"/>
        </w:rPr>
        <w:footnoteReference w:id="11"/>
      </w:r>
      <w:r w:rsidRPr="00ED0C6A">
        <w:rPr>
          <w:rFonts w:asciiTheme="minorHAnsi" w:hAnsiTheme="minorHAnsi"/>
          <w:sz w:val="24"/>
          <w:lang w:val="pl-PL"/>
        </w:rPr>
        <w:t xml:space="preserve">. Wskazują one </w:t>
      </w:r>
      <w:r w:rsidR="00286D4B" w:rsidRPr="00ED0C6A">
        <w:rPr>
          <w:rFonts w:asciiTheme="minorHAnsi" w:hAnsiTheme="minorHAnsi"/>
          <w:sz w:val="24"/>
          <w:lang w:val="pl-PL"/>
        </w:rPr>
        <w:t>na znaczenie szczegółów technicznych, które mogą być kluczowe dla zapewniania otwartej i przejrzystej procedury ustalania woli wyborców poprzez liczenie kart do głosowania oraz dokładne rejestrowanie wyników wyborów w całym systemie, począwszy od lokali wyborczych aż po Centralną Komisję Wyborczą. Potwierdzają one, że</w:t>
      </w:r>
      <w:r w:rsidR="00827554">
        <w:rPr>
          <w:rFonts w:asciiTheme="minorHAnsi" w:hAnsiTheme="minorHAnsi"/>
          <w:sz w:val="24"/>
          <w:lang w:val="pl-PL"/>
        </w:rPr>
        <w:t> </w:t>
      </w:r>
      <w:r w:rsidR="00286D4B" w:rsidRPr="00ED0C6A">
        <w:rPr>
          <w:rFonts w:asciiTheme="minorHAnsi" w:hAnsiTheme="minorHAnsi"/>
          <w:sz w:val="24"/>
          <w:lang w:val="pl-PL"/>
        </w:rPr>
        <w:t>etapy po głosowaniu obejmujące liczenie, rejestrowanie oraz przesyłanie wyników wyborów stanowią niezbędną część procesu wyborczego. Powin</w:t>
      </w:r>
      <w:r w:rsidRPr="00ED0C6A">
        <w:rPr>
          <w:rFonts w:asciiTheme="minorHAnsi" w:hAnsiTheme="minorHAnsi"/>
          <w:sz w:val="24"/>
          <w:lang w:val="pl-PL"/>
        </w:rPr>
        <w:t xml:space="preserve">ny </w:t>
      </w:r>
      <w:r w:rsidR="00286D4B" w:rsidRPr="00ED0C6A">
        <w:rPr>
          <w:rFonts w:asciiTheme="minorHAnsi" w:hAnsiTheme="minorHAnsi"/>
          <w:sz w:val="24"/>
          <w:lang w:val="pl-PL"/>
        </w:rPr>
        <w:t xml:space="preserve">zatem być </w:t>
      </w:r>
      <w:r w:rsidRPr="00ED0C6A">
        <w:rPr>
          <w:rFonts w:asciiTheme="minorHAnsi" w:hAnsiTheme="minorHAnsi"/>
          <w:sz w:val="24"/>
          <w:lang w:val="pl-PL"/>
        </w:rPr>
        <w:t>one realizowane z</w:t>
      </w:r>
      <w:r w:rsidR="0007677A" w:rsidRPr="00ED0C6A">
        <w:rPr>
          <w:rFonts w:asciiTheme="minorHAnsi" w:hAnsiTheme="minorHAnsi"/>
          <w:sz w:val="24"/>
          <w:lang w:val="pl-PL"/>
        </w:rPr>
        <w:t>a</w:t>
      </w:r>
      <w:r w:rsidR="00286D4B" w:rsidRPr="00ED0C6A">
        <w:rPr>
          <w:rFonts w:asciiTheme="minorHAnsi" w:hAnsiTheme="minorHAnsi"/>
          <w:sz w:val="24"/>
          <w:lang w:val="pl-PL"/>
        </w:rPr>
        <w:t xml:space="preserve"> pomocą jasnych gwarancji proceduralnych </w:t>
      </w:r>
      <w:r w:rsidRPr="00ED0C6A">
        <w:rPr>
          <w:rFonts w:asciiTheme="minorHAnsi" w:hAnsiTheme="minorHAnsi"/>
          <w:sz w:val="24"/>
          <w:lang w:val="pl-PL"/>
        </w:rPr>
        <w:t>zapewniających</w:t>
      </w:r>
      <w:r w:rsidR="00286D4B" w:rsidRPr="00ED0C6A">
        <w:rPr>
          <w:rFonts w:asciiTheme="minorHAnsi" w:hAnsiTheme="minorHAnsi"/>
          <w:sz w:val="24"/>
          <w:lang w:val="pl-PL"/>
        </w:rPr>
        <w:t xml:space="preserve"> otwartość i</w:t>
      </w:r>
      <w:r w:rsidR="00827554">
        <w:rPr>
          <w:rFonts w:asciiTheme="minorHAnsi" w:hAnsiTheme="minorHAnsi"/>
          <w:sz w:val="24"/>
          <w:lang w:val="pl-PL"/>
        </w:rPr>
        <w:t> </w:t>
      </w:r>
      <w:r w:rsidR="00286D4B" w:rsidRPr="00ED0C6A">
        <w:rPr>
          <w:rFonts w:asciiTheme="minorHAnsi" w:hAnsiTheme="minorHAnsi"/>
          <w:sz w:val="24"/>
          <w:lang w:val="pl-PL"/>
        </w:rPr>
        <w:t xml:space="preserve">przejrzystość, a także umożliwiać obserwowanie przez przedstawicieli całego spektrum politycznego, w tym członków opozycji. </w:t>
      </w:r>
    </w:p>
    <w:p w:rsidR="009B32DE" w:rsidRPr="00ED0C6A" w:rsidRDefault="009B32DE" w:rsidP="009B32DE">
      <w:pPr>
        <w:pStyle w:val="ClinContent"/>
        <w:spacing w:before="0"/>
        <w:rPr>
          <w:rFonts w:asciiTheme="minorHAnsi" w:hAnsiTheme="minorHAnsi"/>
          <w:sz w:val="24"/>
          <w:lang w:val="pl-PL"/>
        </w:rPr>
      </w:pPr>
    </w:p>
    <w:p w:rsidR="009B32DE" w:rsidRPr="00ED0C6A" w:rsidRDefault="009B32DE" w:rsidP="009B32DE">
      <w:pPr>
        <w:pStyle w:val="ClinContent"/>
        <w:spacing w:before="0"/>
        <w:rPr>
          <w:rFonts w:asciiTheme="minorHAnsi" w:hAnsiTheme="minorHAnsi"/>
          <w:sz w:val="24"/>
          <w:lang w:val="pl-PL"/>
        </w:rPr>
      </w:pPr>
      <w:r w:rsidRPr="00ED0C6A">
        <w:rPr>
          <w:rFonts w:asciiTheme="minorHAnsi" w:hAnsiTheme="minorHAnsi"/>
          <w:sz w:val="24"/>
          <w:lang w:val="pl-PL"/>
        </w:rPr>
        <w:t>Z drugiej jednak strony Trybunał przypomniał, że</w:t>
      </w:r>
      <w:r w:rsidR="00286D4B" w:rsidRPr="00ED0C6A">
        <w:rPr>
          <w:rFonts w:asciiTheme="minorHAnsi" w:hAnsiTheme="minorHAnsi"/>
          <w:sz w:val="24"/>
          <w:lang w:val="pl-PL"/>
        </w:rPr>
        <w:t xml:space="preserve"> art. 3 Protokołu nr 1 nie został pomyślany jako kodeks wyborczy mający na celu uregulowanie wszystkich aspektów procesu wyborczego. Stosownie do powyższego, poziom kontroli przeprowa</w:t>
      </w:r>
      <w:r w:rsidRPr="00ED0C6A">
        <w:rPr>
          <w:rFonts w:asciiTheme="minorHAnsi" w:hAnsiTheme="minorHAnsi"/>
          <w:sz w:val="24"/>
          <w:lang w:val="pl-PL"/>
        </w:rPr>
        <w:t>dzanej przez Trybunał zależy</w:t>
      </w:r>
      <w:r w:rsidR="00286D4B" w:rsidRPr="00ED0C6A">
        <w:rPr>
          <w:rFonts w:asciiTheme="minorHAnsi" w:hAnsiTheme="minorHAnsi"/>
          <w:sz w:val="24"/>
          <w:lang w:val="pl-PL"/>
        </w:rPr>
        <w:t xml:space="preserve"> od tego, jaki aspekt prawa do wolnych wyborów jest przedmiotem sprawy. </w:t>
      </w:r>
    </w:p>
    <w:p w:rsidR="009B32DE" w:rsidRPr="00ED0C6A" w:rsidRDefault="009B32DE" w:rsidP="009B32DE">
      <w:pPr>
        <w:pStyle w:val="ClinContent"/>
        <w:spacing w:before="0"/>
        <w:rPr>
          <w:rFonts w:asciiTheme="minorHAnsi" w:hAnsiTheme="minorHAnsi"/>
          <w:sz w:val="24"/>
          <w:lang w:val="pl-PL"/>
        </w:rPr>
      </w:pPr>
    </w:p>
    <w:p w:rsidR="009B32DE" w:rsidRPr="00ED0C6A" w:rsidRDefault="00286D4B" w:rsidP="009B32DE">
      <w:pPr>
        <w:pStyle w:val="ClinContent"/>
        <w:spacing w:before="0"/>
        <w:rPr>
          <w:rFonts w:asciiTheme="minorHAnsi" w:hAnsiTheme="minorHAnsi"/>
          <w:sz w:val="24"/>
          <w:lang w:val="pl-PL"/>
        </w:rPr>
      </w:pPr>
      <w:r w:rsidRPr="00ED0C6A">
        <w:rPr>
          <w:rFonts w:asciiTheme="minorHAnsi" w:hAnsiTheme="minorHAnsi"/>
          <w:sz w:val="24"/>
          <w:lang w:val="pl-PL"/>
        </w:rPr>
        <w:t xml:space="preserve">Dokładniejsza kontrola </w:t>
      </w:r>
      <w:r w:rsidR="009B32DE" w:rsidRPr="00ED0C6A">
        <w:rPr>
          <w:rFonts w:asciiTheme="minorHAnsi" w:hAnsiTheme="minorHAnsi"/>
          <w:sz w:val="24"/>
          <w:lang w:val="pl-PL"/>
        </w:rPr>
        <w:t xml:space="preserve">Trybunału </w:t>
      </w:r>
      <w:r w:rsidRPr="00ED0C6A">
        <w:rPr>
          <w:rFonts w:asciiTheme="minorHAnsi" w:hAnsiTheme="minorHAnsi"/>
          <w:sz w:val="24"/>
          <w:lang w:val="pl-PL"/>
        </w:rPr>
        <w:t>powinna być zastrzeżona w odniesieniu do wszelkich odstępstw od</w:t>
      </w:r>
      <w:r w:rsidR="009B32DE" w:rsidRPr="00ED0C6A">
        <w:rPr>
          <w:rFonts w:asciiTheme="minorHAnsi" w:hAnsiTheme="minorHAnsi"/>
          <w:sz w:val="24"/>
          <w:lang w:val="pl-PL"/>
        </w:rPr>
        <w:t xml:space="preserve"> zasady powszechności głosowania.</w:t>
      </w:r>
      <w:r w:rsidRPr="00ED0C6A">
        <w:rPr>
          <w:rFonts w:asciiTheme="minorHAnsi" w:hAnsiTheme="minorHAnsi"/>
          <w:sz w:val="24"/>
          <w:lang w:val="pl-PL"/>
        </w:rPr>
        <w:t xml:space="preserve"> Państwa mogą </w:t>
      </w:r>
      <w:r w:rsidR="009B32DE" w:rsidRPr="00ED0C6A">
        <w:rPr>
          <w:rFonts w:asciiTheme="minorHAnsi" w:hAnsiTheme="minorHAnsi"/>
          <w:sz w:val="24"/>
          <w:lang w:val="pl-PL"/>
        </w:rPr>
        <w:t xml:space="preserve">natomiast </w:t>
      </w:r>
      <w:r w:rsidRPr="00ED0C6A">
        <w:rPr>
          <w:rFonts w:asciiTheme="minorHAnsi" w:hAnsiTheme="minorHAnsi"/>
          <w:sz w:val="24"/>
          <w:lang w:val="pl-PL"/>
        </w:rPr>
        <w:t>otrzymać szerszy margines oceny w odniesieniu do środków uniemożliwiających kandydowanie w wyborach. Jeszcze mniej surowa kontrola będzie miała zastosowanie do bardziej technicznego etapu liczenia głosów i ich zestawiania w tabeli: zwykły błąd lub nieprawidłowość na tym etapie nie</w:t>
      </w:r>
      <w:r w:rsidR="00AA6C65">
        <w:rPr>
          <w:rFonts w:asciiTheme="minorHAnsi" w:hAnsiTheme="minorHAnsi"/>
          <w:sz w:val="24"/>
          <w:lang w:val="pl-PL"/>
        </w:rPr>
        <w:t> </w:t>
      </w:r>
      <w:r w:rsidRPr="00ED0C6A">
        <w:rPr>
          <w:rFonts w:asciiTheme="minorHAnsi" w:hAnsiTheme="minorHAnsi"/>
          <w:sz w:val="24"/>
          <w:lang w:val="pl-PL"/>
        </w:rPr>
        <w:t xml:space="preserve">będą same w sobie oznaczać nierzetelności wyborów, jeśli ogólne zasady równości, przejrzystości, bezstronności i niezależności administracji wyborczej zostały spełnione. </w:t>
      </w:r>
    </w:p>
    <w:p w:rsidR="009B32DE" w:rsidRPr="00ED0C6A" w:rsidRDefault="009B32DE" w:rsidP="009B32DE">
      <w:pPr>
        <w:pStyle w:val="ClinContent"/>
        <w:spacing w:before="0"/>
        <w:rPr>
          <w:rFonts w:asciiTheme="minorHAnsi" w:hAnsiTheme="minorHAnsi"/>
          <w:sz w:val="24"/>
          <w:lang w:val="pl-PL"/>
        </w:rPr>
      </w:pPr>
    </w:p>
    <w:p w:rsidR="009B32DE" w:rsidRPr="00ED0C6A" w:rsidRDefault="00286D4B" w:rsidP="009B32DE">
      <w:pPr>
        <w:pStyle w:val="ClinContent"/>
        <w:spacing w:before="0"/>
        <w:rPr>
          <w:rFonts w:asciiTheme="minorHAnsi" w:hAnsiTheme="minorHAnsi"/>
          <w:sz w:val="24"/>
          <w:lang w:val="pl-PL"/>
        </w:rPr>
      </w:pPr>
      <w:r w:rsidRPr="00ED0C6A">
        <w:rPr>
          <w:rFonts w:asciiTheme="minorHAnsi" w:hAnsiTheme="minorHAnsi"/>
          <w:sz w:val="24"/>
          <w:lang w:val="pl-PL"/>
        </w:rPr>
        <w:t>Idea wolnych wyborów będzie zagrożona tylko wówczas, jeśli</w:t>
      </w:r>
      <w:r w:rsidR="009B32DE" w:rsidRPr="00ED0C6A">
        <w:rPr>
          <w:rFonts w:asciiTheme="minorHAnsi" w:hAnsiTheme="minorHAnsi"/>
          <w:sz w:val="24"/>
          <w:lang w:val="pl-PL"/>
        </w:rPr>
        <w:t>:</w:t>
      </w:r>
    </w:p>
    <w:p w:rsidR="009B32DE" w:rsidRPr="00ED0C6A" w:rsidRDefault="00286D4B" w:rsidP="00E627EC">
      <w:pPr>
        <w:pStyle w:val="ClinContent"/>
        <w:numPr>
          <w:ilvl w:val="0"/>
          <w:numId w:val="14"/>
        </w:numPr>
        <w:spacing w:before="0"/>
        <w:rPr>
          <w:rFonts w:asciiTheme="minorHAnsi" w:hAnsiTheme="minorHAnsi"/>
          <w:sz w:val="24"/>
          <w:lang w:val="pl-PL"/>
        </w:rPr>
      </w:pPr>
      <w:r w:rsidRPr="00ED0C6A">
        <w:rPr>
          <w:rFonts w:asciiTheme="minorHAnsi" w:hAnsiTheme="minorHAnsi"/>
          <w:sz w:val="24"/>
          <w:lang w:val="pl-PL"/>
        </w:rPr>
        <w:t xml:space="preserve">są dowody naruszeń proceduralnych mogących udaremnić swobodę wyrażenia opinii ludności, na przykład poprzez rażące wypaczenie intencji wyborców, a także </w:t>
      </w:r>
    </w:p>
    <w:p w:rsidR="00286D4B" w:rsidRPr="00ED0C6A" w:rsidRDefault="00286D4B" w:rsidP="00E627EC">
      <w:pPr>
        <w:pStyle w:val="ClinContent"/>
        <w:numPr>
          <w:ilvl w:val="0"/>
          <w:numId w:val="14"/>
        </w:numPr>
        <w:spacing w:before="0"/>
        <w:rPr>
          <w:rFonts w:asciiTheme="minorHAnsi" w:hAnsiTheme="minorHAnsi"/>
          <w:sz w:val="24"/>
          <w:lang w:val="pl-PL"/>
        </w:rPr>
      </w:pPr>
      <w:r w:rsidRPr="00ED0C6A">
        <w:rPr>
          <w:rFonts w:asciiTheme="minorHAnsi" w:hAnsiTheme="minorHAnsi"/>
          <w:sz w:val="24"/>
          <w:lang w:val="pl-PL"/>
        </w:rPr>
        <w:t>zarzuty tego rodzaju nie zostały skutecznie zbadane na poziomie krajowym (choć</w:t>
      </w:r>
      <w:r w:rsidR="0072154D">
        <w:rPr>
          <w:rFonts w:asciiTheme="minorHAnsi" w:hAnsiTheme="minorHAnsi"/>
          <w:sz w:val="24"/>
          <w:lang w:val="pl-PL"/>
        </w:rPr>
        <w:t> </w:t>
      </w:r>
      <w:r w:rsidRPr="00ED0C6A">
        <w:rPr>
          <w:rFonts w:asciiTheme="minorHAnsi" w:hAnsiTheme="minorHAnsi"/>
          <w:sz w:val="24"/>
          <w:lang w:val="pl-PL"/>
        </w:rPr>
        <w:t xml:space="preserve">Trybunał potwierdził w tym względzie, że prawo odwołania się poszczególnego wyborcy może podlegać rozsądnym ograniczeniom, takim jak wymóg kworum wyborców).  </w:t>
      </w:r>
    </w:p>
    <w:p w:rsidR="009B32DE" w:rsidRPr="00ED0C6A" w:rsidRDefault="009B32DE" w:rsidP="009B32DE">
      <w:pPr>
        <w:pStyle w:val="ClinContent"/>
        <w:spacing w:before="0"/>
        <w:rPr>
          <w:rFonts w:asciiTheme="minorHAnsi" w:hAnsiTheme="minorHAnsi"/>
          <w:sz w:val="24"/>
          <w:lang w:val="pl-PL"/>
        </w:rPr>
      </w:pPr>
    </w:p>
    <w:p w:rsidR="009B32DE" w:rsidRPr="00ED0C6A" w:rsidRDefault="009B32DE" w:rsidP="009B32DE">
      <w:pPr>
        <w:pStyle w:val="ClinContent"/>
        <w:spacing w:before="0"/>
        <w:rPr>
          <w:rFonts w:asciiTheme="minorHAnsi" w:hAnsiTheme="minorHAnsi"/>
          <w:sz w:val="24"/>
          <w:lang w:val="pl-PL"/>
        </w:rPr>
      </w:pPr>
      <w:r w:rsidRPr="00ED0C6A">
        <w:rPr>
          <w:rFonts w:asciiTheme="minorHAnsi" w:hAnsiTheme="minorHAnsi"/>
          <w:sz w:val="24"/>
          <w:lang w:val="pl-PL"/>
        </w:rPr>
        <w:t xml:space="preserve">Trybunał zbadał </w:t>
      </w:r>
      <w:r w:rsidR="00B53270" w:rsidRPr="00ED0C6A">
        <w:rPr>
          <w:rFonts w:asciiTheme="minorHAnsi" w:hAnsiTheme="minorHAnsi"/>
          <w:sz w:val="24"/>
          <w:lang w:val="pl-PL"/>
        </w:rPr>
        <w:t xml:space="preserve">zatem </w:t>
      </w:r>
      <w:r w:rsidRPr="00ED0C6A">
        <w:rPr>
          <w:rFonts w:asciiTheme="minorHAnsi" w:hAnsiTheme="minorHAnsi"/>
          <w:sz w:val="24"/>
          <w:lang w:val="pl-PL"/>
        </w:rPr>
        <w:t>sprawę w odniesieniu do dwóch powyższych aspektów.</w:t>
      </w:r>
    </w:p>
    <w:p w:rsidR="00E627EC" w:rsidRPr="00ED0C6A" w:rsidRDefault="00E627EC" w:rsidP="009B32DE">
      <w:pPr>
        <w:pStyle w:val="ClinContent"/>
        <w:spacing w:before="0"/>
        <w:rPr>
          <w:rFonts w:asciiTheme="minorHAnsi" w:hAnsiTheme="minorHAnsi"/>
          <w:sz w:val="24"/>
          <w:lang w:val="pl-PL"/>
        </w:rPr>
      </w:pPr>
    </w:p>
    <w:p w:rsidR="009B32DE" w:rsidRPr="00ED0C6A" w:rsidRDefault="009B32DE" w:rsidP="009B32DE">
      <w:pPr>
        <w:pStyle w:val="ClinContent"/>
        <w:spacing w:before="0"/>
        <w:rPr>
          <w:rFonts w:asciiTheme="minorHAnsi" w:hAnsiTheme="minorHAnsi"/>
          <w:sz w:val="24"/>
          <w:lang w:val="pl-PL"/>
        </w:rPr>
      </w:pPr>
      <w:r w:rsidRPr="00ED0C6A">
        <w:rPr>
          <w:rFonts w:asciiTheme="minorHAnsi" w:hAnsiTheme="minorHAnsi"/>
          <w:sz w:val="24"/>
          <w:lang w:val="pl-PL"/>
        </w:rPr>
        <w:t xml:space="preserve">W pierwszej kolejności Trybunał </w:t>
      </w:r>
      <w:r w:rsidR="00B53270" w:rsidRPr="00ED0C6A">
        <w:rPr>
          <w:rFonts w:asciiTheme="minorHAnsi" w:hAnsiTheme="minorHAnsi"/>
          <w:sz w:val="24"/>
          <w:lang w:val="pl-PL"/>
        </w:rPr>
        <w:t>rozważył</w:t>
      </w:r>
      <w:r w:rsidRPr="00ED0C6A">
        <w:rPr>
          <w:rFonts w:asciiTheme="minorHAnsi" w:hAnsiTheme="minorHAnsi"/>
          <w:sz w:val="24"/>
          <w:lang w:val="pl-PL"/>
        </w:rPr>
        <w:t xml:space="preserve">, </w:t>
      </w:r>
      <w:r w:rsidRPr="00ED0C6A">
        <w:rPr>
          <w:rFonts w:asciiTheme="minorHAnsi" w:hAnsiTheme="minorHAnsi"/>
          <w:i/>
          <w:sz w:val="24"/>
          <w:u w:val="single"/>
          <w:lang w:val="pl-PL"/>
        </w:rPr>
        <w:t>jaka była p</w:t>
      </w:r>
      <w:r w:rsidR="00286D4B" w:rsidRPr="00ED0C6A">
        <w:rPr>
          <w:rFonts w:asciiTheme="minorHAnsi" w:hAnsiTheme="minorHAnsi"/>
          <w:i/>
          <w:sz w:val="24"/>
          <w:u w:val="single"/>
          <w:lang w:val="pl-PL"/>
        </w:rPr>
        <w:t>owaga</w:t>
      </w:r>
      <w:r w:rsidRPr="00ED0C6A">
        <w:rPr>
          <w:rFonts w:asciiTheme="minorHAnsi" w:hAnsiTheme="minorHAnsi"/>
          <w:i/>
          <w:sz w:val="24"/>
          <w:u w:val="single"/>
          <w:lang w:val="pl-PL"/>
        </w:rPr>
        <w:t xml:space="preserve"> naruszeń proceduralnych</w:t>
      </w:r>
      <w:r w:rsidRPr="00ED0C6A">
        <w:rPr>
          <w:rFonts w:asciiTheme="minorHAnsi" w:hAnsiTheme="minorHAnsi"/>
          <w:i/>
          <w:sz w:val="24"/>
          <w:lang w:val="pl-PL"/>
        </w:rPr>
        <w:t xml:space="preserve">. </w:t>
      </w:r>
      <w:r w:rsidRPr="00ED0C6A">
        <w:rPr>
          <w:rFonts w:asciiTheme="minorHAnsi" w:hAnsiTheme="minorHAnsi"/>
          <w:sz w:val="24"/>
          <w:lang w:val="pl-PL"/>
        </w:rPr>
        <w:t xml:space="preserve">Zauważył, że bezsporne były następujące </w:t>
      </w:r>
      <w:r w:rsidR="00286D4B" w:rsidRPr="00ED0C6A">
        <w:rPr>
          <w:rFonts w:asciiTheme="minorHAnsi" w:hAnsiTheme="minorHAnsi"/>
          <w:sz w:val="24"/>
          <w:lang w:val="pl-PL"/>
        </w:rPr>
        <w:t xml:space="preserve">elementy zarzutów skarżących dotyczących nierzetelności wyborów: </w:t>
      </w:r>
    </w:p>
    <w:p w:rsidR="009B32DE" w:rsidRPr="00ED0C6A" w:rsidRDefault="00286D4B" w:rsidP="00B53270">
      <w:pPr>
        <w:pStyle w:val="ClinContent"/>
        <w:numPr>
          <w:ilvl w:val="0"/>
          <w:numId w:val="9"/>
        </w:numPr>
        <w:spacing w:before="0"/>
        <w:rPr>
          <w:rFonts w:asciiTheme="minorHAnsi" w:hAnsiTheme="minorHAnsi"/>
          <w:sz w:val="24"/>
          <w:lang w:val="pl-PL"/>
        </w:rPr>
      </w:pPr>
      <w:r w:rsidRPr="00ED0C6A">
        <w:rPr>
          <w:rFonts w:asciiTheme="minorHAnsi" w:hAnsiTheme="minorHAnsi"/>
          <w:sz w:val="24"/>
          <w:lang w:val="pl-PL"/>
        </w:rPr>
        <w:t>rezultaty w prawie połowie zakwestionowanych wstępnie obwodów w wyborach do</w:t>
      </w:r>
      <w:r w:rsidR="0072154D">
        <w:rPr>
          <w:rFonts w:asciiTheme="minorHAnsi" w:hAnsiTheme="minorHAnsi"/>
          <w:sz w:val="24"/>
          <w:lang w:val="pl-PL"/>
        </w:rPr>
        <w:t> </w:t>
      </w:r>
      <w:r w:rsidRPr="00ED0C6A">
        <w:rPr>
          <w:rFonts w:asciiTheme="minorHAnsi" w:hAnsiTheme="minorHAnsi"/>
          <w:sz w:val="24"/>
          <w:lang w:val="pl-PL"/>
        </w:rPr>
        <w:t>Zgromadzenia Ustawodawczego Petersburga (oraz w trzech z czterech zakwestionowanych obwod</w:t>
      </w:r>
      <w:r w:rsidR="0007677A" w:rsidRPr="00ED0C6A">
        <w:rPr>
          <w:rFonts w:asciiTheme="minorHAnsi" w:hAnsiTheme="minorHAnsi"/>
          <w:sz w:val="24"/>
          <w:lang w:val="pl-PL"/>
        </w:rPr>
        <w:t>ach</w:t>
      </w:r>
      <w:r w:rsidRPr="00ED0C6A">
        <w:rPr>
          <w:rFonts w:asciiTheme="minorHAnsi" w:hAnsiTheme="minorHAnsi"/>
          <w:sz w:val="24"/>
          <w:lang w:val="pl-PL"/>
        </w:rPr>
        <w:t xml:space="preserve"> w wyborach do Dumy Państwowej) zostały unieważnione przez terytorialne komisje wyborcze (TKW) i zarządzono przeliczenie głosów; </w:t>
      </w:r>
    </w:p>
    <w:p w:rsidR="009B32DE" w:rsidRPr="00ED0C6A" w:rsidRDefault="00286D4B" w:rsidP="00B53270">
      <w:pPr>
        <w:pStyle w:val="ClinContent"/>
        <w:numPr>
          <w:ilvl w:val="0"/>
          <w:numId w:val="9"/>
        </w:numPr>
        <w:spacing w:before="0"/>
        <w:rPr>
          <w:rFonts w:asciiTheme="minorHAnsi" w:hAnsiTheme="minorHAnsi"/>
          <w:sz w:val="24"/>
          <w:lang w:val="pl-PL"/>
        </w:rPr>
      </w:pPr>
      <w:r w:rsidRPr="00ED0C6A">
        <w:rPr>
          <w:rFonts w:asciiTheme="minorHAnsi" w:hAnsiTheme="minorHAnsi"/>
          <w:sz w:val="24"/>
          <w:lang w:val="pl-PL"/>
        </w:rPr>
        <w:t>decyzje TKW były sformułowane w sposób skrótowy i zbliżony, co utrudnia ocenę ich</w:t>
      </w:r>
      <w:r w:rsidR="0072154D">
        <w:rPr>
          <w:rFonts w:asciiTheme="minorHAnsi" w:hAnsiTheme="minorHAnsi"/>
          <w:sz w:val="24"/>
          <w:lang w:val="pl-PL"/>
        </w:rPr>
        <w:t> </w:t>
      </w:r>
      <w:r w:rsidRPr="00ED0C6A">
        <w:rPr>
          <w:rFonts w:asciiTheme="minorHAnsi" w:hAnsiTheme="minorHAnsi"/>
          <w:sz w:val="24"/>
          <w:lang w:val="pl-PL"/>
        </w:rPr>
        <w:t xml:space="preserve">zasadności; </w:t>
      </w:r>
    </w:p>
    <w:p w:rsidR="009B32DE" w:rsidRPr="00ED0C6A" w:rsidRDefault="00286D4B" w:rsidP="00B53270">
      <w:pPr>
        <w:pStyle w:val="ClinContent"/>
        <w:numPr>
          <w:ilvl w:val="0"/>
          <w:numId w:val="9"/>
        </w:numPr>
        <w:spacing w:before="0"/>
        <w:rPr>
          <w:rFonts w:asciiTheme="minorHAnsi" w:hAnsiTheme="minorHAnsi"/>
          <w:sz w:val="24"/>
          <w:lang w:val="pl-PL"/>
        </w:rPr>
      </w:pPr>
      <w:r w:rsidRPr="00ED0C6A">
        <w:rPr>
          <w:rFonts w:asciiTheme="minorHAnsi" w:hAnsiTheme="minorHAnsi"/>
          <w:sz w:val="24"/>
          <w:lang w:val="pl-PL"/>
        </w:rPr>
        <w:t xml:space="preserve">skład TKW, które zdecydowały o przeprowadzeniu przeliczenia głosów, w większości przypadków nie uwzględniał członków żadnej z (dwóch) partii opozycyjnych; </w:t>
      </w:r>
    </w:p>
    <w:p w:rsidR="009B32DE" w:rsidRPr="00ED0C6A" w:rsidRDefault="00286D4B" w:rsidP="00B53270">
      <w:pPr>
        <w:pStyle w:val="ClinContent"/>
        <w:numPr>
          <w:ilvl w:val="0"/>
          <w:numId w:val="9"/>
        </w:numPr>
        <w:spacing w:before="0"/>
        <w:rPr>
          <w:rFonts w:asciiTheme="minorHAnsi" w:hAnsiTheme="minorHAnsi"/>
          <w:sz w:val="24"/>
          <w:lang w:val="pl-PL"/>
        </w:rPr>
      </w:pPr>
      <w:r w:rsidRPr="00ED0C6A">
        <w:rPr>
          <w:rFonts w:asciiTheme="minorHAnsi" w:hAnsiTheme="minorHAnsi"/>
          <w:sz w:val="24"/>
          <w:lang w:val="pl-PL"/>
        </w:rPr>
        <w:t>niektórych zainteresowanych członków obwodowych komisji wyborczych (OKW) nie</w:t>
      </w:r>
      <w:r w:rsidR="0072154D">
        <w:rPr>
          <w:rFonts w:asciiTheme="minorHAnsi" w:hAnsiTheme="minorHAnsi"/>
          <w:sz w:val="24"/>
          <w:lang w:val="pl-PL"/>
        </w:rPr>
        <w:t> </w:t>
      </w:r>
      <w:r w:rsidRPr="00ED0C6A">
        <w:rPr>
          <w:rFonts w:asciiTheme="minorHAnsi" w:hAnsiTheme="minorHAnsi"/>
          <w:sz w:val="24"/>
          <w:lang w:val="pl-PL"/>
        </w:rPr>
        <w:t>powiadomiono o podjętych decyzjach, w związku z czym nie uczestniczyli oni</w:t>
      </w:r>
      <w:r w:rsidR="0072154D">
        <w:rPr>
          <w:rFonts w:asciiTheme="minorHAnsi" w:hAnsiTheme="minorHAnsi"/>
          <w:sz w:val="24"/>
          <w:lang w:val="pl-PL"/>
        </w:rPr>
        <w:t> </w:t>
      </w:r>
      <w:r w:rsidRPr="00ED0C6A">
        <w:rPr>
          <w:rFonts w:asciiTheme="minorHAnsi" w:hAnsiTheme="minorHAnsi"/>
          <w:sz w:val="24"/>
          <w:lang w:val="pl-PL"/>
        </w:rPr>
        <w:t>w</w:t>
      </w:r>
      <w:r w:rsidR="0072154D">
        <w:rPr>
          <w:rFonts w:asciiTheme="minorHAnsi" w:hAnsiTheme="minorHAnsi"/>
          <w:sz w:val="24"/>
          <w:lang w:val="pl-PL"/>
        </w:rPr>
        <w:t> </w:t>
      </w:r>
      <w:r w:rsidRPr="00ED0C6A">
        <w:rPr>
          <w:rFonts w:asciiTheme="minorHAnsi" w:hAnsiTheme="minorHAnsi"/>
          <w:sz w:val="24"/>
          <w:lang w:val="pl-PL"/>
        </w:rPr>
        <w:t xml:space="preserve">przeliczeniu głosów; </w:t>
      </w:r>
    </w:p>
    <w:p w:rsidR="009B32DE" w:rsidRPr="00ED0C6A" w:rsidRDefault="00286D4B" w:rsidP="00B53270">
      <w:pPr>
        <w:pStyle w:val="ClinContent"/>
        <w:numPr>
          <w:ilvl w:val="0"/>
          <w:numId w:val="9"/>
        </w:numPr>
        <w:spacing w:before="0"/>
        <w:rPr>
          <w:rFonts w:asciiTheme="minorHAnsi" w:hAnsiTheme="minorHAnsi"/>
          <w:sz w:val="24"/>
          <w:lang w:val="pl-PL"/>
        </w:rPr>
      </w:pPr>
      <w:r w:rsidRPr="00ED0C6A">
        <w:rPr>
          <w:rFonts w:asciiTheme="minorHAnsi" w:hAnsiTheme="minorHAnsi"/>
          <w:sz w:val="24"/>
          <w:lang w:val="pl-PL"/>
        </w:rPr>
        <w:t xml:space="preserve">przeliczenia głosów były przeprowadzone w tak krótkim czasie, że pojawiają się pytania, czy były one w stanie spełniać wymogi proceduralne zawarte w ustawodawstwie krajowym; </w:t>
      </w:r>
    </w:p>
    <w:p w:rsidR="00B53270" w:rsidRPr="00ED0C6A" w:rsidRDefault="00286D4B" w:rsidP="00B53270">
      <w:pPr>
        <w:pStyle w:val="ClinContent"/>
        <w:numPr>
          <w:ilvl w:val="0"/>
          <w:numId w:val="9"/>
        </w:numPr>
        <w:spacing w:before="0"/>
        <w:rPr>
          <w:rFonts w:asciiTheme="minorHAnsi" w:hAnsiTheme="minorHAnsi"/>
          <w:sz w:val="24"/>
          <w:lang w:val="pl-PL"/>
        </w:rPr>
      </w:pPr>
      <w:r w:rsidRPr="00ED0C6A">
        <w:rPr>
          <w:rFonts w:asciiTheme="minorHAnsi" w:hAnsiTheme="minorHAnsi"/>
          <w:sz w:val="24"/>
          <w:lang w:val="pl-PL"/>
        </w:rPr>
        <w:t xml:space="preserve">członkowie partii opozycyjnych byli systematycznie nieobecni przy procesie przeliczenia głosów na poziomie zarówno terytorialnym, jak i obwodowym; a także </w:t>
      </w:r>
    </w:p>
    <w:p w:rsidR="00286D4B" w:rsidRPr="00ED0C6A" w:rsidRDefault="00286D4B" w:rsidP="00B53270">
      <w:pPr>
        <w:pStyle w:val="ClinContent"/>
        <w:numPr>
          <w:ilvl w:val="0"/>
          <w:numId w:val="9"/>
        </w:numPr>
        <w:spacing w:before="0"/>
        <w:rPr>
          <w:rFonts w:asciiTheme="minorHAnsi" w:hAnsiTheme="minorHAnsi"/>
          <w:sz w:val="24"/>
          <w:lang w:val="pl-PL"/>
        </w:rPr>
      </w:pPr>
      <w:r w:rsidRPr="00ED0C6A">
        <w:rPr>
          <w:rFonts w:asciiTheme="minorHAnsi" w:hAnsiTheme="minorHAnsi"/>
          <w:sz w:val="24"/>
          <w:lang w:val="pl-PL"/>
        </w:rPr>
        <w:t xml:space="preserve">w rezultacie przeliczenia głosów partia rządząca wygrała w sposób zdecydowany, a partie opozycyjne przegrały. </w:t>
      </w:r>
    </w:p>
    <w:p w:rsidR="009B32DE" w:rsidRPr="00ED0C6A" w:rsidRDefault="009B32DE" w:rsidP="009B32DE">
      <w:pPr>
        <w:pStyle w:val="ClinContent"/>
        <w:spacing w:before="0"/>
        <w:rPr>
          <w:rFonts w:asciiTheme="minorHAnsi" w:hAnsiTheme="minorHAnsi"/>
          <w:sz w:val="24"/>
          <w:lang w:val="pl-PL"/>
        </w:rPr>
      </w:pPr>
    </w:p>
    <w:p w:rsidR="00286D4B" w:rsidRPr="00ED0C6A" w:rsidRDefault="00286D4B" w:rsidP="009B32DE">
      <w:pPr>
        <w:pStyle w:val="ClinContent"/>
        <w:spacing w:before="0"/>
        <w:rPr>
          <w:rFonts w:asciiTheme="minorHAnsi" w:hAnsiTheme="minorHAnsi"/>
          <w:sz w:val="24"/>
          <w:lang w:val="pl-PL"/>
        </w:rPr>
      </w:pPr>
      <w:r w:rsidRPr="00ED0C6A">
        <w:rPr>
          <w:rFonts w:asciiTheme="minorHAnsi" w:hAnsiTheme="minorHAnsi"/>
          <w:sz w:val="24"/>
          <w:lang w:val="pl-PL"/>
        </w:rPr>
        <w:t>Ponadto zarzuty skarżących zostały pośrednio poparte przez Organizację Bezpieczeństwa i</w:t>
      </w:r>
      <w:r w:rsidR="0072154D">
        <w:rPr>
          <w:rFonts w:asciiTheme="minorHAnsi" w:hAnsiTheme="minorHAnsi"/>
          <w:sz w:val="24"/>
          <w:lang w:val="pl-PL"/>
        </w:rPr>
        <w:t> </w:t>
      </w:r>
      <w:r w:rsidRPr="00ED0C6A">
        <w:rPr>
          <w:rFonts w:asciiTheme="minorHAnsi" w:hAnsiTheme="minorHAnsi"/>
          <w:sz w:val="24"/>
          <w:lang w:val="pl-PL"/>
        </w:rPr>
        <w:t xml:space="preserve">Współpracy w Europie (OBWE), niezależną i wiarygodną międzynarodową misję obserwacyjną, która </w:t>
      </w:r>
      <w:r w:rsidR="00B53270" w:rsidRPr="00ED0C6A">
        <w:rPr>
          <w:rFonts w:asciiTheme="minorHAnsi" w:hAnsiTheme="minorHAnsi"/>
          <w:sz w:val="24"/>
          <w:lang w:val="pl-PL"/>
        </w:rPr>
        <w:t>za najbardziej problematyczne etapy w przedmiotowych wyborach uznała</w:t>
      </w:r>
      <w:r w:rsidRPr="00ED0C6A">
        <w:rPr>
          <w:rFonts w:asciiTheme="minorHAnsi" w:hAnsiTheme="minorHAnsi"/>
          <w:sz w:val="24"/>
          <w:lang w:val="pl-PL"/>
        </w:rPr>
        <w:t xml:space="preserve"> liczenie oraz przygotowywanie </w:t>
      </w:r>
      <w:r w:rsidR="0007677A" w:rsidRPr="00ED0C6A">
        <w:rPr>
          <w:rFonts w:asciiTheme="minorHAnsi" w:hAnsiTheme="minorHAnsi"/>
          <w:sz w:val="24"/>
          <w:lang w:val="pl-PL"/>
        </w:rPr>
        <w:t xml:space="preserve">tabelarycznych </w:t>
      </w:r>
      <w:r w:rsidRPr="00ED0C6A">
        <w:rPr>
          <w:rFonts w:asciiTheme="minorHAnsi" w:hAnsiTheme="minorHAnsi"/>
          <w:sz w:val="24"/>
          <w:lang w:val="pl-PL"/>
        </w:rPr>
        <w:t xml:space="preserve">zestawień wyników. </w:t>
      </w:r>
    </w:p>
    <w:p w:rsidR="00B53270" w:rsidRPr="00ED0C6A" w:rsidRDefault="00B53270" w:rsidP="009B32DE">
      <w:pPr>
        <w:pStyle w:val="ClinContent"/>
        <w:spacing w:before="0"/>
        <w:rPr>
          <w:rFonts w:asciiTheme="minorHAnsi" w:hAnsiTheme="minorHAnsi"/>
          <w:sz w:val="24"/>
          <w:lang w:val="pl-PL"/>
        </w:rPr>
      </w:pPr>
    </w:p>
    <w:p w:rsidR="00286D4B" w:rsidRPr="00ED0C6A" w:rsidRDefault="00B53270" w:rsidP="009B32DE">
      <w:pPr>
        <w:pStyle w:val="ClinContent"/>
        <w:spacing w:before="0"/>
        <w:rPr>
          <w:rFonts w:asciiTheme="minorHAnsi" w:hAnsiTheme="minorHAnsi"/>
          <w:sz w:val="24"/>
          <w:lang w:val="pl-PL"/>
        </w:rPr>
      </w:pPr>
      <w:r w:rsidRPr="00ED0C6A">
        <w:rPr>
          <w:rFonts w:asciiTheme="minorHAnsi" w:hAnsiTheme="minorHAnsi"/>
          <w:sz w:val="24"/>
          <w:lang w:val="pl-PL"/>
        </w:rPr>
        <w:t>Trybunał stwierdził zatem, że s</w:t>
      </w:r>
      <w:r w:rsidR="00286D4B" w:rsidRPr="00ED0C6A">
        <w:rPr>
          <w:rFonts w:asciiTheme="minorHAnsi" w:hAnsiTheme="minorHAnsi"/>
          <w:sz w:val="24"/>
          <w:lang w:val="pl-PL"/>
        </w:rPr>
        <w:t>karżący przedstawili zarówno władzom krajowym, jak</w:t>
      </w:r>
      <w:r w:rsidR="0072154D">
        <w:rPr>
          <w:rFonts w:asciiTheme="minorHAnsi" w:hAnsiTheme="minorHAnsi"/>
          <w:sz w:val="24"/>
          <w:lang w:val="pl-PL"/>
        </w:rPr>
        <w:t> </w:t>
      </w:r>
      <w:r w:rsidR="00286D4B" w:rsidRPr="00ED0C6A">
        <w:rPr>
          <w:rFonts w:asciiTheme="minorHAnsi" w:hAnsiTheme="minorHAnsi"/>
          <w:sz w:val="24"/>
          <w:lang w:val="pl-PL"/>
        </w:rPr>
        <w:t>i</w:t>
      </w:r>
      <w:r w:rsidR="0072154D">
        <w:rPr>
          <w:rFonts w:asciiTheme="minorHAnsi" w:hAnsiTheme="minorHAnsi"/>
          <w:sz w:val="24"/>
          <w:lang w:val="pl-PL"/>
        </w:rPr>
        <w:t> </w:t>
      </w:r>
      <w:r w:rsidR="00286D4B" w:rsidRPr="00ED0C6A">
        <w:rPr>
          <w:rFonts w:asciiTheme="minorHAnsi" w:hAnsiTheme="minorHAnsi"/>
          <w:sz w:val="24"/>
          <w:lang w:val="pl-PL"/>
        </w:rPr>
        <w:t>Trybunałowi dające się uzasadnić twierdzenie, że procedura przeliczenia głosów poważnie podważyła rzetelność wyborów. Taka nieprawidłowość mogła doprowadzić do</w:t>
      </w:r>
      <w:r w:rsidR="0072154D">
        <w:rPr>
          <w:rFonts w:asciiTheme="minorHAnsi" w:hAnsiTheme="minorHAnsi"/>
          <w:sz w:val="24"/>
          <w:lang w:val="pl-PL"/>
        </w:rPr>
        <w:t> </w:t>
      </w:r>
      <w:r w:rsidR="00286D4B" w:rsidRPr="00ED0C6A">
        <w:rPr>
          <w:rFonts w:asciiTheme="minorHAnsi" w:hAnsiTheme="minorHAnsi"/>
          <w:sz w:val="24"/>
          <w:lang w:val="pl-PL"/>
        </w:rPr>
        <w:t>rażącego wypaczenia intencji wyborców w każdym obwodzie, którego dotyczyło to</w:t>
      </w:r>
      <w:r w:rsidR="0072154D">
        <w:rPr>
          <w:rFonts w:asciiTheme="minorHAnsi" w:hAnsiTheme="minorHAnsi"/>
          <w:sz w:val="24"/>
          <w:lang w:val="pl-PL"/>
        </w:rPr>
        <w:t> </w:t>
      </w:r>
      <w:r w:rsidR="00286D4B" w:rsidRPr="00ED0C6A">
        <w:rPr>
          <w:rFonts w:asciiTheme="minorHAnsi" w:hAnsiTheme="minorHAnsi"/>
          <w:sz w:val="24"/>
          <w:lang w:val="pl-PL"/>
        </w:rPr>
        <w:t xml:space="preserve">zjawisko. </w:t>
      </w:r>
      <w:r w:rsidRPr="00ED0C6A">
        <w:rPr>
          <w:rFonts w:asciiTheme="minorHAnsi" w:hAnsiTheme="minorHAnsi"/>
          <w:sz w:val="24"/>
          <w:lang w:val="pl-PL"/>
        </w:rPr>
        <w:t xml:space="preserve">Trybunał musi </w:t>
      </w:r>
      <w:r w:rsidR="00286D4B" w:rsidRPr="00ED0C6A">
        <w:rPr>
          <w:rFonts w:asciiTheme="minorHAnsi" w:hAnsiTheme="minorHAnsi"/>
          <w:sz w:val="24"/>
          <w:lang w:val="pl-PL"/>
        </w:rPr>
        <w:t xml:space="preserve">zatem określić, czy skarżący uzyskali skuteczne zbadanie swoich zarzutów na poziomie krajowym. </w:t>
      </w:r>
    </w:p>
    <w:p w:rsidR="009B32DE" w:rsidRPr="00ED0C6A" w:rsidRDefault="009B32DE" w:rsidP="009B32DE">
      <w:pPr>
        <w:pStyle w:val="ClinContent"/>
        <w:spacing w:before="0"/>
        <w:rPr>
          <w:rFonts w:asciiTheme="minorHAnsi" w:hAnsiTheme="minorHAnsi"/>
          <w:sz w:val="24"/>
          <w:lang w:val="pl-PL"/>
        </w:rPr>
      </w:pPr>
    </w:p>
    <w:p w:rsidR="00B53270" w:rsidRPr="00ED0C6A" w:rsidRDefault="00B53270" w:rsidP="009B32DE">
      <w:pPr>
        <w:pStyle w:val="ClinContent"/>
        <w:spacing w:before="0"/>
        <w:rPr>
          <w:rFonts w:asciiTheme="minorHAnsi" w:hAnsiTheme="minorHAnsi"/>
          <w:sz w:val="24"/>
          <w:lang w:val="pl-PL"/>
        </w:rPr>
      </w:pPr>
      <w:r w:rsidRPr="00ED0C6A">
        <w:rPr>
          <w:rFonts w:asciiTheme="minorHAnsi" w:hAnsiTheme="minorHAnsi"/>
          <w:sz w:val="24"/>
          <w:lang w:val="pl-PL"/>
        </w:rPr>
        <w:t xml:space="preserve">Badając </w:t>
      </w:r>
      <w:r w:rsidRPr="00ED0C6A">
        <w:rPr>
          <w:rFonts w:asciiTheme="minorHAnsi" w:hAnsiTheme="minorHAnsi"/>
          <w:i/>
          <w:sz w:val="24"/>
          <w:u w:val="single"/>
          <w:lang w:val="pl-PL"/>
        </w:rPr>
        <w:t>s</w:t>
      </w:r>
      <w:r w:rsidR="00286D4B" w:rsidRPr="00ED0C6A">
        <w:rPr>
          <w:rFonts w:asciiTheme="minorHAnsi" w:hAnsiTheme="minorHAnsi"/>
          <w:i/>
          <w:sz w:val="24"/>
          <w:u w:val="single"/>
          <w:lang w:val="pl-PL"/>
        </w:rPr>
        <w:t>kuteczność zbadania zarzutów skarżących na poziomie krajowym</w:t>
      </w:r>
      <w:r w:rsidR="00286D4B" w:rsidRPr="00ED0C6A">
        <w:rPr>
          <w:rFonts w:asciiTheme="minorHAnsi" w:hAnsiTheme="minorHAnsi"/>
          <w:i/>
          <w:sz w:val="24"/>
          <w:lang w:val="pl-PL"/>
        </w:rPr>
        <w:t xml:space="preserve"> </w:t>
      </w:r>
      <w:r w:rsidRPr="00ED0C6A">
        <w:rPr>
          <w:rFonts w:asciiTheme="minorHAnsi" w:hAnsiTheme="minorHAnsi"/>
          <w:sz w:val="24"/>
          <w:lang w:val="pl-PL"/>
        </w:rPr>
        <w:t>Trybunał uznał, że</w:t>
      </w:r>
      <w:r w:rsidR="0072154D">
        <w:rPr>
          <w:rFonts w:asciiTheme="minorHAnsi" w:hAnsiTheme="minorHAnsi"/>
          <w:i/>
          <w:sz w:val="24"/>
          <w:lang w:val="pl-PL"/>
        </w:rPr>
        <w:t> </w:t>
      </w:r>
      <w:r w:rsidRPr="00ED0C6A">
        <w:rPr>
          <w:rFonts w:asciiTheme="minorHAnsi" w:hAnsiTheme="minorHAnsi"/>
          <w:sz w:val="24"/>
          <w:lang w:val="pl-PL"/>
        </w:rPr>
        <w:t>s</w:t>
      </w:r>
      <w:r w:rsidR="00286D4B" w:rsidRPr="00ED0C6A">
        <w:rPr>
          <w:rFonts w:asciiTheme="minorHAnsi" w:hAnsiTheme="minorHAnsi"/>
          <w:sz w:val="24"/>
          <w:lang w:val="pl-PL"/>
        </w:rPr>
        <w:t>karżący przetestowali łącznie wszystkie dostępne środki odwoławcze przewidziane na</w:t>
      </w:r>
      <w:r w:rsidR="0072154D">
        <w:rPr>
          <w:rFonts w:asciiTheme="minorHAnsi" w:hAnsiTheme="minorHAnsi"/>
          <w:sz w:val="24"/>
          <w:lang w:val="pl-PL"/>
        </w:rPr>
        <w:t> </w:t>
      </w:r>
      <w:r w:rsidR="00286D4B" w:rsidRPr="00ED0C6A">
        <w:rPr>
          <w:rFonts w:asciiTheme="minorHAnsi" w:hAnsiTheme="minorHAnsi"/>
          <w:sz w:val="24"/>
          <w:lang w:val="pl-PL"/>
        </w:rPr>
        <w:t>podstawie ustawodawstwa krajowego i uznawane przez Rząd za skuteczne i dostępne.</w:t>
      </w:r>
    </w:p>
    <w:p w:rsidR="00B53270" w:rsidRPr="00ED0C6A" w:rsidRDefault="00B53270" w:rsidP="009B32DE">
      <w:pPr>
        <w:pStyle w:val="ClinContent"/>
        <w:spacing w:before="0"/>
        <w:rPr>
          <w:rFonts w:asciiTheme="minorHAnsi" w:hAnsiTheme="minorHAnsi"/>
          <w:sz w:val="24"/>
          <w:lang w:val="pl-PL"/>
        </w:rPr>
      </w:pPr>
    </w:p>
    <w:p w:rsidR="00286D4B" w:rsidRPr="00ED0C6A" w:rsidRDefault="00286D4B" w:rsidP="009B32DE">
      <w:pPr>
        <w:pStyle w:val="ClinContent"/>
        <w:spacing w:before="0"/>
        <w:rPr>
          <w:rFonts w:asciiTheme="minorHAnsi" w:hAnsiTheme="minorHAnsi"/>
          <w:sz w:val="24"/>
          <w:lang w:val="pl-PL"/>
        </w:rPr>
      </w:pPr>
      <w:r w:rsidRPr="00ED0C6A">
        <w:rPr>
          <w:rFonts w:asciiTheme="minorHAnsi" w:hAnsiTheme="minorHAnsi"/>
          <w:sz w:val="24"/>
          <w:lang w:val="pl-PL"/>
        </w:rPr>
        <w:t>Miejska Komisja Wyborcza nie zbadała jednak zarzutów skarżących co do istoty, lecz</w:t>
      </w:r>
      <w:r w:rsidR="0072154D">
        <w:rPr>
          <w:rFonts w:asciiTheme="minorHAnsi" w:hAnsiTheme="minorHAnsi"/>
          <w:sz w:val="24"/>
          <w:lang w:val="pl-PL"/>
        </w:rPr>
        <w:t> </w:t>
      </w:r>
      <w:r w:rsidRPr="00ED0C6A">
        <w:rPr>
          <w:rFonts w:asciiTheme="minorHAnsi" w:hAnsiTheme="minorHAnsi"/>
          <w:sz w:val="24"/>
          <w:lang w:val="pl-PL"/>
        </w:rPr>
        <w:t>przekazała je do prokuratur</w:t>
      </w:r>
      <w:r w:rsidR="0007677A" w:rsidRPr="00ED0C6A">
        <w:rPr>
          <w:rFonts w:asciiTheme="minorHAnsi" w:hAnsiTheme="minorHAnsi"/>
          <w:sz w:val="24"/>
          <w:lang w:val="pl-PL"/>
        </w:rPr>
        <w:t>y</w:t>
      </w:r>
      <w:r w:rsidRPr="00ED0C6A">
        <w:rPr>
          <w:rFonts w:asciiTheme="minorHAnsi" w:hAnsiTheme="minorHAnsi"/>
          <w:sz w:val="24"/>
          <w:lang w:val="pl-PL"/>
        </w:rPr>
        <w:t>. Prokuratura oraz komisja śledcza ze swej strony nie</w:t>
      </w:r>
      <w:r w:rsidR="00AA6C65">
        <w:rPr>
          <w:rFonts w:asciiTheme="minorHAnsi" w:hAnsiTheme="minorHAnsi"/>
          <w:sz w:val="24"/>
          <w:lang w:val="pl-PL"/>
        </w:rPr>
        <w:t> </w:t>
      </w:r>
      <w:r w:rsidRPr="00ED0C6A">
        <w:rPr>
          <w:rFonts w:asciiTheme="minorHAnsi" w:hAnsiTheme="minorHAnsi"/>
          <w:sz w:val="24"/>
          <w:lang w:val="pl-PL"/>
        </w:rPr>
        <w:t>widziały powodu, by podjąć jakiekolwiek kroki proceduralne mające na celu zweryfikowanie zarzutów oszustwa w obwodach, których dotyczyło to zjawisko, i</w:t>
      </w:r>
      <w:r w:rsidR="00AA6C65">
        <w:rPr>
          <w:rFonts w:asciiTheme="minorHAnsi" w:hAnsiTheme="minorHAnsi"/>
          <w:sz w:val="24"/>
          <w:lang w:val="pl-PL"/>
        </w:rPr>
        <w:t> </w:t>
      </w:r>
      <w:r w:rsidRPr="00ED0C6A">
        <w:rPr>
          <w:rFonts w:asciiTheme="minorHAnsi" w:hAnsiTheme="minorHAnsi"/>
          <w:sz w:val="24"/>
          <w:lang w:val="pl-PL"/>
        </w:rPr>
        <w:t>nie</w:t>
      </w:r>
      <w:r w:rsidR="00AA6C65">
        <w:rPr>
          <w:rFonts w:asciiTheme="minorHAnsi" w:hAnsiTheme="minorHAnsi"/>
          <w:sz w:val="24"/>
          <w:lang w:val="pl-PL"/>
        </w:rPr>
        <w:t> </w:t>
      </w:r>
      <w:r w:rsidRPr="00ED0C6A">
        <w:rPr>
          <w:rFonts w:asciiTheme="minorHAnsi" w:hAnsiTheme="minorHAnsi"/>
          <w:sz w:val="24"/>
          <w:lang w:val="pl-PL"/>
        </w:rPr>
        <w:t>wszczęły śledztwa</w:t>
      </w:r>
      <w:r w:rsidR="0007677A" w:rsidRPr="00ED0C6A">
        <w:rPr>
          <w:rFonts w:asciiTheme="minorHAnsi" w:hAnsiTheme="minorHAnsi"/>
          <w:sz w:val="24"/>
          <w:lang w:val="pl-PL"/>
        </w:rPr>
        <w:t>, będąc</w:t>
      </w:r>
      <w:r w:rsidRPr="00ED0C6A">
        <w:rPr>
          <w:rFonts w:asciiTheme="minorHAnsi" w:hAnsiTheme="minorHAnsi"/>
          <w:sz w:val="24"/>
          <w:lang w:val="pl-PL"/>
        </w:rPr>
        <w:t xml:space="preserve"> </w:t>
      </w:r>
      <w:r w:rsidR="0007677A" w:rsidRPr="00ED0C6A">
        <w:rPr>
          <w:rFonts w:asciiTheme="minorHAnsi" w:hAnsiTheme="minorHAnsi"/>
          <w:sz w:val="24"/>
          <w:lang w:val="pl-PL"/>
        </w:rPr>
        <w:t>przekonane</w:t>
      </w:r>
      <w:r w:rsidRPr="00ED0C6A">
        <w:rPr>
          <w:rFonts w:asciiTheme="minorHAnsi" w:hAnsiTheme="minorHAnsi"/>
          <w:sz w:val="24"/>
          <w:lang w:val="pl-PL"/>
        </w:rPr>
        <w:t>, że sprawa należy do kompetencji właściwych sądów. Z kolei sądy, choć</w:t>
      </w:r>
      <w:r w:rsidR="0072154D">
        <w:rPr>
          <w:rFonts w:asciiTheme="minorHAnsi" w:hAnsiTheme="minorHAnsi"/>
          <w:sz w:val="24"/>
          <w:lang w:val="pl-PL"/>
        </w:rPr>
        <w:t> </w:t>
      </w:r>
      <w:r w:rsidRPr="00ED0C6A">
        <w:rPr>
          <w:rFonts w:asciiTheme="minorHAnsi" w:hAnsiTheme="minorHAnsi"/>
          <w:sz w:val="24"/>
          <w:lang w:val="pl-PL"/>
        </w:rPr>
        <w:t xml:space="preserve">właściwe – na mocy ustawodawstwa </w:t>
      </w:r>
      <w:r w:rsidR="0007677A" w:rsidRPr="00ED0C6A">
        <w:rPr>
          <w:rFonts w:asciiTheme="minorHAnsi" w:hAnsiTheme="minorHAnsi"/>
          <w:sz w:val="24"/>
          <w:lang w:val="pl-PL"/>
        </w:rPr>
        <w:t xml:space="preserve">zarówno </w:t>
      </w:r>
      <w:r w:rsidRPr="00ED0C6A">
        <w:rPr>
          <w:rFonts w:asciiTheme="minorHAnsi" w:hAnsiTheme="minorHAnsi"/>
          <w:sz w:val="24"/>
          <w:lang w:val="pl-PL"/>
        </w:rPr>
        <w:t>federalnego, jak</w:t>
      </w:r>
      <w:r w:rsidR="00AA6C65">
        <w:rPr>
          <w:rFonts w:asciiTheme="minorHAnsi" w:hAnsiTheme="minorHAnsi"/>
          <w:sz w:val="24"/>
          <w:lang w:val="pl-PL"/>
        </w:rPr>
        <w:t> </w:t>
      </w:r>
      <w:r w:rsidRPr="00ED0C6A">
        <w:rPr>
          <w:rFonts w:asciiTheme="minorHAnsi" w:hAnsiTheme="minorHAnsi"/>
          <w:sz w:val="24"/>
          <w:lang w:val="pl-PL"/>
        </w:rPr>
        <w:t>i</w:t>
      </w:r>
      <w:r w:rsidR="00AA6C65">
        <w:rPr>
          <w:rFonts w:asciiTheme="minorHAnsi" w:hAnsiTheme="minorHAnsi"/>
          <w:sz w:val="24"/>
          <w:lang w:val="pl-PL"/>
        </w:rPr>
        <w:t> </w:t>
      </w:r>
      <w:r w:rsidRPr="00ED0C6A">
        <w:rPr>
          <w:rFonts w:asciiTheme="minorHAnsi" w:hAnsiTheme="minorHAnsi"/>
          <w:sz w:val="24"/>
          <w:lang w:val="pl-PL"/>
        </w:rPr>
        <w:t>regionalnego – do</w:t>
      </w:r>
      <w:r w:rsidR="0072154D">
        <w:rPr>
          <w:rFonts w:asciiTheme="minorHAnsi" w:hAnsiTheme="minorHAnsi"/>
          <w:sz w:val="24"/>
          <w:lang w:val="pl-PL"/>
        </w:rPr>
        <w:t> </w:t>
      </w:r>
      <w:r w:rsidRPr="00ED0C6A">
        <w:rPr>
          <w:rFonts w:asciiTheme="minorHAnsi" w:hAnsiTheme="minorHAnsi"/>
          <w:sz w:val="24"/>
          <w:lang w:val="pl-PL"/>
        </w:rPr>
        <w:t>przeprowadzenia niezależnej i skutecznej oceny zarzutów naruszeń prawa do rzetelnych i</w:t>
      </w:r>
      <w:r w:rsidR="0072154D">
        <w:rPr>
          <w:rFonts w:asciiTheme="minorHAnsi" w:hAnsiTheme="minorHAnsi"/>
          <w:sz w:val="24"/>
          <w:lang w:val="pl-PL"/>
        </w:rPr>
        <w:t> </w:t>
      </w:r>
      <w:r w:rsidRPr="00ED0C6A">
        <w:rPr>
          <w:rFonts w:asciiTheme="minorHAnsi" w:hAnsiTheme="minorHAnsi"/>
          <w:sz w:val="24"/>
          <w:lang w:val="pl-PL"/>
        </w:rPr>
        <w:t xml:space="preserve">wolnych wyborów, zasadniczo powstrzymywały się od badania meritum zarzutów, ograniczając swą analizę do mało istotnych kwestii formalnych i ignorując dowody wskazujące na poważne i powszechne naruszenia wymogów </w:t>
      </w:r>
      <w:r w:rsidR="0007677A" w:rsidRPr="00ED0C6A">
        <w:rPr>
          <w:rFonts w:asciiTheme="minorHAnsi" w:hAnsiTheme="minorHAnsi"/>
          <w:sz w:val="24"/>
          <w:lang w:val="pl-PL"/>
        </w:rPr>
        <w:t>proceduralnych</w:t>
      </w:r>
      <w:r w:rsidRPr="00ED0C6A">
        <w:rPr>
          <w:rFonts w:asciiTheme="minorHAnsi" w:hAnsiTheme="minorHAnsi"/>
          <w:sz w:val="24"/>
          <w:lang w:val="pl-PL"/>
        </w:rPr>
        <w:t xml:space="preserve"> i</w:t>
      </w:r>
      <w:r w:rsidR="00AA6C65">
        <w:rPr>
          <w:rFonts w:asciiTheme="minorHAnsi" w:hAnsiTheme="minorHAnsi"/>
          <w:sz w:val="24"/>
          <w:lang w:val="pl-PL"/>
        </w:rPr>
        <w:t> </w:t>
      </w:r>
      <w:r w:rsidR="0007677A" w:rsidRPr="00ED0C6A">
        <w:rPr>
          <w:rFonts w:asciiTheme="minorHAnsi" w:hAnsiTheme="minorHAnsi"/>
          <w:sz w:val="24"/>
          <w:lang w:val="pl-PL"/>
        </w:rPr>
        <w:t xml:space="preserve">dotyczących </w:t>
      </w:r>
      <w:r w:rsidRPr="00ED0C6A">
        <w:rPr>
          <w:rFonts w:asciiTheme="minorHAnsi" w:hAnsiTheme="minorHAnsi"/>
          <w:sz w:val="24"/>
          <w:lang w:val="pl-PL"/>
        </w:rPr>
        <w:t>przejrzystości. W istocie zaaprobowały one decyzje komisji wyborczych bez</w:t>
      </w:r>
      <w:r w:rsidR="00AA6C65">
        <w:rPr>
          <w:rFonts w:asciiTheme="minorHAnsi" w:hAnsiTheme="minorHAnsi"/>
          <w:sz w:val="24"/>
          <w:lang w:val="pl-PL"/>
        </w:rPr>
        <w:t> </w:t>
      </w:r>
      <w:r w:rsidRPr="00ED0C6A">
        <w:rPr>
          <w:rFonts w:asciiTheme="minorHAnsi" w:hAnsiTheme="minorHAnsi"/>
          <w:sz w:val="24"/>
          <w:lang w:val="pl-PL"/>
        </w:rPr>
        <w:t>angażowania się</w:t>
      </w:r>
      <w:r w:rsidR="0072154D">
        <w:rPr>
          <w:rFonts w:asciiTheme="minorHAnsi" w:hAnsiTheme="minorHAnsi"/>
          <w:sz w:val="24"/>
          <w:lang w:val="pl-PL"/>
        </w:rPr>
        <w:t> </w:t>
      </w:r>
      <w:r w:rsidRPr="00ED0C6A">
        <w:rPr>
          <w:rFonts w:asciiTheme="minorHAnsi" w:hAnsiTheme="minorHAnsi"/>
          <w:sz w:val="24"/>
          <w:lang w:val="pl-PL"/>
        </w:rPr>
        <w:t>w jakiekolwiek rzeczywiste badanie powodów, dla których wybory były</w:t>
      </w:r>
      <w:r w:rsidR="00AA6C65">
        <w:rPr>
          <w:rFonts w:asciiTheme="minorHAnsi" w:hAnsiTheme="minorHAnsi"/>
          <w:sz w:val="24"/>
          <w:lang w:val="pl-PL"/>
        </w:rPr>
        <w:t> </w:t>
      </w:r>
      <w:r w:rsidRPr="00ED0C6A">
        <w:rPr>
          <w:rFonts w:asciiTheme="minorHAnsi" w:hAnsiTheme="minorHAnsi"/>
          <w:sz w:val="24"/>
          <w:lang w:val="pl-PL"/>
        </w:rPr>
        <w:t xml:space="preserve">kwestionowane.  </w:t>
      </w:r>
    </w:p>
    <w:p w:rsidR="00B53270" w:rsidRPr="00ED0C6A" w:rsidRDefault="00B53270" w:rsidP="009B32DE">
      <w:pPr>
        <w:pStyle w:val="ClinContent"/>
        <w:spacing w:before="0"/>
        <w:rPr>
          <w:rFonts w:asciiTheme="minorHAnsi" w:hAnsiTheme="minorHAnsi"/>
          <w:sz w:val="24"/>
          <w:lang w:val="pl-PL"/>
        </w:rPr>
      </w:pPr>
    </w:p>
    <w:p w:rsidR="00286D4B" w:rsidRPr="00ED0C6A" w:rsidRDefault="00B53270" w:rsidP="00B53270">
      <w:pPr>
        <w:pStyle w:val="ClinContent"/>
        <w:spacing w:before="0"/>
        <w:rPr>
          <w:rFonts w:asciiTheme="minorHAnsi" w:hAnsiTheme="minorHAnsi"/>
          <w:sz w:val="24"/>
          <w:lang w:val="pl-PL"/>
        </w:rPr>
      </w:pPr>
      <w:r w:rsidRPr="00ED0C6A">
        <w:rPr>
          <w:rFonts w:asciiTheme="minorHAnsi" w:hAnsiTheme="minorHAnsi"/>
          <w:sz w:val="24"/>
          <w:lang w:val="pl-PL"/>
        </w:rPr>
        <w:t>Trybunał orzekł zatem jednomyślnie, że d</w:t>
      </w:r>
      <w:r w:rsidR="00286D4B" w:rsidRPr="00ED0C6A">
        <w:rPr>
          <w:rFonts w:asciiTheme="minorHAnsi" w:hAnsiTheme="minorHAnsi"/>
          <w:sz w:val="24"/>
          <w:lang w:val="pl-PL"/>
        </w:rPr>
        <w:t xml:space="preserve">oszło do naruszenia art. 3 Protokołu nr 1 </w:t>
      </w:r>
      <w:r w:rsidRPr="00ED0C6A">
        <w:rPr>
          <w:rFonts w:asciiTheme="minorHAnsi" w:hAnsiTheme="minorHAnsi"/>
          <w:sz w:val="24"/>
          <w:lang w:val="pl-PL"/>
        </w:rPr>
        <w:t>(prawo</w:t>
      </w:r>
      <w:r w:rsidR="00AA6C65">
        <w:rPr>
          <w:rFonts w:asciiTheme="minorHAnsi" w:hAnsiTheme="minorHAnsi"/>
          <w:sz w:val="24"/>
          <w:lang w:val="pl-PL"/>
        </w:rPr>
        <w:t> </w:t>
      </w:r>
      <w:r w:rsidRPr="00ED0C6A">
        <w:rPr>
          <w:rFonts w:asciiTheme="minorHAnsi" w:hAnsiTheme="minorHAnsi"/>
          <w:sz w:val="24"/>
          <w:lang w:val="pl-PL"/>
        </w:rPr>
        <w:t>do</w:t>
      </w:r>
      <w:r w:rsidR="0072154D">
        <w:rPr>
          <w:rFonts w:asciiTheme="minorHAnsi" w:hAnsiTheme="minorHAnsi"/>
          <w:sz w:val="24"/>
          <w:lang w:val="pl-PL"/>
        </w:rPr>
        <w:t> </w:t>
      </w:r>
      <w:r w:rsidRPr="00ED0C6A">
        <w:rPr>
          <w:rFonts w:asciiTheme="minorHAnsi" w:hAnsiTheme="minorHAnsi"/>
          <w:sz w:val="24"/>
          <w:lang w:val="pl-PL"/>
        </w:rPr>
        <w:t xml:space="preserve">wolnych wyborów) </w:t>
      </w:r>
      <w:r w:rsidR="00286D4B" w:rsidRPr="00ED0C6A">
        <w:rPr>
          <w:rFonts w:asciiTheme="minorHAnsi" w:hAnsiTheme="minorHAnsi"/>
          <w:sz w:val="24"/>
          <w:lang w:val="pl-PL"/>
        </w:rPr>
        <w:t xml:space="preserve">w zakresie, w jakim skarżący nie uzyskali skutecznego zbadania swoich zarzutów dotyczących poważnych nieprawidłowości w procedurze ponownego przeliczenia głosów. </w:t>
      </w:r>
      <w:r w:rsidRPr="00ED0C6A">
        <w:rPr>
          <w:rFonts w:asciiTheme="minorHAnsi" w:hAnsiTheme="minorHAnsi"/>
          <w:sz w:val="24"/>
          <w:lang w:val="pl-PL"/>
        </w:rPr>
        <w:t xml:space="preserve">Zasądził </w:t>
      </w:r>
      <w:r w:rsidR="00286D4B" w:rsidRPr="00ED0C6A">
        <w:rPr>
          <w:rFonts w:asciiTheme="minorHAnsi" w:hAnsiTheme="minorHAnsi"/>
          <w:sz w:val="24"/>
          <w:lang w:val="pl-PL"/>
        </w:rPr>
        <w:t xml:space="preserve">7 500 EUR dla każdego skarżącego, który zgłosił roszczenie w zakresie szkody niemajątkowej.  </w:t>
      </w:r>
    </w:p>
    <w:p w:rsidR="00F939CC" w:rsidRPr="00ED0C6A" w:rsidRDefault="00F939CC" w:rsidP="00B53270">
      <w:pPr>
        <w:pStyle w:val="ClinContent"/>
        <w:spacing w:before="0"/>
        <w:rPr>
          <w:rFonts w:asciiTheme="minorHAnsi" w:hAnsiTheme="minorHAnsi"/>
          <w:sz w:val="24"/>
          <w:lang w:val="pl-PL"/>
        </w:rPr>
      </w:pPr>
    </w:p>
    <w:p w:rsidR="00F939CC" w:rsidRPr="00ED0C6A" w:rsidRDefault="00F939CC" w:rsidP="006700F3">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inter</w:t>
      </w:r>
      <w:r w:rsidR="00A90DA3" w:rsidRPr="00ED0C6A">
        <w:rPr>
          <w:rFonts w:asciiTheme="minorHAnsi" w:hAnsiTheme="minorHAnsi"/>
          <w:sz w:val="24"/>
          <w:lang w:val="pl-PL"/>
        </w:rPr>
        <w:t>e</w:t>
      </w:r>
      <w:r w:rsidRPr="00ED0C6A">
        <w:rPr>
          <w:rFonts w:asciiTheme="minorHAnsi" w:hAnsiTheme="minorHAnsi"/>
          <w:sz w:val="24"/>
          <w:lang w:val="pl-PL"/>
        </w:rPr>
        <w:t xml:space="preserve">sujący wyrok </w:t>
      </w:r>
      <w:r w:rsidR="009558B4" w:rsidRPr="00ED0C6A">
        <w:rPr>
          <w:rFonts w:asciiTheme="minorHAnsi" w:hAnsiTheme="minorHAnsi"/>
          <w:sz w:val="24"/>
          <w:lang w:val="pl-PL"/>
        </w:rPr>
        <w:t xml:space="preserve">wyjaśniający </w:t>
      </w:r>
      <w:r w:rsidRPr="00ED0C6A">
        <w:rPr>
          <w:rFonts w:asciiTheme="minorHAnsi" w:hAnsiTheme="minorHAnsi"/>
          <w:sz w:val="24"/>
          <w:lang w:val="pl-PL"/>
        </w:rPr>
        <w:t xml:space="preserve">zakres </w:t>
      </w:r>
      <w:r w:rsidR="009558B4" w:rsidRPr="00ED0C6A">
        <w:rPr>
          <w:rFonts w:asciiTheme="minorHAnsi" w:hAnsiTheme="minorHAnsi"/>
          <w:sz w:val="24"/>
          <w:lang w:val="pl-PL"/>
        </w:rPr>
        <w:t>ochrony</w:t>
      </w:r>
      <w:r w:rsidRPr="00ED0C6A">
        <w:rPr>
          <w:rFonts w:asciiTheme="minorHAnsi" w:hAnsiTheme="minorHAnsi"/>
          <w:sz w:val="24"/>
          <w:lang w:val="pl-PL"/>
        </w:rPr>
        <w:t xml:space="preserve"> </w:t>
      </w:r>
      <w:r w:rsidR="009558B4" w:rsidRPr="00ED0C6A">
        <w:rPr>
          <w:rFonts w:asciiTheme="minorHAnsi" w:hAnsiTheme="minorHAnsi"/>
          <w:sz w:val="24"/>
          <w:lang w:val="pl-PL"/>
        </w:rPr>
        <w:t xml:space="preserve">na mocy Konwencji </w:t>
      </w:r>
      <w:r w:rsidRPr="00ED0C6A">
        <w:rPr>
          <w:rFonts w:asciiTheme="minorHAnsi" w:hAnsiTheme="minorHAnsi"/>
          <w:sz w:val="24"/>
          <w:lang w:val="pl-PL"/>
        </w:rPr>
        <w:t xml:space="preserve">i </w:t>
      </w:r>
      <w:r w:rsidR="009558B4" w:rsidRPr="00ED0C6A">
        <w:rPr>
          <w:rFonts w:asciiTheme="minorHAnsi" w:hAnsiTheme="minorHAnsi"/>
          <w:sz w:val="24"/>
          <w:lang w:val="pl-PL"/>
        </w:rPr>
        <w:t xml:space="preserve">szczegółowe </w:t>
      </w:r>
      <w:r w:rsidRPr="00ED0C6A">
        <w:rPr>
          <w:rFonts w:asciiTheme="minorHAnsi" w:hAnsiTheme="minorHAnsi"/>
          <w:sz w:val="24"/>
          <w:lang w:val="pl-PL"/>
        </w:rPr>
        <w:t xml:space="preserve">kryteria oceny </w:t>
      </w:r>
      <w:r w:rsidR="009558B4" w:rsidRPr="00ED0C6A">
        <w:rPr>
          <w:rFonts w:asciiTheme="minorHAnsi" w:hAnsiTheme="minorHAnsi"/>
          <w:sz w:val="24"/>
          <w:lang w:val="pl-PL"/>
        </w:rPr>
        <w:t xml:space="preserve">przez Trybunał w </w:t>
      </w:r>
      <w:r w:rsidRPr="00ED0C6A">
        <w:rPr>
          <w:rFonts w:asciiTheme="minorHAnsi" w:hAnsiTheme="minorHAnsi"/>
          <w:sz w:val="24"/>
          <w:lang w:val="pl-PL"/>
        </w:rPr>
        <w:t>spraw</w:t>
      </w:r>
      <w:r w:rsidR="009558B4" w:rsidRPr="00ED0C6A">
        <w:rPr>
          <w:rFonts w:asciiTheme="minorHAnsi" w:hAnsiTheme="minorHAnsi"/>
          <w:sz w:val="24"/>
          <w:lang w:val="pl-PL"/>
        </w:rPr>
        <w:t>ach dotyczących</w:t>
      </w:r>
      <w:r w:rsidRPr="00ED0C6A">
        <w:rPr>
          <w:rFonts w:asciiTheme="minorHAnsi" w:hAnsiTheme="minorHAnsi"/>
          <w:sz w:val="24"/>
          <w:lang w:val="pl-PL"/>
        </w:rPr>
        <w:t xml:space="preserve"> zarzutów naruszenia prawa do wolnych wyborów</w:t>
      </w:r>
      <w:r w:rsidR="006700F3" w:rsidRPr="00ED0C6A">
        <w:rPr>
          <w:rFonts w:asciiTheme="minorHAnsi" w:hAnsiTheme="minorHAnsi"/>
          <w:sz w:val="24"/>
          <w:lang w:val="pl-PL"/>
        </w:rPr>
        <w:t xml:space="preserve">. Trybunał podkreśla </w:t>
      </w:r>
      <w:r w:rsidR="00F870D0" w:rsidRPr="00ED0C6A">
        <w:rPr>
          <w:rFonts w:asciiTheme="minorHAnsi" w:hAnsiTheme="minorHAnsi"/>
          <w:sz w:val="24"/>
          <w:lang w:val="pl-PL"/>
        </w:rPr>
        <w:t>gwarancje</w:t>
      </w:r>
      <w:r w:rsidRPr="00ED0C6A">
        <w:rPr>
          <w:rFonts w:asciiTheme="minorHAnsi" w:hAnsiTheme="minorHAnsi"/>
          <w:sz w:val="24"/>
          <w:lang w:val="pl-PL"/>
        </w:rPr>
        <w:t xml:space="preserve"> </w:t>
      </w:r>
      <w:r w:rsidR="006700F3" w:rsidRPr="00ED0C6A">
        <w:rPr>
          <w:rFonts w:asciiTheme="minorHAnsi" w:hAnsiTheme="minorHAnsi"/>
          <w:sz w:val="24"/>
          <w:lang w:val="pl-PL"/>
        </w:rPr>
        <w:t xml:space="preserve">równości, przejrzystości, </w:t>
      </w:r>
      <w:r w:rsidRPr="00ED0C6A">
        <w:rPr>
          <w:rFonts w:asciiTheme="minorHAnsi" w:hAnsiTheme="minorHAnsi"/>
          <w:sz w:val="24"/>
          <w:lang w:val="pl-PL"/>
        </w:rPr>
        <w:t>bezstronności</w:t>
      </w:r>
      <w:r w:rsidR="006700F3" w:rsidRPr="00ED0C6A">
        <w:rPr>
          <w:rFonts w:asciiTheme="minorHAnsi" w:hAnsiTheme="minorHAnsi"/>
          <w:sz w:val="24"/>
          <w:lang w:val="pl-PL"/>
        </w:rPr>
        <w:t xml:space="preserve"> i niezależności administracji wyborczej</w:t>
      </w:r>
      <w:r w:rsidR="009558B4" w:rsidRPr="00ED0C6A">
        <w:rPr>
          <w:rFonts w:asciiTheme="minorHAnsi" w:hAnsiTheme="minorHAnsi"/>
          <w:sz w:val="24"/>
          <w:lang w:val="pl-PL"/>
        </w:rPr>
        <w:t>.</w:t>
      </w:r>
      <w:r w:rsidR="006700F3" w:rsidRPr="00ED0C6A">
        <w:rPr>
          <w:rFonts w:asciiTheme="minorHAnsi" w:hAnsiTheme="minorHAnsi"/>
          <w:sz w:val="24"/>
          <w:lang w:val="pl-PL"/>
        </w:rPr>
        <w:t xml:space="preserve"> </w:t>
      </w:r>
      <w:r w:rsidRPr="00ED0C6A">
        <w:rPr>
          <w:rFonts w:asciiTheme="minorHAnsi" w:hAnsiTheme="minorHAnsi"/>
          <w:sz w:val="24"/>
          <w:lang w:val="pl-PL"/>
        </w:rPr>
        <w:t>Choć art. 3 Protokołu nr</w:t>
      </w:r>
      <w:r w:rsidR="0072154D">
        <w:rPr>
          <w:rFonts w:asciiTheme="minorHAnsi" w:hAnsiTheme="minorHAnsi"/>
          <w:sz w:val="24"/>
          <w:lang w:val="pl-PL"/>
        </w:rPr>
        <w:t> </w:t>
      </w:r>
      <w:r w:rsidRPr="00ED0C6A">
        <w:rPr>
          <w:rFonts w:asciiTheme="minorHAnsi" w:hAnsiTheme="minorHAnsi"/>
          <w:sz w:val="24"/>
          <w:lang w:val="pl-PL"/>
        </w:rPr>
        <w:t>1 Konwencji nie został pomyślany jako szczegółowy kodeks wyborczy regulujący wszystkie aspekty techniczne</w:t>
      </w:r>
      <w:r w:rsidR="00F870D0" w:rsidRPr="00ED0C6A">
        <w:rPr>
          <w:rFonts w:asciiTheme="minorHAnsi" w:hAnsiTheme="minorHAnsi"/>
          <w:sz w:val="24"/>
          <w:lang w:val="pl-PL"/>
        </w:rPr>
        <w:t xml:space="preserve"> </w:t>
      </w:r>
      <w:r w:rsidR="006700F3" w:rsidRPr="00ED0C6A">
        <w:rPr>
          <w:rFonts w:asciiTheme="minorHAnsi" w:hAnsiTheme="minorHAnsi"/>
          <w:sz w:val="24"/>
          <w:lang w:val="pl-PL"/>
        </w:rPr>
        <w:t>procesu wyborczego</w:t>
      </w:r>
      <w:r w:rsidRPr="00ED0C6A">
        <w:rPr>
          <w:rFonts w:asciiTheme="minorHAnsi" w:hAnsiTheme="minorHAnsi"/>
          <w:sz w:val="24"/>
          <w:lang w:val="pl-PL"/>
        </w:rPr>
        <w:t xml:space="preserve">, Trybunał może </w:t>
      </w:r>
      <w:r w:rsidR="006700F3" w:rsidRPr="00ED0C6A">
        <w:rPr>
          <w:rFonts w:asciiTheme="minorHAnsi" w:hAnsiTheme="minorHAnsi"/>
          <w:sz w:val="24"/>
          <w:lang w:val="pl-PL"/>
        </w:rPr>
        <w:t xml:space="preserve">zakwestionować </w:t>
      </w:r>
      <w:r w:rsidRPr="00ED0C6A">
        <w:rPr>
          <w:rFonts w:asciiTheme="minorHAnsi" w:hAnsiTheme="minorHAnsi"/>
          <w:sz w:val="24"/>
          <w:lang w:val="pl-PL"/>
        </w:rPr>
        <w:t xml:space="preserve">naruszenia proceduralne mogące udaremnić swobodę wyrażenia opinii ludności, </w:t>
      </w:r>
      <w:r w:rsidR="006700F3" w:rsidRPr="00ED0C6A">
        <w:rPr>
          <w:rFonts w:asciiTheme="minorHAnsi" w:hAnsiTheme="minorHAnsi"/>
          <w:sz w:val="24"/>
          <w:lang w:val="pl-PL"/>
        </w:rPr>
        <w:t xml:space="preserve">takie jak </w:t>
      </w:r>
      <w:r w:rsidRPr="00ED0C6A">
        <w:rPr>
          <w:rFonts w:asciiTheme="minorHAnsi" w:hAnsiTheme="minorHAnsi"/>
          <w:sz w:val="24"/>
          <w:lang w:val="pl-PL"/>
        </w:rPr>
        <w:t>rażące wypaczenie intencji wyborców</w:t>
      </w:r>
      <w:r w:rsidR="006700F3" w:rsidRPr="00ED0C6A">
        <w:rPr>
          <w:rFonts w:asciiTheme="minorHAnsi" w:hAnsiTheme="minorHAnsi"/>
          <w:sz w:val="24"/>
          <w:lang w:val="pl-PL"/>
        </w:rPr>
        <w:t xml:space="preserve"> (w przedmiotowej sprawie – na etapie ponownego liczenia głosów)</w:t>
      </w:r>
      <w:r w:rsidRPr="00ED0C6A">
        <w:rPr>
          <w:rFonts w:asciiTheme="minorHAnsi" w:hAnsiTheme="minorHAnsi"/>
          <w:sz w:val="24"/>
          <w:lang w:val="pl-PL"/>
        </w:rPr>
        <w:t>. W tym względzie Trybunał posiłkuje się także standardami wypracowanymi przez</w:t>
      </w:r>
      <w:r w:rsidR="0072154D">
        <w:rPr>
          <w:rFonts w:asciiTheme="minorHAnsi" w:hAnsiTheme="minorHAnsi"/>
          <w:sz w:val="24"/>
          <w:lang w:val="pl-PL"/>
        </w:rPr>
        <w:t> </w:t>
      </w:r>
      <w:r w:rsidRPr="00ED0C6A">
        <w:rPr>
          <w:rFonts w:asciiTheme="minorHAnsi" w:hAnsiTheme="minorHAnsi"/>
          <w:sz w:val="24"/>
          <w:lang w:val="pl-PL"/>
        </w:rPr>
        <w:t xml:space="preserve">Komisję Wenecką i ocenami OBWE. W przypadku, gdy </w:t>
      </w:r>
      <w:r w:rsidR="009558B4" w:rsidRPr="00ED0C6A">
        <w:rPr>
          <w:rFonts w:asciiTheme="minorHAnsi" w:hAnsiTheme="minorHAnsi"/>
          <w:sz w:val="24"/>
          <w:lang w:val="pl-PL"/>
        </w:rPr>
        <w:t xml:space="preserve">pojawiają się zarzuty </w:t>
      </w:r>
      <w:r w:rsidRPr="00ED0C6A">
        <w:rPr>
          <w:rFonts w:asciiTheme="minorHAnsi" w:hAnsiTheme="minorHAnsi"/>
          <w:sz w:val="24"/>
          <w:lang w:val="pl-PL"/>
        </w:rPr>
        <w:t xml:space="preserve">poważnych nieprawidłowości na etapie liczenia lub ponownego liczenia głosów, dodatkowym wymogiem po stronie </w:t>
      </w:r>
      <w:r w:rsidR="00721A8D" w:rsidRPr="00ED0C6A">
        <w:rPr>
          <w:rFonts w:asciiTheme="minorHAnsi" w:hAnsiTheme="minorHAnsi"/>
          <w:sz w:val="24"/>
          <w:lang w:val="pl-PL"/>
        </w:rPr>
        <w:t xml:space="preserve">Państwa </w:t>
      </w:r>
      <w:r w:rsidRPr="00ED0C6A">
        <w:rPr>
          <w:rFonts w:asciiTheme="minorHAnsi" w:hAnsiTheme="minorHAnsi"/>
          <w:sz w:val="24"/>
          <w:lang w:val="pl-PL"/>
        </w:rPr>
        <w:t>jest zapewnienie skutecznego i bezstronnego zbadania tego</w:t>
      </w:r>
      <w:r w:rsidR="0072154D">
        <w:rPr>
          <w:rFonts w:asciiTheme="minorHAnsi" w:hAnsiTheme="minorHAnsi"/>
          <w:sz w:val="24"/>
          <w:lang w:val="pl-PL"/>
        </w:rPr>
        <w:t> </w:t>
      </w:r>
      <w:r w:rsidRPr="00ED0C6A">
        <w:rPr>
          <w:rFonts w:asciiTheme="minorHAnsi" w:hAnsiTheme="minorHAnsi"/>
          <w:sz w:val="24"/>
          <w:lang w:val="pl-PL"/>
        </w:rPr>
        <w:t xml:space="preserve">rodzaju zarzutów przez sądy. </w:t>
      </w:r>
    </w:p>
    <w:p w:rsidR="002677F5" w:rsidRPr="00ED0C6A" w:rsidRDefault="002677F5" w:rsidP="006700F3">
      <w:pPr>
        <w:pStyle w:val="ClinContent"/>
        <w:spacing w:before="0"/>
        <w:rPr>
          <w:rFonts w:asciiTheme="minorHAnsi" w:hAnsiTheme="minorHAnsi"/>
          <w:sz w:val="24"/>
          <w:lang w:val="pl-PL"/>
        </w:rPr>
      </w:pPr>
    </w:p>
    <w:p w:rsidR="002677F5" w:rsidRPr="00ED0C6A" w:rsidRDefault="002677F5" w:rsidP="006700F3">
      <w:pPr>
        <w:pStyle w:val="ClinContent"/>
        <w:spacing w:before="0"/>
        <w:rPr>
          <w:rFonts w:asciiTheme="minorHAnsi" w:hAnsiTheme="minorHAnsi"/>
          <w:sz w:val="24"/>
          <w:lang w:val="pl-PL"/>
        </w:rPr>
      </w:pPr>
      <w:r w:rsidRPr="00ED0C6A">
        <w:rPr>
          <w:rFonts w:asciiTheme="minorHAnsi" w:hAnsiTheme="minorHAnsi"/>
          <w:sz w:val="24"/>
          <w:lang w:val="pl-PL"/>
        </w:rPr>
        <w:t>Wyrok może mieć znaczenie dla sądów, a także organów właściwych ds. organizacji i</w:t>
      </w:r>
      <w:r w:rsidR="0072154D">
        <w:rPr>
          <w:rFonts w:asciiTheme="minorHAnsi" w:hAnsiTheme="minorHAnsi"/>
          <w:sz w:val="24"/>
          <w:lang w:val="pl-PL"/>
        </w:rPr>
        <w:t> </w:t>
      </w:r>
      <w:r w:rsidRPr="00ED0C6A">
        <w:rPr>
          <w:rFonts w:asciiTheme="minorHAnsi" w:hAnsiTheme="minorHAnsi"/>
          <w:sz w:val="24"/>
          <w:lang w:val="pl-PL"/>
        </w:rPr>
        <w:t xml:space="preserve">przebiegu wyborów. </w:t>
      </w:r>
    </w:p>
    <w:p w:rsidR="00F939CC" w:rsidRPr="00ED0C6A" w:rsidRDefault="00F939CC" w:rsidP="00B53270">
      <w:pPr>
        <w:pStyle w:val="ClinContent"/>
        <w:spacing w:before="0"/>
        <w:rPr>
          <w:rFonts w:asciiTheme="minorHAnsi" w:hAnsiTheme="minorHAnsi"/>
          <w:sz w:val="24"/>
          <w:u w:val="single"/>
          <w:lang w:val="pl-PL"/>
        </w:rPr>
      </w:pPr>
    </w:p>
    <w:p w:rsidR="00EE6D17" w:rsidRPr="00ED0C6A" w:rsidRDefault="00E80C9C" w:rsidP="009333A7">
      <w:pPr>
        <w:pStyle w:val="Nagwek2"/>
        <w:spacing w:before="480"/>
        <w:rPr>
          <w:rFonts w:asciiTheme="minorHAnsi" w:hAnsiTheme="minorHAnsi"/>
          <w:color w:val="auto"/>
          <w:sz w:val="24"/>
          <w:szCs w:val="24"/>
        </w:rPr>
      </w:pPr>
      <w:bookmarkStart w:id="11" w:name="_Toc524696729"/>
      <w:r w:rsidRPr="00ED0C6A">
        <w:rPr>
          <w:rFonts w:asciiTheme="minorHAnsi" w:hAnsiTheme="minorHAnsi"/>
          <w:color w:val="auto"/>
          <w:sz w:val="24"/>
          <w:szCs w:val="24"/>
        </w:rPr>
        <w:t xml:space="preserve">De </w:t>
      </w:r>
      <w:proofErr w:type="spellStart"/>
      <w:r w:rsidRPr="00ED0C6A">
        <w:rPr>
          <w:rFonts w:asciiTheme="minorHAnsi" w:hAnsiTheme="minorHAnsi"/>
          <w:color w:val="auto"/>
          <w:sz w:val="24"/>
          <w:szCs w:val="24"/>
        </w:rPr>
        <w:t>Tommaso</w:t>
      </w:r>
      <w:proofErr w:type="spellEnd"/>
      <w:r w:rsidRPr="00ED0C6A">
        <w:rPr>
          <w:rFonts w:asciiTheme="minorHAnsi" w:hAnsiTheme="minorHAnsi"/>
          <w:color w:val="auto"/>
          <w:sz w:val="24"/>
          <w:szCs w:val="24"/>
        </w:rPr>
        <w:t xml:space="preserve"> p. Włochom</w:t>
      </w:r>
      <w:r w:rsidR="00B05313" w:rsidRPr="00ED0C6A">
        <w:rPr>
          <w:rFonts w:asciiTheme="minorHAnsi" w:hAnsiTheme="minorHAnsi"/>
          <w:color w:val="auto"/>
          <w:sz w:val="24"/>
          <w:szCs w:val="24"/>
        </w:rPr>
        <w:t>, skarga nr</w:t>
      </w:r>
      <w:r w:rsidR="00EE6D17" w:rsidRPr="00ED0C6A">
        <w:rPr>
          <w:rFonts w:asciiTheme="minorHAnsi" w:hAnsiTheme="minorHAnsi"/>
          <w:color w:val="auto"/>
          <w:sz w:val="24"/>
          <w:szCs w:val="24"/>
        </w:rPr>
        <w:t xml:space="preserve"> 43395/09</w:t>
      </w:r>
      <w:r w:rsidR="004A22AD" w:rsidRPr="00ED0C6A">
        <w:rPr>
          <w:rFonts w:asciiTheme="minorHAnsi" w:hAnsiTheme="minorHAnsi"/>
          <w:color w:val="auto"/>
          <w:sz w:val="24"/>
          <w:szCs w:val="24"/>
        </w:rPr>
        <w:t>, w</w:t>
      </w:r>
      <w:r w:rsidR="00EE6D17" w:rsidRPr="00ED0C6A">
        <w:rPr>
          <w:rFonts w:asciiTheme="minorHAnsi" w:hAnsiTheme="minorHAnsi"/>
          <w:color w:val="auto"/>
          <w:sz w:val="24"/>
          <w:szCs w:val="24"/>
        </w:rPr>
        <w:t xml:space="preserve">yrok </w:t>
      </w:r>
      <w:r w:rsidRPr="00ED0C6A">
        <w:rPr>
          <w:rFonts w:asciiTheme="minorHAnsi" w:hAnsiTheme="minorHAnsi"/>
          <w:color w:val="auto"/>
          <w:sz w:val="24"/>
          <w:szCs w:val="24"/>
        </w:rPr>
        <w:t xml:space="preserve">Wielkiej Izby </w:t>
      </w:r>
      <w:r w:rsidR="00EE6D17" w:rsidRPr="00ED0C6A">
        <w:rPr>
          <w:rFonts w:asciiTheme="minorHAnsi" w:hAnsiTheme="minorHAnsi"/>
          <w:color w:val="auto"/>
          <w:sz w:val="24"/>
          <w:szCs w:val="24"/>
        </w:rPr>
        <w:t>z 23</w:t>
      </w:r>
      <w:r w:rsidR="00B4260D" w:rsidRPr="00ED0C6A">
        <w:rPr>
          <w:rFonts w:asciiTheme="minorHAnsi" w:hAnsiTheme="minorHAnsi"/>
          <w:color w:val="auto"/>
          <w:sz w:val="24"/>
          <w:szCs w:val="24"/>
        </w:rPr>
        <w:t xml:space="preserve"> lutego </w:t>
      </w:r>
      <w:r w:rsidR="00EE6D17"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11"/>
    </w:p>
    <w:p w:rsidR="00EE6D17" w:rsidRPr="00ED0C6A" w:rsidRDefault="00EE6D17"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CB62D0" w:rsidRPr="00ED0C6A">
        <w:rPr>
          <w:b/>
          <w:color w:val="000000" w:themeColor="text1"/>
          <w:sz w:val="24"/>
          <w:szCs w:val="24"/>
          <w:lang w:val="pl-PL"/>
        </w:rPr>
        <w:t xml:space="preserve"> art. 2 ust. 1 Protokołu nr 4 do Konwencji (prawo do swobodnego poruszania się) z uwagi na brak </w:t>
      </w:r>
      <w:r w:rsidR="00DF5522" w:rsidRPr="00ED0C6A">
        <w:rPr>
          <w:b/>
          <w:color w:val="000000" w:themeColor="text1"/>
          <w:sz w:val="24"/>
          <w:szCs w:val="24"/>
          <w:lang w:val="pl-PL"/>
        </w:rPr>
        <w:t>precyzji</w:t>
      </w:r>
      <w:r w:rsidR="00CB62D0" w:rsidRPr="00ED0C6A">
        <w:rPr>
          <w:b/>
          <w:color w:val="000000" w:themeColor="text1"/>
          <w:sz w:val="24"/>
          <w:szCs w:val="24"/>
          <w:lang w:val="pl-PL"/>
        </w:rPr>
        <w:t xml:space="preserve"> ustawodawstwa włoskiego dotyczącego stosowania zarządzeń </w:t>
      </w:r>
      <w:proofErr w:type="spellStart"/>
      <w:r w:rsidR="00CB62D0" w:rsidRPr="00ED0C6A">
        <w:rPr>
          <w:b/>
          <w:color w:val="000000" w:themeColor="text1"/>
          <w:sz w:val="24"/>
          <w:szCs w:val="24"/>
          <w:lang w:val="pl-PL"/>
        </w:rPr>
        <w:t>ws</w:t>
      </w:r>
      <w:proofErr w:type="spellEnd"/>
      <w:r w:rsidR="00CB62D0" w:rsidRPr="00ED0C6A">
        <w:rPr>
          <w:b/>
          <w:color w:val="000000" w:themeColor="text1"/>
          <w:sz w:val="24"/>
          <w:szCs w:val="24"/>
          <w:lang w:val="pl-PL"/>
        </w:rPr>
        <w:t>. „szczególnego dozoru policyjnego” wobec osób uznawanych za zagrożenie dla społeczeństwa</w:t>
      </w:r>
    </w:p>
    <w:p w:rsidR="00EE6D17" w:rsidRPr="00ED0C6A" w:rsidRDefault="00CB62D0"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brak zastosowalności </w:t>
      </w:r>
      <w:r w:rsidR="00EE6D17" w:rsidRPr="00ED0C6A">
        <w:rPr>
          <w:b/>
          <w:color w:val="000000" w:themeColor="text1"/>
          <w:sz w:val="24"/>
          <w:szCs w:val="24"/>
          <w:lang w:val="pl-PL"/>
        </w:rPr>
        <w:t xml:space="preserve">art. 5 </w:t>
      </w:r>
      <w:r w:rsidRPr="00ED0C6A">
        <w:rPr>
          <w:b/>
          <w:color w:val="000000" w:themeColor="text1"/>
          <w:sz w:val="24"/>
          <w:szCs w:val="24"/>
          <w:lang w:val="pl-PL"/>
        </w:rPr>
        <w:t>Konwencji (prawo do wolności i bezpieczeństwa osobistego) w odniesieniu do nałożenia na osobę uznaną za zagrożenie dla</w:t>
      </w:r>
      <w:r w:rsidR="0072154D">
        <w:rPr>
          <w:b/>
          <w:color w:val="000000" w:themeColor="text1"/>
          <w:sz w:val="24"/>
          <w:szCs w:val="24"/>
          <w:lang w:val="pl-PL"/>
        </w:rPr>
        <w:t> </w:t>
      </w:r>
      <w:r w:rsidRPr="00ED0C6A">
        <w:rPr>
          <w:b/>
          <w:color w:val="000000" w:themeColor="text1"/>
          <w:sz w:val="24"/>
          <w:szCs w:val="24"/>
          <w:lang w:val="pl-PL"/>
        </w:rPr>
        <w:t>społeczeństwa środków zabezpieczających pociągających za sobą ograniczenie prawa do swobodnego poruszania się</w:t>
      </w:r>
      <w:r w:rsidR="00F93BA1" w:rsidRPr="00ED0C6A">
        <w:rPr>
          <w:b/>
          <w:color w:val="000000" w:themeColor="text1"/>
          <w:sz w:val="24"/>
          <w:szCs w:val="24"/>
          <w:lang w:val="pl-PL"/>
        </w:rPr>
        <w:t>, w efekcie czego zarzut na tej podstawie niedopuszczalny</w:t>
      </w:r>
    </w:p>
    <w:p w:rsidR="00EE6D17" w:rsidRPr="00ED0C6A" w:rsidRDefault="00CB62D0"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zastosowalność i naruszenie </w:t>
      </w:r>
      <w:r w:rsidR="00EE6D17" w:rsidRPr="00ED0C6A">
        <w:rPr>
          <w:b/>
          <w:color w:val="000000" w:themeColor="text1"/>
          <w:sz w:val="24"/>
          <w:szCs w:val="24"/>
          <w:lang w:val="pl-PL"/>
        </w:rPr>
        <w:t>art. 6</w:t>
      </w:r>
      <w:r w:rsidRPr="00ED0C6A">
        <w:rPr>
          <w:b/>
          <w:color w:val="000000" w:themeColor="text1"/>
          <w:sz w:val="24"/>
          <w:szCs w:val="24"/>
          <w:lang w:val="pl-PL"/>
        </w:rPr>
        <w:t xml:space="preserve"> Konwencji (prawo do rzetelnego procesu sądowego – aspekty praw i obowiązków o charakterze cywilnym i publicznego rozpatrzenia sprawy) </w:t>
      </w:r>
      <w:r w:rsidR="00EE6D17" w:rsidRPr="00ED0C6A">
        <w:rPr>
          <w:b/>
          <w:color w:val="000000" w:themeColor="text1"/>
          <w:sz w:val="24"/>
          <w:szCs w:val="24"/>
          <w:lang w:val="pl-PL"/>
        </w:rPr>
        <w:t xml:space="preserve"> </w:t>
      </w:r>
      <w:r w:rsidRPr="00ED0C6A">
        <w:rPr>
          <w:b/>
          <w:color w:val="000000" w:themeColor="text1"/>
          <w:sz w:val="24"/>
          <w:szCs w:val="24"/>
          <w:lang w:val="pl-PL"/>
        </w:rPr>
        <w:t xml:space="preserve">w odniesieniu do nałożenia środków zabezpieczających bez publicznego rozpatrzenia sprawy; brak naruszenia art. 6 Konwencji w odniesieniu do pozostałych zarzutów nierzetelności postępowania </w:t>
      </w:r>
    </w:p>
    <w:p w:rsidR="00CB62D0" w:rsidRPr="00ED0C6A" w:rsidRDefault="00CB62D0"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 art. 13 Konwencji (prawo do skutecznego środka odwoławczego) z</w:t>
      </w:r>
      <w:r w:rsidR="0072154D">
        <w:rPr>
          <w:b/>
          <w:color w:val="000000" w:themeColor="text1"/>
          <w:sz w:val="24"/>
          <w:szCs w:val="24"/>
          <w:lang w:val="pl-PL"/>
        </w:rPr>
        <w:t> </w:t>
      </w:r>
      <w:r w:rsidRPr="00ED0C6A">
        <w:rPr>
          <w:b/>
          <w:color w:val="000000" w:themeColor="text1"/>
          <w:sz w:val="24"/>
          <w:szCs w:val="24"/>
          <w:lang w:val="pl-PL"/>
        </w:rPr>
        <w:t xml:space="preserve">uwagi na możliwość podniesienia zarzutu bezprawnego nałożenia środka zabezpieczającego w apelacji </w:t>
      </w: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Prawo włoskie przewiduje możliwość nałożenia środków „zabezpieczających” –</w:t>
      </w:r>
      <w:r w:rsidR="0072154D">
        <w:rPr>
          <w:rFonts w:asciiTheme="minorHAnsi" w:hAnsiTheme="minorHAnsi"/>
          <w:sz w:val="24"/>
          <w:lang w:val="pl-PL"/>
        </w:rPr>
        <w:t xml:space="preserve"> </w:t>
      </w:r>
      <w:r w:rsidRPr="00ED0C6A">
        <w:rPr>
          <w:rFonts w:asciiTheme="minorHAnsi" w:hAnsiTheme="minorHAnsi"/>
          <w:sz w:val="24"/>
          <w:lang w:val="pl-PL"/>
        </w:rPr>
        <w:t>obejmujących ograniczenia różnych wolności – na „osoby stanowiące zagrożenie dla bezpieczeństwa i moralności publicznej” (ustawa nr 1423 z dnia 27 grudnia 1956 r.).</w:t>
      </w:r>
    </w:p>
    <w:p w:rsidR="000E3490" w:rsidRPr="00ED0C6A" w:rsidRDefault="000E3490" w:rsidP="00F11942">
      <w:pPr>
        <w:pStyle w:val="ClinContent"/>
        <w:spacing w:before="0"/>
        <w:rPr>
          <w:rFonts w:asciiTheme="minorHAnsi" w:hAnsiTheme="minorHAnsi"/>
          <w:sz w:val="24"/>
          <w:lang w:val="pl-PL"/>
        </w:rPr>
      </w:pPr>
    </w:p>
    <w:p w:rsidR="000E3490"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Skarżący został wcześniej kilkakrotnie skazany za przestępstwa, w tym handel narkotykami oraz nielegalne posiadanie broni. W 2007 r. w oparciu o utrzymujące się podejrzenia co</w:t>
      </w:r>
      <w:r w:rsidR="0072154D">
        <w:rPr>
          <w:rFonts w:asciiTheme="minorHAnsi" w:hAnsiTheme="minorHAnsi"/>
          <w:sz w:val="24"/>
          <w:lang w:val="pl-PL"/>
        </w:rPr>
        <w:t> </w:t>
      </w:r>
      <w:r w:rsidRPr="00ED0C6A">
        <w:rPr>
          <w:rFonts w:asciiTheme="minorHAnsi" w:hAnsiTheme="minorHAnsi"/>
          <w:sz w:val="24"/>
          <w:lang w:val="pl-PL"/>
        </w:rPr>
        <w:t>do</w:t>
      </w:r>
      <w:r w:rsidR="0072154D">
        <w:rPr>
          <w:rFonts w:asciiTheme="minorHAnsi" w:hAnsiTheme="minorHAnsi"/>
          <w:sz w:val="24"/>
          <w:lang w:val="pl-PL"/>
        </w:rPr>
        <w:t> </w:t>
      </w:r>
      <w:r w:rsidRPr="00ED0C6A">
        <w:rPr>
          <w:rFonts w:asciiTheme="minorHAnsi" w:hAnsiTheme="minorHAnsi"/>
          <w:sz w:val="24"/>
          <w:lang w:val="pl-PL"/>
        </w:rPr>
        <w:t>zachowania skarżącego i źródeł jego dochodów prokurator zalecił poddanie go</w:t>
      </w:r>
      <w:r w:rsidR="0072154D">
        <w:rPr>
          <w:rFonts w:asciiTheme="minorHAnsi" w:hAnsiTheme="minorHAnsi"/>
          <w:sz w:val="24"/>
          <w:lang w:val="pl-PL"/>
        </w:rPr>
        <w:t> </w:t>
      </w:r>
      <w:r w:rsidRPr="00ED0C6A">
        <w:rPr>
          <w:rFonts w:asciiTheme="minorHAnsi" w:hAnsiTheme="minorHAnsi"/>
          <w:sz w:val="24"/>
          <w:lang w:val="pl-PL"/>
        </w:rPr>
        <w:t xml:space="preserve">„szczególnemu dozorowi policyjnemu” zgodnie ze wskazaną wyżej ustawą. </w:t>
      </w:r>
    </w:p>
    <w:p w:rsidR="000E3490" w:rsidRPr="00ED0C6A" w:rsidRDefault="000E3490" w:rsidP="00F11942">
      <w:pPr>
        <w:pStyle w:val="ClinContent"/>
        <w:spacing w:before="0"/>
        <w:rPr>
          <w:rFonts w:asciiTheme="minorHAnsi" w:hAnsiTheme="minorHAnsi"/>
          <w:sz w:val="24"/>
          <w:lang w:val="pl-PL"/>
        </w:rPr>
      </w:pP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W 2008 r. sąd rejonowy nałożył wnioskowany środek, obejmujący następujący zestaw obowiązków przez okres dwóch lat: stawianie się raz na tydzień w jednostce policji właściwej w sprawie nadzoru; podjęcie poszukiwania pracy w ciągu miesiąca; niezmienianie miejsca zamieszkania; prowadzenie życia uczciwego i w zgodzie z prawem oraz niedawanie podstaw do podejrzeń; niezadawanie się z osobami mającymi przeszłość kryminalną i podlegającymi środkom zabezpieczającym lub bezpieczeństwa; pozostawanie w domu w godz. 22:00–6:00, z wyjątkiem przypadków konieczności i wyłącznie po uprzedzeniu w odpowiednim czasie władz; nieprzechowywanie ani nienoszenie broni; niechodzenie do barów, klubów nocnych, salonów gier lub domów publicznych oraz nieuczęszczanie na spotkania publiczne; niekorzystanie z telefonów komórkowych lub urządzeń komunikacji radiowej; noszenie przy</w:t>
      </w:r>
      <w:r w:rsidR="0072154D">
        <w:rPr>
          <w:rFonts w:asciiTheme="minorHAnsi" w:hAnsiTheme="minorHAnsi"/>
          <w:sz w:val="24"/>
          <w:lang w:val="pl-PL"/>
        </w:rPr>
        <w:t> </w:t>
      </w:r>
      <w:r w:rsidRPr="00ED0C6A">
        <w:rPr>
          <w:rFonts w:asciiTheme="minorHAnsi" w:hAnsiTheme="minorHAnsi"/>
          <w:sz w:val="24"/>
          <w:lang w:val="pl-PL"/>
        </w:rPr>
        <w:t>sobie zawsze dokumentu wskazującego te obowiązki (</w:t>
      </w:r>
      <w:proofErr w:type="spellStart"/>
      <w:r w:rsidRPr="00ED0C6A">
        <w:rPr>
          <w:rFonts w:asciiTheme="minorHAnsi" w:hAnsiTheme="minorHAnsi"/>
          <w:i/>
          <w:sz w:val="24"/>
          <w:lang w:val="pl-PL"/>
        </w:rPr>
        <w:t>carta</w:t>
      </w:r>
      <w:proofErr w:type="spellEnd"/>
      <w:r w:rsidRPr="00ED0C6A">
        <w:rPr>
          <w:rFonts w:asciiTheme="minorHAnsi" w:hAnsiTheme="minorHAnsi"/>
          <w:i/>
          <w:sz w:val="24"/>
          <w:lang w:val="pl-PL"/>
        </w:rPr>
        <w:t xml:space="preserve"> </w:t>
      </w:r>
      <w:proofErr w:type="spellStart"/>
      <w:r w:rsidRPr="00ED0C6A">
        <w:rPr>
          <w:rFonts w:asciiTheme="minorHAnsi" w:hAnsiTheme="minorHAnsi"/>
          <w:i/>
          <w:sz w:val="24"/>
          <w:lang w:val="pl-PL"/>
        </w:rPr>
        <w:t>precettiva</w:t>
      </w:r>
      <w:proofErr w:type="spellEnd"/>
      <w:r w:rsidRPr="00ED0C6A">
        <w:rPr>
          <w:rFonts w:asciiTheme="minorHAnsi" w:hAnsiTheme="minorHAnsi"/>
          <w:sz w:val="24"/>
          <w:lang w:val="pl-PL"/>
        </w:rPr>
        <w:t>) i okazywanie go</w:t>
      </w:r>
      <w:r w:rsidR="0072154D">
        <w:rPr>
          <w:rFonts w:asciiTheme="minorHAnsi" w:hAnsiTheme="minorHAnsi"/>
          <w:sz w:val="24"/>
          <w:lang w:val="pl-PL"/>
        </w:rPr>
        <w:t> </w:t>
      </w:r>
      <w:r w:rsidRPr="00ED0C6A">
        <w:rPr>
          <w:rFonts w:asciiTheme="minorHAnsi" w:hAnsiTheme="minorHAnsi"/>
          <w:sz w:val="24"/>
          <w:lang w:val="pl-PL"/>
        </w:rPr>
        <w:t xml:space="preserve">policji na żądanie.   </w:t>
      </w:r>
    </w:p>
    <w:p w:rsidR="000E3490" w:rsidRPr="00ED0C6A" w:rsidRDefault="000E3490" w:rsidP="00F11942">
      <w:pPr>
        <w:pStyle w:val="ClinContent"/>
        <w:spacing w:before="0"/>
        <w:rPr>
          <w:rFonts w:asciiTheme="minorHAnsi" w:hAnsiTheme="minorHAnsi"/>
          <w:sz w:val="24"/>
          <w:lang w:val="pl-PL"/>
        </w:rPr>
      </w:pP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Siedem miesięcy później postanowienie to zostało uchylone przez Sąd Apelacyjny, który uznał, że w czasie, gdy środek ten został nałożony, zagrożenie stwarzane przez skarżącego nie zostało poparte dowodami jakiejkolwiek działalności przestępczej z</w:t>
      </w:r>
      <w:r w:rsidR="00AA6C65">
        <w:rPr>
          <w:rFonts w:asciiTheme="minorHAnsi" w:hAnsiTheme="minorHAnsi"/>
          <w:sz w:val="24"/>
          <w:lang w:val="pl-PL"/>
        </w:rPr>
        <w:t> </w:t>
      </w:r>
      <w:r w:rsidRPr="00ED0C6A">
        <w:rPr>
          <w:rFonts w:asciiTheme="minorHAnsi" w:hAnsiTheme="minorHAnsi"/>
          <w:sz w:val="24"/>
          <w:lang w:val="pl-PL"/>
        </w:rPr>
        <w:t>jego</w:t>
      </w:r>
      <w:r w:rsidR="00AA6C65">
        <w:rPr>
          <w:rFonts w:asciiTheme="minorHAnsi" w:hAnsiTheme="minorHAnsi"/>
          <w:sz w:val="24"/>
          <w:lang w:val="pl-PL"/>
        </w:rPr>
        <w:t> </w:t>
      </w:r>
      <w:r w:rsidRPr="00ED0C6A">
        <w:rPr>
          <w:rFonts w:asciiTheme="minorHAnsi" w:hAnsiTheme="minorHAnsi"/>
          <w:sz w:val="24"/>
          <w:lang w:val="pl-PL"/>
        </w:rPr>
        <w:t xml:space="preserve">strony. </w:t>
      </w:r>
    </w:p>
    <w:p w:rsidR="000E3490" w:rsidRPr="00ED0C6A" w:rsidRDefault="000E3490" w:rsidP="00F11942">
      <w:pPr>
        <w:pStyle w:val="ClinContent"/>
        <w:spacing w:before="0"/>
        <w:rPr>
          <w:rFonts w:asciiTheme="minorHAnsi" w:hAnsiTheme="minorHAnsi"/>
          <w:i/>
          <w:sz w:val="24"/>
          <w:lang w:val="pl-PL"/>
        </w:rPr>
      </w:pPr>
    </w:p>
    <w:p w:rsidR="00EE6D17" w:rsidRPr="00ED0C6A" w:rsidRDefault="000F6008"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zbadał najpierw, czy nałożone na skarżącego ograniczenia mogą być rozpatrywane na gruncie </w:t>
      </w:r>
      <w:r w:rsidRPr="00ED0C6A">
        <w:rPr>
          <w:rFonts w:asciiTheme="minorHAnsi" w:hAnsiTheme="minorHAnsi"/>
          <w:sz w:val="24"/>
          <w:u w:val="single"/>
          <w:lang w:val="pl-PL"/>
        </w:rPr>
        <w:t>art. 5 Konwencji chroniącego prawo do wolności i bezpieczeństwa osobistego</w:t>
      </w:r>
      <w:r w:rsidRPr="00ED0C6A">
        <w:rPr>
          <w:rFonts w:asciiTheme="minorHAnsi" w:hAnsiTheme="minorHAnsi"/>
          <w:sz w:val="24"/>
          <w:lang w:val="pl-PL"/>
        </w:rPr>
        <w:t>. Przypomniał, że ar</w:t>
      </w:r>
      <w:r w:rsidR="00EE6D17" w:rsidRPr="00ED0C6A">
        <w:rPr>
          <w:rFonts w:asciiTheme="minorHAnsi" w:hAnsiTheme="minorHAnsi"/>
          <w:sz w:val="24"/>
          <w:lang w:val="pl-PL"/>
        </w:rPr>
        <w:t>t. 5 nie zajmuje się ograniczeniami jedynie swobody poruszania się,</w:t>
      </w:r>
      <w:r w:rsidRPr="00ED0C6A">
        <w:rPr>
          <w:rFonts w:asciiTheme="minorHAnsi" w:hAnsiTheme="minorHAnsi"/>
          <w:sz w:val="24"/>
          <w:lang w:val="pl-PL"/>
        </w:rPr>
        <w:t xml:space="preserve"> tych</w:t>
      </w:r>
      <w:r w:rsidR="0072154D">
        <w:rPr>
          <w:rFonts w:asciiTheme="minorHAnsi" w:hAnsiTheme="minorHAnsi"/>
          <w:sz w:val="24"/>
          <w:lang w:val="pl-PL"/>
        </w:rPr>
        <w:t> </w:t>
      </w:r>
      <w:r w:rsidRPr="00ED0C6A">
        <w:rPr>
          <w:rFonts w:asciiTheme="minorHAnsi" w:hAnsiTheme="minorHAnsi"/>
          <w:sz w:val="24"/>
          <w:lang w:val="pl-PL"/>
        </w:rPr>
        <w:t>kwestii</w:t>
      </w:r>
      <w:r w:rsidR="00EE6D17" w:rsidRPr="00ED0C6A">
        <w:rPr>
          <w:rFonts w:asciiTheme="minorHAnsi" w:hAnsiTheme="minorHAnsi"/>
          <w:sz w:val="24"/>
          <w:lang w:val="pl-PL"/>
        </w:rPr>
        <w:t xml:space="preserve"> dotyczy </w:t>
      </w:r>
      <w:r w:rsidRPr="00ED0C6A">
        <w:rPr>
          <w:rFonts w:asciiTheme="minorHAnsi" w:hAnsiTheme="minorHAnsi"/>
          <w:sz w:val="24"/>
          <w:lang w:val="pl-PL"/>
        </w:rPr>
        <w:t xml:space="preserve">natomiast </w:t>
      </w:r>
      <w:r w:rsidR="005F20C8" w:rsidRPr="00ED0C6A">
        <w:rPr>
          <w:rFonts w:asciiTheme="minorHAnsi" w:hAnsiTheme="minorHAnsi"/>
          <w:sz w:val="24"/>
          <w:lang w:val="pl-PL"/>
        </w:rPr>
        <w:t xml:space="preserve">art. 2 Protokołu nr </w:t>
      </w:r>
      <w:r w:rsidR="00EE6D17" w:rsidRPr="00ED0C6A">
        <w:rPr>
          <w:rFonts w:asciiTheme="minorHAnsi" w:hAnsiTheme="minorHAnsi"/>
          <w:sz w:val="24"/>
          <w:lang w:val="pl-PL"/>
        </w:rPr>
        <w:t xml:space="preserve">4. </w:t>
      </w:r>
      <w:r w:rsidRPr="00ED0C6A">
        <w:rPr>
          <w:rFonts w:asciiTheme="minorHAnsi" w:hAnsiTheme="minorHAnsi"/>
          <w:sz w:val="24"/>
          <w:lang w:val="pl-PL"/>
        </w:rPr>
        <w:t>Co prawda w</w:t>
      </w:r>
      <w:r w:rsidR="00EE6D17" w:rsidRPr="00ED0C6A">
        <w:rPr>
          <w:rFonts w:asciiTheme="minorHAnsi" w:hAnsiTheme="minorHAnsi"/>
          <w:sz w:val="24"/>
          <w:lang w:val="pl-PL"/>
        </w:rPr>
        <w:t xml:space="preserve">yjątkowo w sprawie </w:t>
      </w:r>
      <w:proofErr w:type="spellStart"/>
      <w:r w:rsidR="00EE6D17" w:rsidRPr="00ED0C6A">
        <w:rPr>
          <w:rFonts w:asciiTheme="minorHAnsi" w:hAnsiTheme="minorHAnsi"/>
          <w:i/>
          <w:sz w:val="24"/>
          <w:lang w:val="pl-PL"/>
        </w:rPr>
        <w:t>Guzzardi</w:t>
      </w:r>
      <w:proofErr w:type="spellEnd"/>
      <w:r w:rsidR="00EE6D17" w:rsidRPr="00ED0C6A">
        <w:rPr>
          <w:rFonts w:asciiTheme="minorHAnsi" w:hAnsiTheme="minorHAnsi"/>
          <w:i/>
          <w:sz w:val="24"/>
          <w:lang w:val="pl-PL"/>
        </w:rPr>
        <w:t xml:space="preserve"> p. Włochom</w:t>
      </w:r>
      <w:r w:rsidR="00EE6D17" w:rsidRPr="00ED0C6A">
        <w:rPr>
          <w:rFonts w:asciiTheme="minorHAnsi" w:hAnsiTheme="minorHAnsi"/>
          <w:sz w:val="24"/>
          <w:lang w:val="pl-PL"/>
        </w:rPr>
        <w:t xml:space="preserve"> (skarga nr 7367/76, 6 listopada 19</w:t>
      </w:r>
      <w:r w:rsidRPr="00ED0C6A">
        <w:rPr>
          <w:rFonts w:asciiTheme="minorHAnsi" w:hAnsiTheme="minorHAnsi"/>
          <w:sz w:val="24"/>
          <w:lang w:val="pl-PL"/>
        </w:rPr>
        <w:t>80 r.) Trybunał stwierdził</w:t>
      </w:r>
      <w:r w:rsidR="00EE6D17" w:rsidRPr="00ED0C6A">
        <w:rPr>
          <w:rFonts w:asciiTheme="minorHAnsi" w:hAnsiTheme="minorHAnsi"/>
          <w:sz w:val="24"/>
          <w:lang w:val="pl-PL"/>
        </w:rPr>
        <w:t>, że środki tego rodzaju mogą zostać uznane za naruszenie wolności</w:t>
      </w:r>
      <w:r w:rsidRPr="00ED0C6A">
        <w:rPr>
          <w:rFonts w:asciiTheme="minorHAnsi" w:hAnsiTheme="minorHAnsi"/>
          <w:sz w:val="24"/>
          <w:lang w:val="pl-PL"/>
        </w:rPr>
        <w:t xml:space="preserve">, jeśli </w:t>
      </w:r>
      <w:r w:rsidR="00EE6D17" w:rsidRPr="00ED0C6A">
        <w:rPr>
          <w:rFonts w:asciiTheme="minorHAnsi" w:hAnsiTheme="minorHAnsi"/>
          <w:sz w:val="24"/>
          <w:lang w:val="pl-PL"/>
        </w:rPr>
        <w:t xml:space="preserve">skarżącemu </w:t>
      </w:r>
      <w:r w:rsidRPr="00ED0C6A">
        <w:rPr>
          <w:rFonts w:asciiTheme="minorHAnsi" w:hAnsiTheme="minorHAnsi"/>
          <w:sz w:val="24"/>
          <w:lang w:val="pl-PL"/>
        </w:rPr>
        <w:t>pozostawiono nadzwyczaj małą przestrze</w:t>
      </w:r>
      <w:r w:rsidR="002C7F6D" w:rsidRPr="00ED0C6A">
        <w:rPr>
          <w:rFonts w:asciiTheme="minorHAnsi" w:hAnsiTheme="minorHAnsi"/>
          <w:sz w:val="24"/>
          <w:lang w:val="pl-PL"/>
        </w:rPr>
        <w:t>ń</w:t>
      </w:r>
      <w:r w:rsidRPr="00ED0C6A">
        <w:rPr>
          <w:rFonts w:asciiTheme="minorHAnsi" w:hAnsiTheme="minorHAnsi"/>
          <w:sz w:val="24"/>
          <w:lang w:val="pl-PL"/>
        </w:rPr>
        <w:t xml:space="preserve">, poddano go prawie stałemu nadzorowi i prawie całkowicie uniemożliwiono </w:t>
      </w:r>
      <w:r w:rsidR="00EE6D17" w:rsidRPr="00ED0C6A">
        <w:rPr>
          <w:rFonts w:asciiTheme="minorHAnsi" w:hAnsiTheme="minorHAnsi"/>
          <w:sz w:val="24"/>
          <w:lang w:val="pl-PL"/>
        </w:rPr>
        <w:t>mu kontakt</w:t>
      </w:r>
      <w:r w:rsidRPr="00ED0C6A">
        <w:rPr>
          <w:rFonts w:asciiTheme="minorHAnsi" w:hAnsiTheme="minorHAnsi"/>
          <w:sz w:val="24"/>
          <w:lang w:val="pl-PL"/>
        </w:rPr>
        <w:t>y społeczne</w:t>
      </w:r>
      <w:r w:rsidR="00EE6D17" w:rsidRPr="00ED0C6A">
        <w:rPr>
          <w:rFonts w:asciiTheme="minorHAnsi" w:hAnsiTheme="minorHAnsi"/>
          <w:sz w:val="24"/>
          <w:lang w:val="pl-PL"/>
        </w:rPr>
        <w:t>. We wszystkich następnych sprawach Trybunał nie</w:t>
      </w:r>
      <w:r w:rsidR="0072154D">
        <w:rPr>
          <w:rFonts w:asciiTheme="minorHAnsi" w:hAnsiTheme="minorHAnsi"/>
          <w:sz w:val="24"/>
          <w:lang w:val="pl-PL"/>
        </w:rPr>
        <w:t> </w:t>
      </w:r>
      <w:r w:rsidR="00EE6D17" w:rsidRPr="00ED0C6A">
        <w:rPr>
          <w:rFonts w:asciiTheme="minorHAnsi" w:hAnsiTheme="minorHAnsi"/>
          <w:sz w:val="24"/>
          <w:lang w:val="pl-PL"/>
        </w:rPr>
        <w:t xml:space="preserve">stwierdził </w:t>
      </w:r>
      <w:r w:rsidRPr="00ED0C6A">
        <w:rPr>
          <w:rFonts w:asciiTheme="minorHAnsi" w:hAnsiTheme="minorHAnsi"/>
          <w:sz w:val="24"/>
          <w:lang w:val="pl-PL"/>
        </w:rPr>
        <w:t xml:space="preserve">jednak </w:t>
      </w:r>
      <w:r w:rsidR="00EE6D17" w:rsidRPr="00ED0C6A">
        <w:rPr>
          <w:rFonts w:asciiTheme="minorHAnsi" w:hAnsiTheme="minorHAnsi"/>
          <w:sz w:val="24"/>
          <w:lang w:val="pl-PL"/>
        </w:rPr>
        <w:t xml:space="preserve">porównywalnych szczególnych okoliczności, </w:t>
      </w:r>
      <w:r w:rsidRPr="00ED0C6A">
        <w:rPr>
          <w:rFonts w:asciiTheme="minorHAnsi" w:hAnsiTheme="minorHAnsi"/>
          <w:sz w:val="24"/>
          <w:lang w:val="pl-PL"/>
        </w:rPr>
        <w:t xml:space="preserve">nawet </w:t>
      </w:r>
      <w:r w:rsidR="00EE6D17" w:rsidRPr="00ED0C6A">
        <w:rPr>
          <w:rFonts w:asciiTheme="minorHAnsi" w:hAnsiTheme="minorHAnsi"/>
          <w:sz w:val="24"/>
          <w:lang w:val="pl-PL"/>
        </w:rPr>
        <w:t>w przypadkach, gdy</w:t>
      </w:r>
      <w:r w:rsidR="0072154D">
        <w:rPr>
          <w:rFonts w:asciiTheme="minorHAnsi" w:hAnsiTheme="minorHAnsi"/>
          <w:sz w:val="24"/>
          <w:lang w:val="pl-PL"/>
        </w:rPr>
        <w:t> </w:t>
      </w:r>
      <w:r w:rsidR="00EE6D17" w:rsidRPr="00ED0C6A">
        <w:rPr>
          <w:rFonts w:asciiTheme="minorHAnsi" w:hAnsiTheme="minorHAnsi"/>
          <w:sz w:val="24"/>
          <w:lang w:val="pl-PL"/>
        </w:rPr>
        <w:t xml:space="preserve">skarżącym zakazano opuszczania domu na noc. </w:t>
      </w:r>
    </w:p>
    <w:p w:rsidR="000E3490" w:rsidRPr="00ED0C6A" w:rsidRDefault="000E3490" w:rsidP="00F11942">
      <w:pPr>
        <w:pStyle w:val="ClinContent"/>
        <w:spacing w:before="0"/>
        <w:rPr>
          <w:rFonts w:asciiTheme="minorHAnsi" w:hAnsiTheme="minorHAnsi"/>
          <w:sz w:val="24"/>
          <w:lang w:val="pl-PL"/>
        </w:rPr>
      </w:pPr>
    </w:p>
    <w:p w:rsidR="0010128A"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 obecnej sprawie Trybunał </w:t>
      </w:r>
      <w:r w:rsidR="0010128A" w:rsidRPr="00ED0C6A">
        <w:rPr>
          <w:rFonts w:asciiTheme="minorHAnsi" w:hAnsiTheme="minorHAnsi"/>
          <w:sz w:val="24"/>
          <w:lang w:val="pl-PL"/>
        </w:rPr>
        <w:t xml:space="preserve">odnotował, że: </w:t>
      </w:r>
    </w:p>
    <w:p w:rsidR="0010128A" w:rsidRPr="00ED0C6A" w:rsidRDefault="00EE6D17" w:rsidP="0010128A">
      <w:pPr>
        <w:pStyle w:val="ClinContent"/>
        <w:numPr>
          <w:ilvl w:val="0"/>
          <w:numId w:val="10"/>
        </w:numPr>
        <w:spacing w:before="0"/>
        <w:rPr>
          <w:rFonts w:asciiTheme="minorHAnsi" w:hAnsiTheme="minorHAnsi"/>
          <w:sz w:val="24"/>
          <w:lang w:val="pl-PL"/>
        </w:rPr>
      </w:pPr>
      <w:r w:rsidRPr="00ED0C6A">
        <w:rPr>
          <w:rFonts w:asciiTheme="minorHAnsi" w:hAnsiTheme="minorHAnsi"/>
          <w:sz w:val="24"/>
          <w:lang w:val="pl-PL"/>
        </w:rPr>
        <w:t xml:space="preserve">skarżący nie został zmuszony do życia na ograniczonym obszarze; </w:t>
      </w:r>
    </w:p>
    <w:p w:rsidR="0010128A" w:rsidRPr="00ED0C6A" w:rsidRDefault="00EE6D17" w:rsidP="0010128A">
      <w:pPr>
        <w:pStyle w:val="ClinContent"/>
        <w:numPr>
          <w:ilvl w:val="0"/>
          <w:numId w:val="10"/>
        </w:numPr>
        <w:spacing w:before="0"/>
        <w:rPr>
          <w:rFonts w:asciiTheme="minorHAnsi" w:hAnsiTheme="minorHAnsi"/>
          <w:sz w:val="24"/>
          <w:lang w:val="pl-PL"/>
        </w:rPr>
      </w:pPr>
      <w:r w:rsidRPr="00ED0C6A">
        <w:rPr>
          <w:rFonts w:asciiTheme="minorHAnsi" w:hAnsiTheme="minorHAnsi"/>
          <w:sz w:val="24"/>
          <w:lang w:val="pl-PL"/>
        </w:rPr>
        <w:t xml:space="preserve">był w stanie prowadzić życie społeczne i utrzymywać relacje ze światem zewnętrznym, ponieważ miał swobodę wychodzenia z domu w ciągu dnia; </w:t>
      </w:r>
    </w:p>
    <w:p w:rsidR="0010128A" w:rsidRPr="00ED0C6A" w:rsidRDefault="00EE6D17" w:rsidP="0010128A">
      <w:pPr>
        <w:pStyle w:val="ClinContent"/>
        <w:numPr>
          <w:ilvl w:val="0"/>
          <w:numId w:val="10"/>
        </w:numPr>
        <w:spacing w:before="0"/>
        <w:rPr>
          <w:rFonts w:asciiTheme="minorHAnsi" w:hAnsiTheme="minorHAnsi"/>
          <w:sz w:val="24"/>
          <w:lang w:val="pl-PL"/>
        </w:rPr>
      </w:pPr>
      <w:r w:rsidRPr="00ED0C6A">
        <w:rPr>
          <w:rFonts w:asciiTheme="minorHAnsi" w:hAnsiTheme="minorHAnsi"/>
          <w:sz w:val="24"/>
          <w:lang w:val="pl-PL"/>
        </w:rPr>
        <w:t>zakaz opuszczania, poza przypadkami koniecznymi, domu w nocy (między godz. 22:00 a</w:t>
      </w:r>
      <w:r w:rsidR="0072154D">
        <w:rPr>
          <w:rFonts w:asciiTheme="minorHAnsi" w:hAnsiTheme="minorHAnsi"/>
          <w:sz w:val="24"/>
          <w:lang w:val="pl-PL"/>
        </w:rPr>
        <w:t> </w:t>
      </w:r>
      <w:r w:rsidRPr="00ED0C6A">
        <w:rPr>
          <w:rFonts w:asciiTheme="minorHAnsi" w:hAnsiTheme="minorHAnsi"/>
          <w:sz w:val="24"/>
          <w:lang w:val="pl-PL"/>
        </w:rPr>
        <w:t xml:space="preserve">6:00) nie może być traktowany na równi z aresztem domowym; </w:t>
      </w:r>
    </w:p>
    <w:p w:rsidR="00EE6D17" w:rsidRPr="00ED0C6A" w:rsidRDefault="00EE6D17" w:rsidP="0010128A">
      <w:pPr>
        <w:pStyle w:val="ClinContent"/>
        <w:numPr>
          <w:ilvl w:val="0"/>
          <w:numId w:val="10"/>
        </w:numPr>
        <w:spacing w:before="0"/>
        <w:rPr>
          <w:rFonts w:asciiTheme="minorHAnsi" w:hAnsiTheme="minorHAnsi"/>
          <w:sz w:val="24"/>
          <w:lang w:val="pl-PL"/>
        </w:rPr>
      </w:pPr>
      <w:r w:rsidRPr="00ED0C6A">
        <w:rPr>
          <w:rFonts w:asciiTheme="minorHAnsi" w:hAnsiTheme="minorHAnsi"/>
          <w:sz w:val="24"/>
          <w:lang w:val="pl-PL"/>
        </w:rPr>
        <w:t xml:space="preserve">skarżący nigdy nie wnioskował do władz o pozwolenie na wyjechanie z miejsca zamieszkania.  </w:t>
      </w:r>
    </w:p>
    <w:p w:rsidR="0010128A" w:rsidRPr="00ED0C6A" w:rsidRDefault="0010128A" w:rsidP="00F11942">
      <w:pPr>
        <w:pStyle w:val="ClinContent"/>
        <w:spacing w:before="0"/>
        <w:rPr>
          <w:rFonts w:asciiTheme="minorHAnsi" w:hAnsiTheme="minorHAnsi"/>
          <w:sz w:val="24"/>
          <w:lang w:val="pl-PL"/>
        </w:rPr>
      </w:pPr>
    </w:p>
    <w:p w:rsidR="00EE6D17" w:rsidRPr="00ED0C6A" w:rsidRDefault="0010128A" w:rsidP="0010128A">
      <w:pPr>
        <w:pStyle w:val="ClinContent"/>
        <w:spacing w:before="0"/>
        <w:rPr>
          <w:rFonts w:asciiTheme="minorHAnsi" w:hAnsiTheme="minorHAnsi"/>
          <w:sz w:val="24"/>
          <w:lang w:val="pl-PL"/>
        </w:rPr>
      </w:pPr>
      <w:r w:rsidRPr="00ED0C6A">
        <w:rPr>
          <w:rFonts w:asciiTheme="minorHAnsi" w:hAnsiTheme="minorHAnsi"/>
          <w:sz w:val="24"/>
          <w:lang w:val="pl-PL"/>
        </w:rPr>
        <w:t>Z powyższych powodów Trybunał większością głosów stwierdził, że zaskarżone środki nie</w:t>
      </w:r>
      <w:r w:rsidR="0072154D">
        <w:rPr>
          <w:rFonts w:asciiTheme="minorHAnsi" w:hAnsiTheme="minorHAnsi"/>
          <w:sz w:val="24"/>
          <w:lang w:val="pl-PL"/>
        </w:rPr>
        <w:t> </w:t>
      </w:r>
      <w:r w:rsidRPr="00ED0C6A">
        <w:rPr>
          <w:rFonts w:asciiTheme="minorHAnsi" w:hAnsiTheme="minorHAnsi"/>
          <w:sz w:val="24"/>
          <w:lang w:val="pl-PL"/>
        </w:rPr>
        <w:t xml:space="preserve">stanowiły pozbawienia wolności, a zatem art. 5 </w:t>
      </w:r>
      <w:r w:rsidR="00E64755" w:rsidRPr="00ED0C6A">
        <w:rPr>
          <w:rFonts w:asciiTheme="minorHAnsi" w:hAnsiTheme="minorHAnsi"/>
          <w:sz w:val="24"/>
          <w:lang w:val="pl-PL"/>
        </w:rPr>
        <w:t>Konwencji (prawo do wolności i</w:t>
      </w:r>
      <w:r w:rsidR="0072154D">
        <w:rPr>
          <w:rFonts w:asciiTheme="minorHAnsi" w:hAnsiTheme="minorHAnsi"/>
          <w:sz w:val="24"/>
          <w:lang w:val="pl-PL"/>
        </w:rPr>
        <w:t> </w:t>
      </w:r>
      <w:r w:rsidR="00E64755" w:rsidRPr="00ED0C6A">
        <w:rPr>
          <w:rFonts w:asciiTheme="minorHAnsi" w:hAnsiTheme="minorHAnsi"/>
          <w:sz w:val="24"/>
          <w:lang w:val="pl-PL"/>
        </w:rPr>
        <w:t xml:space="preserve">bezpieczeństwa osobistego) </w:t>
      </w:r>
      <w:r w:rsidRPr="00ED0C6A">
        <w:rPr>
          <w:rFonts w:asciiTheme="minorHAnsi" w:hAnsiTheme="minorHAnsi"/>
          <w:sz w:val="24"/>
          <w:lang w:val="pl-PL"/>
        </w:rPr>
        <w:t>nie miał zastosowania i zarzut w tym względzie jest</w:t>
      </w:r>
      <w:r w:rsidR="0014452D">
        <w:rPr>
          <w:rFonts w:asciiTheme="minorHAnsi" w:hAnsiTheme="minorHAnsi"/>
          <w:sz w:val="24"/>
          <w:lang w:val="pl-PL"/>
        </w:rPr>
        <w:t> </w:t>
      </w:r>
      <w:r w:rsidRPr="00ED0C6A">
        <w:rPr>
          <w:rFonts w:asciiTheme="minorHAnsi" w:hAnsiTheme="minorHAnsi"/>
          <w:sz w:val="24"/>
          <w:lang w:val="pl-PL"/>
        </w:rPr>
        <w:t xml:space="preserve">niedopuszczalny.  </w:t>
      </w:r>
    </w:p>
    <w:p w:rsidR="000E3490" w:rsidRPr="00ED0C6A" w:rsidRDefault="000E3490" w:rsidP="00F11942">
      <w:pPr>
        <w:pStyle w:val="ClinContent"/>
        <w:spacing w:before="0"/>
        <w:rPr>
          <w:rFonts w:asciiTheme="minorHAnsi" w:hAnsiTheme="minorHAnsi"/>
          <w:sz w:val="24"/>
          <w:lang w:val="pl-PL"/>
        </w:rPr>
      </w:pPr>
    </w:p>
    <w:p w:rsidR="00E64755" w:rsidRPr="00ED0C6A" w:rsidRDefault="00E64755" w:rsidP="00F11942">
      <w:pPr>
        <w:pStyle w:val="ClinContent"/>
        <w:spacing w:before="0"/>
        <w:rPr>
          <w:rFonts w:asciiTheme="minorHAnsi" w:hAnsiTheme="minorHAnsi"/>
          <w:sz w:val="24"/>
          <w:u w:val="single"/>
          <w:lang w:val="pl-PL"/>
        </w:rPr>
      </w:pPr>
      <w:r w:rsidRPr="00ED0C6A">
        <w:rPr>
          <w:rFonts w:asciiTheme="minorHAnsi" w:hAnsiTheme="minorHAnsi"/>
          <w:sz w:val="24"/>
          <w:lang w:val="pl-PL"/>
        </w:rPr>
        <w:t xml:space="preserve">Następnie Trybunał zbadał sprawę z punktu widzenia </w:t>
      </w:r>
      <w:r w:rsidRPr="00ED0C6A">
        <w:rPr>
          <w:rFonts w:asciiTheme="minorHAnsi" w:hAnsiTheme="minorHAnsi"/>
          <w:sz w:val="24"/>
          <w:u w:val="single"/>
          <w:lang w:val="pl-PL"/>
        </w:rPr>
        <w:t>a</w:t>
      </w:r>
      <w:r w:rsidR="00EE6D17" w:rsidRPr="00ED0C6A">
        <w:rPr>
          <w:rFonts w:asciiTheme="minorHAnsi" w:hAnsiTheme="minorHAnsi"/>
          <w:sz w:val="24"/>
          <w:u w:val="single"/>
          <w:lang w:val="pl-PL"/>
        </w:rPr>
        <w:t>rt. 2 Protokołu nr 4</w:t>
      </w:r>
      <w:r w:rsidRPr="00ED0C6A">
        <w:rPr>
          <w:rFonts w:asciiTheme="minorHAnsi" w:hAnsiTheme="minorHAnsi"/>
          <w:sz w:val="24"/>
          <w:u w:val="single"/>
          <w:lang w:val="pl-PL"/>
        </w:rPr>
        <w:t xml:space="preserve"> chroniącego prawo do wolności poruszania się. </w:t>
      </w:r>
    </w:p>
    <w:p w:rsidR="00E64755" w:rsidRPr="00ED0C6A" w:rsidRDefault="00E64755" w:rsidP="00F11942">
      <w:pPr>
        <w:pStyle w:val="ClinContent"/>
        <w:spacing w:before="0"/>
        <w:rPr>
          <w:rFonts w:asciiTheme="minorHAnsi" w:hAnsiTheme="minorHAnsi"/>
          <w:sz w:val="24"/>
          <w:lang w:val="pl-PL"/>
        </w:rPr>
      </w:pPr>
    </w:p>
    <w:p w:rsidR="00E64755" w:rsidRPr="00ED0C6A" w:rsidRDefault="00E64755" w:rsidP="00E64755">
      <w:pPr>
        <w:pStyle w:val="ClinContent"/>
        <w:spacing w:before="0"/>
        <w:rPr>
          <w:rFonts w:asciiTheme="minorHAnsi" w:hAnsiTheme="minorHAnsi"/>
          <w:sz w:val="24"/>
          <w:lang w:val="pl-PL"/>
        </w:rPr>
      </w:pPr>
      <w:r w:rsidRPr="00ED0C6A">
        <w:rPr>
          <w:rFonts w:asciiTheme="minorHAnsi" w:hAnsiTheme="minorHAnsi"/>
          <w:sz w:val="24"/>
          <w:lang w:val="pl-PL"/>
        </w:rPr>
        <w:t>W pierwszej kolejności odnotował, że p</w:t>
      </w:r>
      <w:r w:rsidR="00EE6D17" w:rsidRPr="00ED0C6A">
        <w:rPr>
          <w:rFonts w:asciiTheme="minorHAnsi" w:hAnsiTheme="minorHAnsi"/>
          <w:sz w:val="24"/>
          <w:lang w:val="pl-PL"/>
        </w:rPr>
        <w:t xml:space="preserve">rzedmiotowe środki miały podstawę prawną, mianowicie ustawę nr 1423/1956, zgodnie z jej wykładnią w świetle wyroków Trybunału Konstytucyjnego. </w:t>
      </w:r>
      <w:r w:rsidRPr="00ED0C6A">
        <w:rPr>
          <w:rFonts w:asciiTheme="minorHAnsi" w:hAnsiTheme="minorHAnsi"/>
          <w:sz w:val="24"/>
          <w:lang w:val="pl-PL"/>
        </w:rPr>
        <w:t>Mimo to</w:t>
      </w:r>
      <w:r w:rsidR="00EE6D17" w:rsidRPr="00ED0C6A">
        <w:rPr>
          <w:rFonts w:asciiTheme="minorHAnsi" w:hAnsiTheme="minorHAnsi"/>
          <w:sz w:val="24"/>
          <w:lang w:val="pl-PL"/>
        </w:rPr>
        <w:t>, w opinii Trybunału, nałożenie na skarżącego środków zabezpieczających nie było wystarczająco przewidywalne ani nie towarzyszyły temu</w:t>
      </w:r>
      <w:r w:rsidR="0072154D">
        <w:rPr>
          <w:rFonts w:asciiTheme="minorHAnsi" w:hAnsiTheme="minorHAnsi"/>
          <w:sz w:val="24"/>
          <w:lang w:val="pl-PL"/>
        </w:rPr>
        <w:t> </w:t>
      </w:r>
      <w:r w:rsidR="00EE6D17" w:rsidRPr="00ED0C6A">
        <w:rPr>
          <w:rFonts w:asciiTheme="minorHAnsi" w:hAnsiTheme="minorHAnsi"/>
          <w:sz w:val="24"/>
          <w:lang w:val="pl-PL"/>
        </w:rPr>
        <w:t xml:space="preserve">odpowiednie gwarancje chroniące przed różnymi możliwymi nadużyciami. </w:t>
      </w:r>
    </w:p>
    <w:p w:rsidR="00E64755" w:rsidRPr="00ED0C6A" w:rsidRDefault="00E64755" w:rsidP="0072154D">
      <w:pPr>
        <w:pStyle w:val="ClinContent"/>
        <w:spacing w:before="0"/>
        <w:jc w:val="right"/>
        <w:rPr>
          <w:rFonts w:asciiTheme="minorHAnsi" w:hAnsiTheme="minorHAnsi"/>
          <w:sz w:val="24"/>
          <w:lang w:val="pl-PL"/>
        </w:rPr>
      </w:pPr>
    </w:p>
    <w:p w:rsidR="00EE6D17" w:rsidRPr="00ED0C6A" w:rsidRDefault="00EE6D17" w:rsidP="00E64755">
      <w:pPr>
        <w:pStyle w:val="ClinContent"/>
        <w:spacing w:before="0"/>
        <w:rPr>
          <w:rFonts w:asciiTheme="minorHAnsi" w:hAnsiTheme="minorHAnsi"/>
          <w:sz w:val="24"/>
          <w:lang w:val="pl-PL"/>
        </w:rPr>
      </w:pPr>
      <w:r w:rsidRPr="00ED0C6A">
        <w:rPr>
          <w:rFonts w:asciiTheme="minorHAnsi" w:hAnsiTheme="minorHAnsi"/>
          <w:sz w:val="24"/>
          <w:lang w:val="pl-PL"/>
        </w:rPr>
        <w:t xml:space="preserve">Przedmiotowa ustawa została </w:t>
      </w:r>
      <w:r w:rsidR="00E64755" w:rsidRPr="00ED0C6A">
        <w:rPr>
          <w:rFonts w:asciiTheme="minorHAnsi" w:hAnsiTheme="minorHAnsi"/>
          <w:sz w:val="24"/>
          <w:lang w:val="pl-PL"/>
        </w:rPr>
        <w:t xml:space="preserve">bowiem </w:t>
      </w:r>
      <w:r w:rsidRPr="00ED0C6A">
        <w:rPr>
          <w:rFonts w:asciiTheme="minorHAnsi" w:hAnsiTheme="minorHAnsi"/>
          <w:sz w:val="24"/>
          <w:lang w:val="pl-PL"/>
        </w:rPr>
        <w:t>zredagowana w sposób ogólny i z uży</w:t>
      </w:r>
      <w:r w:rsidR="00E64755" w:rsidRPr="00ED0C6A">
        <w:rPr>
          <w:rFonts w:asciiTheme="minorHAnsi" w:hAnsiTheme="minorHAnsi"/>
          <w:sz w:val="24"/>
          <w:lang w:val="pl-PL"/>
        </w:rPr>
        <w:t>ciem zbyt</w:t>
      </w:r>
      <w:r w:rsidR="0072154D">
        <w:rPr>
          <w:rFonts w:asciiTheme="minorHAnsi" w:hAnsiTheme="minorHAnsi"/>
          <w:sz w:val="24"/>
          <w:lang w:val="pl-PL"/>
        </w:rPr>
        <w:t> </w:t>
      </w:r>
      <w:r w:rsidR="00E64755" w:rsidRPr="00ED0C6A">
        <w:rPr>
          <w:rFonts w:asciiTheme="minorHAnsi" w:hAnsiTheme="minorHAnsi"/>
          <w:sz w:val="24"/>
          <w:lang w:val="pl-PL"/>
        </w:rPr>
        <w:t>szerokich przesłanek. N</w:t>
      </w:r>
      <w:r w:rsidRPr="00ED0C6A">
        <w:rPr>
          <w:rFonts w:asciiTheme="minorHAnsi" w:hAnsiTheme="minorHAnsi"/>
          <w:sz w:val="24"/>
          <w:lang w:val="pl-PL"/>
        </w:rPr>
        <w:t>ie była wystarczająco jasna i precyzyjna w odniesieniu tak</w:t>
      </w:r>
      <w:r w:rsidR="0072154D">
        <w:rPr>
          <w:rFonts w:asciiTheme="minorHAnsi" w:hAnsiTheme="minorHAnsi"/>
          <w:sz w:val="24"/>
          <w:lang w:val="pl-PL"/>
        </w:rPr>
        <w:t> </w:t>
      </w:r>
      <w:r w:rsidRPr="00ED0C6A">
        <w:rPr>
          <w:rFonts w:asciiTheme="minorHAnsi" w:hAnsiTheme="minorHAnsi"/>
          <w:sz w:val="24"/>
          <w:lang w:val="pl-PL"/>
        </w:rPr>
        <w:t>co</w:t>
      </w:r>
      <w:r w:rsidR="0072154D">
        <w:rPr>
          <w:rFonts w:asciiTheme="minorHAnsi" w:hAnsiTheme="minorHAnsi"/>
          <w:sz w:val="24"/>
          <w:lang w:val="pl-PL"/>
        </w:rPr>
        <w:t> </w:t>
      </w:r>
      <w:r w:rsidRPr="00ED0C6A">
        <w:rPr>
          <w:rFonts w:asciiTheme="minorHAnsi" w:hAnsiTheme="minorHAnsi"/>
          <w:sz w:val="24"/>
          <w:lang w:val="pl-PL"/>
        </w:rPr>
        <w:t>do</w:t>
      </w:r>
      <w:r w:rsidR="0072154D">
        <w:rPr>
          <w:rFonts w:asciiTheme="minorHAnsi" w:hAnsiTheme="minorHAnsi"/>
          <w:sz w:val="24"/>
          <w:lang w:val="pl-PL"/>
        </w:rPr>
        <w:t> </w:t>
      </w:r>
      <w:r w:rsidRPr="00ED0C6A">
        <w:rPr>
          <w:rFonts w:asciiTheme="minorHAnsi" w:hAnsiTheme="minorHAnsi"/>
          <w:sz w:val="24"/>
          <w:lang w:val="pl-PL"/>
        </w:rPr>
        <w:t>osób, wobec których środki zabezpieczające miały zastosowanie (art. 1 ustawy), jak</w:t>
      </w:r>
      <w:r w:rsidR="0072154D">
        <w:rPr>
          <w:rFonts w:asciiTheme="minorHAnsi" w:hAnsiTheme="minorHAnsi"/>
          <w:sz w:val="24"/>
          <w:lang w:val="pl-PL"/>
        </w:rPr>
        <w:t> </w:t>
      </w:r>
      <w:r w:rsidRPr="00ED0C6A">
        <w:rPr>
          <w:rFonts w:asciiTheme="minorHAnsi" w:hAnsiTheme="minorHAnsi"/>
          <w:sz w:val="24"/>
          <w:lang w:val="pl-PL"/>
        </w:rPr>
        <w:t xml:space="preserve">też co do zakresu niektórych z tych środków (art. 3-5 ustawy). </w:t>
      </w:r>
    </w:p>
    <w:p w:rsidR="000E3490" w:rsidRPr="00ED0C6A" w:rsidRDefault="000E3490" w:rsidP="00F11942">
      <w:pPr>
        <w:pStyle w:val="ClinContent"/>
        <w:spacing w:before="0"/>
        <w:rPr>
          <w:rFonts w:asciiTheme="minorHAnsi" w:hAnsiTheme="minorHAnsi"/>
          <w:sz w:val="24"/>
          <w:lang w:val="pl-PL"/>
        </w:rPr>
      </w:pPr>
    </w:p>
    <w:p w:rsidR="004646F7" w:rsidRPr="00ED0C6A" w:rsidRDefault="00C0195F"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Jeśli chodzi o pierwszą z tych kwestii, tj. </w:t>
      </w:r>
      <w:r w:rsidRPr="00ED0C6A">
        <w:rPr>
          <w:rFonts w:asciiTheme="minorHAnsi" w:hAnsiTheme="minorHAnsi"/>
          <w:i/>
          <w:sz w:val="24"/>
          <w:u w:val="single"/>
          <w:lang w:val="pl-PL"/>
        </w:rPr>
        <w:t>określenie osób objętych</w:t>
      </w:r>
      <w:r w:rsidR="00EE6D17" w:rsidRPr="00ED0C6A">
        <w:rPr>
          <w:rFonts w:asciiTheme="minorHAnsi" w:hAnsiTheme="minorHAnsi"/>
          <w:i/>
          <w:sz w:val="24"/>
          <w:u w:val="single"/>
          <w:lang w:val="pl-PL"/>
        </w:rPr>
        <w:t xml:space="preserve"> środkami</w:t>
      </w:r>
      <w:r w:rsidR="00EE6D17" w:rsidRPr="00ED0C6A">
        <w:rPr>
          <w:rFonts w:asciiTheme="minorHAnsi" w:hAnsiTheme="minorHAnsi"/>
          <w:sz w:val="24"/>
          <w:lang w:val="pl-PL"/>
        </w:rPr>
        <w:t xml:space="preserve"> Trybunał uznał, że</w:t>
      </w:r>
      <w:r w:rsidR="0072154D">
        <w:rPr>
          <w:rFonts w:asciiTheme="minorHAnsi" w:hAnsiTheme="minorHAnsi"/>
          <w:sz w:val="24"/>
          <w:lang w:val="pl-PL"/>
        </w:rPr>
        <w:t> </w:t>
      </w:r>
      <w:r w:rsidR="00EE6D17" w:rsidRPr="00ED0C6A">
        <w:rPr>
          <w:rFonts w:asciiTheme="minorHAnsi" w:hAnsiTheme="minorHAnsi"/>
          <w:sz w:val="24"/>
          <w:lang w:val="pl-PL"/>
        </w:rPr>
        <w:t>ustawa nie zapewniała wystarczającej ochrony przed arbitralną ingerencją i</w:t>
      </w:r>
      <w:r w:rsidR="0072154D">
        <w:rPr>
          <w:rFonts w:asciiTheme="minorHAnsi" w:hAnsiTheme="minorHAnsi"/>
          <w:sz w:val="24"/>
          <w:lang w:val="pl-PL"/>
        </w:rPr>
        <w:t> </w:t>
      </w:r>
      <w:r w:rsidR="00EE6D17" w:rsidRPr="00ED0C6A">
        <w:rPr>
          <w:rFonts w:asciiTheme="minorHAnsi" w:hAnsiTheme="minorHAnsi"/>
          <w:sz w:val="24"/>
          <w:lang w:val="pl-PL"/>
        </w:rPr>
        <w:t>nie</w:t>
      </w:r>
      <w:r w:rsidR="0072154D">
        <w:rPr>
          <w:rFonts w:asciiTheme="minorHAnsi" w:hAnsiTheme="minorHAnsi"/>
          <w:sz w:val="24"/>
          <w:lang w:val="pl-PL"/>
        </w:rPr>
        <w:t> </w:t>
      </w:r>
      <w:r w:rsidR="00EE6D17" w:rsidRPr="00ED0C6A">
        <w:rPr>
          <w:rFonts w:asciiTheme="minorHAnsi" w:hAnsiTheme="minorHAnsi"/>
          <w:sz w:val="24"/>
          <w:lang w:val="pl-PL"/>
        </w:rPr>
        <w:t>umożliwiała skarżącemu regulowania swego zachowania i przewidzenia z wystarczającą pewnością nałożenia środków zabezpieczających</w:t>
      </w:r>
      <w:r w:rsidR="004646F7" w:rsidRPr="00ED0C6A">
        <w:rPr>
          <w:rFonts w:asciiTheme="minorHAnsi" w:hAnsiTheme="minorHAnsi"/>
          <w:sz w:val="24"/>
          <w:lang w:val="pl-PL"/>
        </w:rPr>
        <w:t xml:space="preserve"> z uwagi na brak jasnej definicji zakresu i</w:t>
      </w:r>
      <w:r w:rsidR="0072154D">
        <w:rPr>
          <w:rFonts w:asciiTheme="minorHAnsi" w:hAnsiTheme="minorHAnsi"/>
          <w:sz w:val="24"/>
          <w:lang w:val="pl-PL"/>
        </w:rPr>
        <w:t> </w:t>
      </w:r>
      <w:r w:rsidR="004646F7" w:rsidRPr="00ED0C6A">
        <w:rPr>
          <w:rFonts w:asciiTheme="minorHAnsi" w:hAnsiTheme="minorHAnsi"/>
          <w:sz w:val="24"/>
          <w:lang w:val="pl-PL"/>
        </w:rPr>
        <w:t>sposobu wykonywania przez sądy bardzo szerokiego zakresu uznania im pozostawionego.</w:t>
      </w:r>
    </w:p>
    <w:p w:rsidR="004646F7" w:rsidRPr="00ED0C6A" w:rsidRDefault="004646F7" w:rsidP="00F11942">
      <w:pPr>
        <w:pStyle w:val="ClinContent"/>
        <w:spacing w:before="0"/>
        <w:rPr>
          <w:rFonts w:asciiTheme="minorHAnsi" w:hAnsiTheme="minorHAnsi"/>
          <w:sz w:val="24"/>
          <w:lang w:val="pl-PL"/>
        </w:rPr>
      </w:pPr>
    </w:p>
    <w:p w:rsidR="00EE6D17" w:rsidRPr="00ED0C6A" w:rsidRDefault="004646F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 </w:t>
      </w:r>
      <w:r w:rsidR="00EE6D17" w:rsidRPr="00ED0C6A">
        <w:rPr>
          <w:rFonts w:asciiTheme="minorHAnsi" w:hAnsiTheme="minorHAnsi"/>
          <w:sz w:val="24"/>
          <w:lang w:val="pl-PL"/>
        </w:rPr>
        <w:t xml:space="preserve">odpowiedzi na twierdzenie, że właściwe przepisy nie były wystarczająco precyzyjne, włoski Trybunał Konstytucyjny uznał </w:t>
      </w:r>
      <w:r w:rsidRPr="00ED0C6A">
        <w:rPr>
          <w:rFonts w:asciiTheme="minorHAnsi" w:hAnsiTheme="minorHAnsi"/>
          <w:sz w:val="24"/>
          <w:lang w:val="pl-PL"/>
        </w:rPr>
        <w:t xml:space="preserve">co prawda </w:t>
      </w:r>
      <w:r w:rsidR="00EE6D17" w:rsidRPr="00ED0C6A">
        <w:rPr>
          <w:rFonts w:asciiTheme="minorHAnsi" w:hAnsiTheme="minorHAnsi"/>
          <w:sz w:val="24"/>
          <w:lang w:val="pl-PL"/>
        </w:rPr>
        <w:t>w swym niedawnym orzecznictwie, że</w:t>
      </w:r>
      <w:r w:rsidR="0072154D">
        <w:rPr>
          <w:rFonts w:asciiTheme="minorHAnsi" w:hAnsiTheme="minorHAnsi"/>
          <w:sz w:val="24"/>
          <w:lang w:val="pl-PL"/>
        </w:rPr>
        <w:t> </w:t>
      </w:r>
      <w:r w:rsidR="00EE6D17" w:rsidRPr="00ED0C6A">
        <w:rPr>
          <w:rFonts w:asciiTheme="minorHAnsi" w:hAnsiTheme="minorHAnsi"/>
          <w:sz w:val="24"/>
          <w:lang w:val="pl-PL"/>
        </w:rPr>
        <w:t>sam</w:t>
      </w:r>
      <w:r w:rsidR="0072154D">
        <w:rPr>
          <w:rFonts w:asciiTheme="minorHAnsi" w:hAnsiTheme="minorHAnsi"/>
          <w:sz w:val="24"/>
          <w:lang w:val="pl-PL"/>
        </w:rPr>
        <w:t> </w:t>
      </w:r>
      <w:r w:rsidR="00EE6D17" w:rsidRPr="00ED0C6A">
        <w:rPr>
          <w:rFonts w:asciiTheme="minorHAnsi" w:hAnsiTheme="minorHAnsi"/>
          <w:sz w:val="24"/>
          <w:lang w:val="pl-PL"/>
        </w:rPr>
        <w:t>fakt przynależności do jednej z kategorii osób, o których mowa w art. 1 ustawy, nie</w:t>
      </w:r>
      <w:r w:rsidR="0072154D">
        <w:rPr>
          <w:rFonts w:asciiTheme="minorHAnsi" w:hAnsiTheme="minorHAnsi"/>
          <w:sz w:val="24"/>
          <w:lang w:val="pl-PL"/>
        </w:rPr>
        <w:t> </w:t>
      </w:r>
      <w:r w:rsidR="00EE6D17" w:rsidRPr="00ED0C6A">
        <w:rPr>
          <w:rFonts w:asciiTheme="minorHAnsi" w:hAnsiTheme="minorHAnsi"/>
          <w:sz w:val="24"/>
          <w:lang w:val="pl-PL"/>
        </w:rPr>
        <w:t xml:space="preserve">jest wystarczający do uzasadnienia nałożenia środka zabezpieczającego, a także, że zatem środek zabezpieczający nie może być nałożony na podstawie jedynie podejrzenia. </w:t>
      </w:r>
    </w:p>
    <w:p w:rsidR="004646F7" w:rsidRPr="00ED0C6A" w:rsidRDefault="004646F7" w:rsidP="00F11942">
      <w:pPr>
        <w:pStyle w:val="ClinContent"/>
        <w:spacing w:before="0"/>
        <w:rPr>
          <w:rFonts w:asciiTheme="minorHAnsi" w:hAnsiTheme="minorHAnsi"/>
          <w:sz w:val="24"/>
          <w:lang w:val="pl-PL"/>
        </w:rPr>
      </w:pP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Pomimo tych wskazań w dalszym ciągu ani ustawa, ani Trybunał Konstytucyjny nie określili w</w:t>
      </w:r>
      <w:r w:rsidR="0072154D">
        <w:rPr>
          <w:rFonts w:asciiTheme="minorHAnsi" w:hAnsiTheme="minorHAnsi"/>
          <w:sz w:val="24"/>
          <w:lang w:val="pl-PL"/>
        </w:rPr>
        <w:t> </w:t>
      </w:r>
      <w:r w:rsidRPr="00ED0C6A">
        <w:rPr>
          <w:rFonts w:asciiTheme="minorHAnsi" w:hAnsiTheme="minorHAnsi"/>
          <w:sz w:val="24"/>
          <w:lang w:val="pl-PL"/>
        </w:rPr>
        <w:t>sposób jasny „odpowiednich dowodów” lub określonych rodzajów zachowania, które</w:t>
      </w:r>
      <w:r w:rsidR="0072154D">
        <w:rPr>
          <w:rFonts w:asciiTheme="minorHAnsi" w:hAnsiTheme="minorHAnsi"/>
          <w:sz w:val="24"/>
          <w:lang w:val="pl-PL"/>
        </w:rPr>
        <w:t> </w:t>
      </w:r>
      <w:r w:rsidRPr="00ED0C6A">
        <w:rPr>
          <w:rFonts w:asciiTheme="minorHAnsi" w:hAnsiTheme="minorHAnsi"/>
          <w:sz w:val="24"/>
          <w:lang w:val="pl-PL"/>
        </w:rPr>
        <w:t xml:space="preserve">należałoby wziąć pod uwagę w celu oceny zagrożenia dla społeczeństwa stwarzanego przez jednostkę. </w:t>
      </w:r>
    </w:p>
    <w:p w:rsidR="004646F7" w:rsidRPr="00ED0C6A" w:rsidRDefault="004646F7" w:rsidP="00F11942">
      <w:pPr>
        <w:pStyle w:val="ClinContent"/>
        <w:spacing w:before="0"/>
        <w:rPr>
          <w:rFonts w:asciiTheme="minorHAnsi" w:hAnsiTheme="minorHAnsi"/>
          <w:sz w:val="24"/>
          <w:lang w:val="pl-PL"/>
        </w:rPr>
      </w:pPr>
    </w:p>
    <w:p w:rsidR="00EE6D17" w:rsidRPr="00ED0C6A" w:rsidRDefault="004646F7" w:rsidP="00F11942">
      <w:pPr>
        <w:pStyle w:val="ClinContent"/>
        <w:spacing w:before="0"/>
        <w:rPr>
          <w:rFonts w:asciiTheme="minorHAnsi" w:hAnsiTheme="minorHAnsi"/>
          <w:sz w:val="24"/>
          <w:lang w:val="pl-PL"/>
        </w:rPr>
      </w:pPr>
      <w:r w:rsidRPr="00ED0C6A">
        <w:rPr>
          <w:rFonts w:asciiTheme="minorHAnsi" w:hAnsiTheme="minorHAnsi"/>
          <w:sz w:val="24"/>
          <w:lang w:val="pl-PL"/>
        </w:rPr>
        <w:t>W</w:t>
      </w:r>
      <w:r w:rsidR="00EE6D17" w:rsidRPr="00ED0C6A">
        <w:rPr>
          <w:rFonts w:asciiTheme="minorHAnsi" w:hAnsiTheme="minorHAnsi"/>
          <w:sz w:val="24"/>
          <w:lang w:val="pl-PL"/>
        </w:rPr>
        <w:t xml:space="preserve"> obecnej sprawie Sąd Rejonowy oparł swe postanowienie na istnieniu „aktywnych” tendencji przestępczych po stronie skarżącego, jednakże nie przypisał mu żadnego określonego zachowania lub działalności przestępczej.</w:t>
      </w:r>
      <w:r w:rsidRPr="00ED0C6A">
        <w:rPr>
          <w:rFonts w:asciiTheme="minorHAnsi" w:hAnsiTheme="minorHAnsi"/>
          <w:sz w:val="24"/>
          <w:lang w:val="pl-PL"/>
        </w:rPr>
        <w:t xml:space="preserve"> Trybunał zwrócił również uwagę na</w:t>
      </w:r>
      <w:r w:rsidR="0072154D">
        <w:rPr>
          <w:rFonts w:asciiTheme="minorHAnsi" w:hAnsiTheme="minorHAnsi"/>
          <w:sz w:val="24"/>
          <w:lang w:val="pl-PL"/>
        </w:rPr>
        <w:t> </w:t>
      </w:r>
      <w:r w:rsidRPr="00ED0C6A">
        <w:rPr>
          <w:rFonts w:asciiTheme="minorHAnsi" w:hAnsiTheme="minorHAnsi"/>
          <w:sz w:val="24"/>
          <w:lang w:val="pl-PL"/>
        </w:rPr>
        <w:t xml:space="preserve">fakt, że sąd </w:t>
      </w:r>
      <w:r w:rsidR="00EE6D17" w:rsidRPr="00ED0C6A">
        <w:rPr>
          <w:rFonts w:asciiTheme="minorHAnsi" w:hAnsiTheme="minorHAnsi"/>
          <w:sz w:val="24"/>
          <w:lang w:val="pl-PL"/>
        </w:rPr>
        <w:t>wymienił</w:t>
      </w:r>
      <w:r w:rsidRPr="00ED0C6A">
        <w:rPr>
          <w:rFonts w:asciiTheme="minorHAnsi" w:hAnsiTheme="minorHAnsi"/>
          <w:sz w:val="24"/>
          <w:lang w:val="pl-PL"/>
        </w:rPr>
        <w:t xml:space="preserve"> </w:t>
      </w:r>
      <w:r w:rsidR="00EE6D17" w:rsidRPr="00ED0C6A">
        <w:rPr>
          <w:rFonts w:asciiTheme="minorHAnsi" w:hAnsiTheme="minorHAnsi"/>
          <w:sz w:val="24"/>
          <w:lang w:val="pl-PL"/>
        </w:rPr>
        <w:t>– jako podstawę do zastosowania środka zabezpieczającego – fakt, że skarżący nie ma „stałego i legalnego zatrudnienia”, a także, że jego życie charakteryzowało się regularnymi kontaktami z prominentnymi lokalnymi przestępcami (</w:t>
      </w:r>
      <w:proofErr w:type="spellStart"/>
      <w:r w:rsidR="00EE6D17" w:rsidRPr="00ED0C6A">
        <w:rPr>
          <w:rFonts w:asciiTheme="minorHAnsi" w:hAnsiTheme="minorHAnsi"/>
          <w:i/>
          <w:sz w:val="24"/>
          <w:lang w:val="pl-PL"/>
        </w:rPr>
        <w:t>malavita</w:t>
      </w:r>
      <w:proofErr w:type="spellEnd"/>
      <w:r w:rsidR="00EE6D17" w:rsidRPr="00ED0C6A">
        <w:rPr>
          <w:rFonts w:asciiTheme="minorHAnsi" w:hAnsiTheme="minorHAnsi"/>
          <w:sz w:val="24"/>
          <w:lang w:val="pl-PL"/>
        </w:rPr>
        <w:t>) oraz popełnianiem przestępstw.</w:t>
      </w:r>
      <w:r w:rsidRPr="00ED0C6A">
        <w:rPr>
          <w:rFonts w:asciiTheme="minorHAnsi" w:hAnsiTheme="minorHAnsi"/>
          <w:sz w:val="24"/>
          <w:lang w:val="pl-PL"/>
        </w:rPr>
        <w:t xml:space="preserve"> </w:t>
      </w:r>
      <w:r w:rsidR="00EE6D17" w:rsidRPr="00ED0C6A">
        <w:rPr>
          <w:rFonts w:asciiTheme="minorHAnsi" w:hAnsiTheme="minorHAnsi"/>
          <w:sz w:val="24"/>
          <w:lang w:val="pl-PL"/>
        </w:rPr>
        <w:t>Innymi słowy, sąd oparł swe uzasadnienie na</w:t>
      </w:r>
      <w:r w:rsidR="0072154D">
        <w:rPr>
          <w:rFonts w:asciiTheme="minorHAnsi" w:hAnsiTheme="minorHAnsi"/>
          <w:sz w:val="24"/>
          <w:lang w:val="pl-PL"/>
        </w:rPr>
        <w:t> </w:t>
      </w:r>
      <w:r w:rsidR="00EE6D17" w:rsidRPr="00ED0C6A">
        <w:rPr>
          <w:rFonts w:asciiTheme="minorHAnsi" w:hAnsiTheme="minorHAnsi"/>
          <w:sz w:val="24"/>
          <w:lang w:val="pl-PL"/>
        </w:rPr>
        <w:t xml:space="preserve">założeniu istnienia „przestępczych tendencji”, a więc kryterium, które Trybunał Konstytucyjny uznał już za niewystarczające. </w:t>
      </w:r>
    </w:p>
    <w:p w:rsidR="00C0195F" w:rsidRPr="00ED0C6A" w:rsidRDefault="00C0195F" w:rsidP="00F11942">
      <w:pPr>
        <w:pStyle w:val="ClinContent"/>
        <w:spacing w:before="0"/>
        <w:rPr>
          <w:rFonts w:asciiTheme="minorHAnsi" w:hAnsiTheme="minorHAnsi"/>
          <w:sz w:val="24"/>
          <w:lang w:val="pl-PL"/>
        </w:rPr>
      </w:pPr>
    </w:p>
    <w:p w:rsidR="00EE6D17" w:rsidRPr="00ED0C6A" w:rsidRDefault="004646F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Jeśli chodzi o drugą z kwestii, tj. </w:t>
      </w:r>
      <w:r w:rsidRPr="00ED0C6A">
        <w:rPr>
          <w:rFonts w:asciiTheme="minorHAnsi" w:hAnsiTheme="minorHAnsi"/>
          <w:i/>
          <w:sz w:val="24"/>
          <w:u w:val="single"/>
          <w:lang w:val="pl-PL"/>
        </w:rPr>
        <w:t>określenie z</w:t>
      </w:r>
      <w:r w:rsidR="00EE6D17" w:rsidRPr="00ED0C6A">
        <w:rPr>
          <w:rFonts w:asciiTheme="minorHAnsi" w:hAnsiTheme="minorHAnsi"/>
          <w:i/>
          <w:sz w:val="24"/>
          <w:u w:val="single"/>
          <w:lang w:val="pl-PL"/>
        </w:rPr>
        <w:t>akres</w:t>
      </w:r>
      <w:r w:rsidRPr="00ED0C6A">
        <w:rPr>
          <w:rFonts w:asciiTheme="minorHAnsi" w:hAnsiTheme="minorHAnsi"/>
          <w:i/>
          <w:sz w:val="24"/>
          <w:u w:val="single"/>
          <w:lang w:val="pl-PL"/>
        </w:rPr>
        <w:t>u</w:t>
      </w:r>
      <w:r w:rsidR="00EE6D17" w:rsidRPr="00ED0C6A">
        <w:rPr>
          <w:rFonts w:asciiTheme="minorHAnsi" w:hAnsiTheme="minorHAnsi"/>
          <w:i/>
          <w:sz w:val="24"/>
          <w:u w:val="single"/>
          <w:lang w:val="pl-PL"/>
        </w:rPr>
        <w:t xml:space="preserve"> środków</w:t>
      </w:r>
      <w:r w:rsidR="002C7F6D" w:rsidRPr="00ED0C6A">
        <w:rPr>
          <w:rFonts w:asciiTheme="minorHAnsi" w:hAnsiTheme="minorHAnsi"/>
          <w:i/>
          <w:sz w:val="24"/>
          <w:u w:val="single"/>
          <w:lang w:val="pl-PL"/>
        </w:rPr>
        <w:t>,</w:t>
      </w:r>
      <w:r w:rsidR="00EE6D17" w:rsidRPr="00ED0C6A">
        <w:rPr>
          <w:rFonts w:asciiTheme="minorHAnsi" w:hAnsiTheme="minorHAnsi"/>
          <w:i/>
          <w:sz w:val="24"/>
          <w:lang w:val="pl-PL"/>
        </w:rPr>
        <w:t xml:space="preserve"> </w:t>
      </w:r>
      <w:r w:rsidRPr="00ED0C6A">
        <w:rPr>
          <w:rFonts w:asciiTheme="minorHAnsi" w:hAnsiTheme="minorHAnsi"/>
          <w:sz w:val="24"/>
          <w:lang w:val="pl-PL"/>
        </w:rPr>
        <w:t>Trybunał skrytykował następujące aspekty:</w:t>
      </w:r>
    </w:p>
    <w:p w:rsidR="004646F7" w:rsidRPr="00ED0C6A" w:rsidRDefault="004646F7" w:rsidP="00F11942">
      <w:pPr>
        <w:pStyle w:val="ClinContent"/>
        <w:spacing w:before="0"/>
        <w:rPr>
          <w:rFonts w:asciiTheme="minorHAnsi" w:hAnsiTheme="minorHAnsi"/>
          <w:sz w:val="24"/>
          <w:lang w:val="pl-PL"/>
        </w:rPr>
      </w:pPr>
    </w:p>
    <w:p w:rsidR="004646F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(i) </w:t>
      </w:r>
      <w:r w:rsidR="004646F7" w:rsidRPr="00ED0C6A">
        <w:rPr>
          <w:rFonts w:asciiTheme="minorHAnsi" w:hAnsiTheme="minorHAnsi"/>
          <w:i/>
          <w:sz w:val="24"/>
          <w:u w:val="single"/>
          <w:lang w:val="pl-PL"/>
        </w:rPr>
        <w:t xml:space="preserve">nieprecyzyjną definicję </w:t>
      </w:r>
      <w:r w:rsidRPr="00ED0C6A">
        <w:rPr>
          <w:rFonts w:asciiTheme="minorHAnsi" w:hAnsiTheme="minorHAnsi"/>
          <w:i/>
          <w:sz w:val="24"/>
          <w:u w:val="single"/>
          <w:lang w:val="pl-PL"/>
        </w:rPr>
        <w:t>niektórych obowiązków</w:t>
      </w:r>
      <w:r w:rsidR="004646F7" w:rsidRPr="00ED0C6A">
        <w:rPr>
          <w:rFonts w:asciiTheme="minorHAnsi" w:hAnsiTheme="minorHAnsi"/>
          <w:sz w:val="24"/>
          <w:lang w:val="pl-PL"/>
        </w:rPr>
        <w:t>:</w:t>
      </w:r>
      <w:r w:rsidRPr="00ED0C6A">
        <w:rPr>
          <w:rFonts w:asciiTheme="minorHAnsi" w:hAnsiTheme="minorHAnsi"/>
          <w:sz w:val="24"/>
          <w:lang w:val="pl-PL"/>
        </w:rPr>
        <w:t xml:space="preserve"> </w:t>
      </w:r>
    </w:p>
    <w:p w:rsidR="00EE6D17" w:rsidRPr="00ED0C6A" w:rsidRDefault="004646F7" w:rsidP="00F11942">
      <w:pPr>
        <w:pStyle w:val="ClinContent"/>
        <w:spacing w:before="0"/>
        <w:rPr>
          <w:rFonts w:asciiTheme="minorHAnsi" w:hAnsiTheme="minorHAnsi"/>
          <w:sz w:val="24"/>
          <w:lang w:val="pl-PL"/>
        </w:rPr>
      </w:pPr>
      <w:r w:rsidRPr="00ED0C6A">
        <w:rPr>
          <w:rFonts w:asciiTheme="minorHAnsi" w:hAnsiTheme="minorHAnsi"/>
          <w:sz w:val="24"/>
          <w:lang w:val="pl-PL"/>
        </w:rPr>
        <w:t>U</w:t>
      </w:r>
      <w:r w:rsidR="00EE6D17" w:rsidRPr="00ED0C6A">
        <w:rPr>
          <w:rFonts w:asciiTheme="minorHAnsi" w:hAnsiTheme="minorHAnsi"/>
          <w:sz w:val="24"/>
          <w:lang w:val="pl-PL"/>
        </w:rPr>
        <w:t>stawa przewidywała możliwość nałożenia ogólnych i niejasnych obowiązków, takich</w:t>
      </w:r>
      <w:r w:rsidR="0072154D">
        <w:rPr>
          <w:rFonts w:asciiTheme="minorHAnsi" w:hAnsiTheme="minorHAnsi"/>
          <w:sz w:val="24"/>
          <w:lang w:val="pl-PL"/>
        </w:rPr>
        <w:t> </w:t>
      </w:r>
      <w:r w:rsidR="00EE6D17" w:rsidRPr="00ED0C6A">
        <w:rPr>
          <w:rFonts w:asciiTheme="minorHAnsi" w:hAnsiTheme="minorHAnsi"/>
          <w:sz w:val="24"/>
          <w:lang w:val="pl-PL"/>
        </w:rPr>
        <w:t>jak</w:t>
      </w:r>
      <w:r w:rsidR="0072154D">
        <w:rPr>
          <w:rFonts w:asciiTheme="minorHAnsi" w:hAnsiTheme="minorHAnsi"/>
          <w:sz w:val="24"/>
          <w:lang w:val="pl-PL"/>
        </w:rPr>
        <w:t> </w:t>
      </w:r>
      <w:r w:rsidR="00EE6D17" w:rsidRPr="00ED0C6A">
        <w:rPr>
          <w:rFonts w:asciiTheme="minorHAnsi" w:hAnsiTheme="minorHAnsi"/>
          <w:sz w:val="24"/>
          <w:lang w:val="pl-PL"/>
        </w:rPr>
        <w:t>„prowadzenie życia uczciwego i w zgodzie z prawem” oraz „niedawanie podstaw do</w:t>
      </w:r>
      <w:r w:rsidR="0072154D">
        <w:rPr>
          <w:rFonts w:asciiTheme="minorHAnsi" w:hAnsiTheme="minorHAnsi"/>
          <w:sz w:val="24"/>
          <w:lang w:val="pl-PL"/>
        </w:rPr>
        <w:t> </w:t>
      </w:r>
      <w:r w:rsidR="00EE6D17" w:rsidRPr="00ED0C6A">
        <w:rPr>
          <w:rFonts w:asciiTheme="minorHAnsi" w:hAnsiTheme="minorHAnsi"/>
          <w:sz w:val="24"/>
          <w:lang w:val="pl-PL"/>
        </w:rPr>
        <w:t xml:space="preserve">podejrzeń”, pozwalając także sądom na nakładanie „wszelkich innych środków uznanych za konieczne” z punktu widzenia wymogów ochrony społeczeństwa. </w:t>
      </w:r>
    </w:p>
    <w:p w:rsidR="004646F7" w:rsidRPr="00ED0C6A" w:rsidRDefault="004646F7" w:rsidP="00F11942">
      <w:pPr>
        <w:pStyle w:val="ClinContent"/>
        <w:spacing w:before="0"/>
        <w:rPr>
          <w:rFonts w:asciiTheme="minorHAnsi" w:hAnsiTheme="minorHAnsi"/>
          <w:sz w:val="24"/>
          <w:lang w:val="pl-PL"/>
        </w:rPr>
      </w:pPr>
    </w:p>
    <w:p w:rsidR="00EE6D17" w:rsidRPr="00ED0C6A" w:rsidRDefault="004646F7" w:rsidP="00F11942">
      <w:pPr>
        <w:pStyle w:val="ClinContent"/>
        <w:spacing w:before="0"/>
        <w:rPr>
          <w:rFonts w:asciiTheme="minorHAnsi" w:hAnsiTheme="minorHAnsi"/>
          <w:sz w:val="24"/>
          <w:lang w:val="pl-PL"/>
        </w:rPr>
      </w:pPr>
      <w:r w:rsidRPr="00ED0C6A">
        <w:rPr>
          <w:rFonts w:asciiTheme="minorHAnsi" w:hAnsiTheme="minorHAnsi"/>
          <w:sz w:val="24"/>
          <w:lang w:val="pl-PL"/>
        </w:rPr>
        <w:t>Zdaniem Trybunału, o</w:t>
      </w:r>
      <w:r w:rsidR="00EE6D17" w:rsidRPr="00ED0C6A">
        <w:rPr>
          <w:rFonts w:asciiTheme="minorHAnsi" w:hAnsiTheme="minorHAnsi"/>
          <w:sz w:val="24"/>
          <w:lang w:val="pl-PL"/>
        </w:rPr>
        <w:t>rzecznictwo Trybunału Konstytucy</w:t>
      </w:r>
      <w:r w:rsidRPr="00ED0C6A">
        <w:rPr>
          <w:rFonts w:asciiTheme="minorHAnsi" w:hAnsiTheme="minorHAnsi"/>
          <w:sz w:val="24"/>
          <w:lang w:val="pl-PL"/>
        </w:rPr>
        <w:t>jnego nie naprawiło tych braków.</w:t>
      </w:r>
      <w:r w:rsidR="00EE6D17" w:rsidRPr="00ED0C6A">
        <w:rPr>
          <w:rFonts w:asciiTheme="minorHAnsi" w:hAnsiTheme="minorHAnsi"/>
          <w:sz w:val="24"/>
          <w:lang w:val="pl-PL"/>
        </w:rPr>
        <w:t xml:space="preserve"> </w:t>
      </w:r>
      <w:r w:rsidRPr="00ED0C6A">
        <w:rPr>
          <w:rFonts w:asciiTheme="minorHAnsi" w:hAnsiTheme="minorHAnsi"/>
          <w:sz w:val="24"/>
          <w:lang w:val="pl-PL"/>
        </w:rPr>
        <w:t>O</w:t>
      </w:r>
      <w:r w:rsidR="00EE6D17" w:rsidRPr="00ED0C6A">
        <w:rPr>
          <w:rFonts w:asciiTheme="minorHAnsi" w:hAnsiTheme="minorHAnsi"/>
          <w:sz w:val="24"/>
          <w:lang w:val="pl-PL"/>
        </w:rPr>
        <w:t xml:space="preserve">dwołując się do równie nieokreślonych terminów lub do całego włoskiego systemu prawnego, Trybunał Konstytucyjny nie przedstawił żadnego dalszego wyjaśnienia odnośnie do szczegółowych norm, których nieprzestrzeganie dodatkowo wskazywałoby na zagrożenie dla społeczeństwa ze strony danej osoby. </w:t>
      </w:r>
    </w:p>
    <w:p w:rsidR="004646F7" w:rsidRPr="00ED0C6A" w:rsidRDefault="004646F7" w:rsidP="00F11942">
      <w:pPr>
        <w:pStyle w:val="ClinContent"/>
        <w:spacing w:before="0"/>
        <w:rPr>
          <w:rFonts w:asciiTheme="minorHAnsi" w:hAnsiTheme="minorHAnsi"/>
          <w:sz w:val="24"/>
          <w:lang w:val="pl-PL"/>
        </w:rPr>
      </w:pPr>
    </w:p>
    <w:p w:rsidR="004646F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(ii) </w:t>
      </w:r>
      <w:r w:rsidR="004646F7" w:rsidRPr="00ED0C6A">
        <w:rPr>
          <w:rFonts w:asciiTheme="minorHAnsi" w:hAnsiTheme="minorHAnsi"/>
          <w:i/>
          <w:sz w:val="24"/>
          <w:u w:val="single"/>
          <w:lang w:val="pl-PL"/>
        </w:rPr>
        <w:t>z</w:t>
      </w:r>
      <w:r w:rsidRPr="00ED0C6A">
        <w:rPr>
          <w:rFonts w:asciiTheme="minorHAnsi" w:hAnsiTheme="minorHAnsi"/>
          <w:i/>
          <w:sz w:val="24"/>
          <w:u w:val="single"/>
          <w:lang w:val="pl-PL"/>
        </w:rPr>
        <w:t>akaz uczęszczania na spotkania publiczne</w:t>
      </w:r>
      <w:r w:rsidR="004646F7" w:rsidRPr="00ED0C6A">
        <w:rPr>
          <w:rFonts w:asciiTheme="minorHAnsi" w:hAnsiTheme="minorHAnsi"/>
          <w:sz w:val="24"/>
          <w:lang w:val="pl-PL"/>
        </w:rPr>
        <w:t>:</w:t>
      </w: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Środki przewidziane przez ustawę i nałożone na skarżącego obejmowały również zakaz uczęszczania na spotkania publiczne. </w:t>
      </w:r>
      <w:r w:rsidR="004646F7" w:rsidRPr="00ED0C6A">
        <w:rPr>
          <w:rFonts w:asciiTheme="minorHAnsi" w:hAnsiTheme="minorHAnsi"/>
          <w:sz w:val="24"/>
          <w:lang w:val="pl-PL"/>
        </w:rPr>
        <w:t>Trybunał dostrzegł, że w</w:t>
      </w:r>
      <w:r w:rsidRPr="00ED0C6A">
        <w:rPr>
          <w:rFonts w:asciiTheme="minorHAnsi" w:hAnsiTheme="minorHAnsi"/>
          <w:sz w:val="24"/>
          <w:lang w:val="pl-PL"/>
        </w:rPr>
        <w:t xml:space="preserve"> istocie był to zakaz o</w:t>
      </w:r>
      <w:r w:rsidR="0072154D">
        <w:rPr>
          <w:rFonts w:asciiTheme="minorHAnsi" w:hAnsiTheme="minorHAnsi"/>
          <w:sz w:val="24"/>
          <w:lang w:val="pl-PL"/>
        </w:rPr>
        <w:t> </w:t>
      </w:r>
      <w:r w:rsidRPr="00ED0C6A">
        <w:rPr>
          <w:rFonts w:asciiTheme="minorHAnsi" w:hAnsiTheme="minorHAnsi"/>
          <w:sz w:val="24"/>
          <w:lang w:val="pl-PL"/>
        </w:rPr>
        <w:t>charakterze bezwzględnym. Ustawa nie określała żadnych granic czasowych ani</w:t>
      </w:r>
      <w:r w:rsidR="0072154D">
        <w:rPr>
          <w:rFonts w:asciiTheme="minorHAnsi" w:hAnsiTheme="minorHAnsi"/>
          <w:sz w:val="24"/>
          <w:lang w:val="pl-PL"/>
        </w:rPr>
        <w:t> </w:t>
      </w:r>
      <w:r w:rsidRPr="00ED0C6A">
        <w:rPr>
          <w:rFonts w:asciiTheme="minorHAnsi" w:hAnsiTheme="minorHAnsi"/>
          <w:sz w:val="24"/>
          <w:lang w:val="pl-PL"/>
        </w:rPr>
        <w:t xml:space="preserve">przestrzennych dla możliwości ograniczenia tej podstawowej wolności, pozostawiając sprawę całkowicie do uznania sędziego i nie wskazując z wystarczającą jasnością zakresu tego uznania ani sposobu jego wykonywania. </w:t>
      </w:r>
    </w:p>
    <w:p w:rsidR="004646F7" w:rsidRPr="00ED0C6A" w:rsidRDefault="004646F7" w:rsidP="00F11942">
      <w:pPr>
        <w:pStyle w:val="ClinContent"/>
        <w:spacing w:before="0"/>
        <w:rPr>
          <w:rFonts w:asciiTheme="minorHAnsi" w:hAnsiTheme="minorHAnsi"/>
          <w:sz w:val="24"/>
          <w:lang w:val="pl-PL"/>
        </w:rPr>
      </w:pPr>
    </w:p>
    <w:p w:rsidR="00EE6D17" w:rsidRPr="00ED0C6A" w:rsidRDefault="004646F7" w:rsidP="00F11942">
      <w:pPr>
        <w:pStyle w:val="ClinContent"/>
        <w:spacing w:before="0"/>
        <w:rPr>
          <w:rFonts w:asciiTheme="minorHAnsi" w:hAnsiTheme="minorHAnsi"/>
          <w:sz w:val="24"/>
          <w:lang w:val="pl-PL"/>
        </w:rPr>
      </w:pPr>
      <w:r w:rsidRPr="00ED0C6A">
        <w:rPr>
          <w:rFonts w:asciiTheme="minorHAnsi" w:hAnsiTheme="minorHAnsi"/>
          <w:sz w:val="24"/>
          <w:lang w:val="pl-PL"/>
        </w:rPr>
        <w:t>Ze wszystkich powyższych powodów Trybunał jednomyślnie orzekł, że w sprawie doszło do</w:t>
      </w:r>
      <w:r w:rsidR="0072154D">
        <w:rPr>
          <w:rFonts w:asciiTheme="minorHAnsi" w:hAnsiTheme="minorHAnsi"/>
          <w:sz w:val="24"/>
          <w:lang w:val="pl-PL"/>
        </w:rPr>
        <w:t> </w:t>
      </w:r>
      <w:r w:rsidRPr="00ED0C6A">
        <w:rPr>
          <w:rFonts w:asciiTheme="minorHAnsi" w:hAnsiTheme="minorHAnsi"/>
          <w:sz w:val="24"/>
          <w:lang w:val="pl-PL"/>
        </w:rPr>
        <w:t xml:space="preserve">naruszenia </w:t>
      </w:r>
      <w:r w:rsidR="00F02C95" w:rsidRPr="00ED0C6A">
        <w:rPr>
          <w:rFonts w:asciiTheme="minorHAnsi" w:hAnsiTheme="minorHAnsi"/>
          <w:sz w:val="24"/>
          <w:lang w:val="pl-PL"/>
        </w:rPr>
        <w:t>art. 2 ust. 1 Protokołu nr 4 do Konwencji (prawo do swobodnego poruszania się)</w:t>
      </w:r>
      <w:r w:rsidR="00EE6D17" w:rsidRPr="00ED0C6A">
        <w:rPr>
          <w:rFonts w:asciiTheme="minorHAnsi" w:hAnsiTheme="minorHAnsi"/>
          <w:sz w:val="24"/>
          <w:lang w:val="pl-PL"/>
        </w:rPr>
        <w:t>.</w:t>
      </w:r>
    </w:p>
    <w:p w:rsidR="00F02C95" w:rsidRPr="00ED0C6A" w:rsidRDefault="00F02C95" w:rsidP="00F11942">
      <w:pPr>
        <w:pStyle w:val="ClinContent"/>
        <w:spacing w:before="0"/>
        <w:rPr>
          <w:rFonts w:asciiTheme="minorHAnsi" w:hAnsiTheme="minorHAnsi"/>
          <w:sz w:val="24"/>
          <w:lang w:val="pl-PL"/>
        </w:rPr>
      </w:pPr>
    </w:p>
    <w:p w:rsidR="00D95D9A" w:rsidRPr="00ED0C6A" w:rsidRDefault="00D95D9A"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Kolejną kwestią zawisłą przed Trybunałem w tej sprawie, byłą kwestia braku publicznego rozpatrzenia przez sądy sprawy skarżącego. </w:t>
      </w:r>
      <w:r w:rsidR="00EE6D17" w:rsidRPr="00ED0C6A">
        <w:rPr>
          <w:rFonts w:asciiTheme="minorHAnsi" w:hAnsiTheme="minorHAnsi"/>
          <w:sz w:val="24"/>
          <w:lang w:val="pl-PL"/>
        </w:rPr>
        <w:t xml:space="preserve">Rząd przedłożył deklarację jednostronną przyznającą, że doszło do naruszenia art. 6 ust. 1 Konwencji wobec skarżącego </w:t>
      </w:r>
      <w:r w:rsidRPr="00ED0C6A">
        <w:rPr>
          <w:rFonts w:asciiTheme="minorHAnsi" w:hAnsiTheme="minorHAnsi"/>
          <w:sz w:val="24"/>
          <w:lang w:val="pl-PL"/>
        </w:rPr>
        <w:t>w</w:t>
      </w:r>
      <w:r w:rsidR="0072154D">
        <w:rPr>
          <w:rFonts w:asciiTheme="minorHAnsi" w:hAnsiTheme="minorHAnsi"/>
          <w:sz w:val="24"/>
          <w:lang w:val="pl-PL"/>
        </w:rPr>
        <w:t> </w:t>
      </w:r>
      <w:r w:rsidRPr="00ED0C6A">
        <w:rPr>
          <w:rFonts w:asciiTheme="minorHAnsi" w:hAnsiTheme="minorHAnsi"/>
          <w:sz w:val="24"/>
          <w:lang w:val="pl-PL"/>
        </w:rPr>
        <w:t>tym</w:t>
      </w:r>
      <w:r w:rsidR="0072154D">
        <w:rPr>
          <w:rFonts w:asciiTheme="minorHAnsi" w:hAnsiTheme="minorHAnsi"/>
          <w:sz w:val="24"/>
          <w:lang w:val="pl-PL"/>
        </w:rPr>
        <w:t> </w:t>
      </w:r>
      <w:r w:rsidRPr="00ED0C6A">
        <w:rPr>
          <w:rFonts w:asciiTheme="minorHAnsi" w:hAnsiTheme="minorHAnsi"/>
          <w:sz w:val="24"/>
          <w:lang w:val="pl-PL"/>
        </w:rPr>
        <w:t xml:space="preserve">zakresie </w:t>
      </w:r>
      <w:r w:rsidR="00EE6D17" w:rsidRPr="00ED0C6A">
        <w:rPr>
          <w:rFonts w:asciiTheme="minorHAnsi" w:hAnsiTheme="minorHAnsi"/>
          <w:sz w:val="24"/>
          <w:lang w:val="pl-PL"/>
        </w:rPr>
        <w:t xml:space="preserve">i zobowiązał się do wypłacenia mu kwoty pieniężnej tytułem kosztów procesowych (ale nie tytułem szkody niematerialnej).  </w:t>
      </w:r>
    </w:p>
    <w:p w:rsidR="00D95D9A" w:rsidRPr="00ED0C6A" w:rsidRDefault="00D95D9A" w:rsidP="00F11942">
      <w:pPr>
        <w:pStyle w:val="ClinContent"/>
        <w:spacing w:before="0"/>
        <w:rPr>
          <w:rFonts w:asciiTheme="minorHAnsi" w:hAnsiTheme="minorHAnsi"/>
          <w:sz w:val="24"/>
          <w:lang w:val="pl-PL"/>
        </w:rPr>
      </w:pPr>
    </w:p>
    <w:p w:rsidR="00EE6D17" w:rsidRPr="00ED0C6A" w:rsidRDefault="00D95D9A" w:rsidP="00F11942">
      <w:pPr>
        <w:pStyle w:val="ClinContent"/>
        <w:spacing w:before="0"/>
        <w:rPr>
          <w:rFonts w:asciiTheme="minorHAnsi" w:hAnsiTheme="minorHAnsi"/>
          <w:sz w:val="24"/>
          <w:lang w:val="pl-PL"/>
        </w:rPr>
      </w:pPr>
      <w:r w:rsidRPr="00ED0C6A">
        <w:rPr>
          <w:rFonts w:asciiTheme="minorHAnsi" w:hAnsiTheme="minorHAnsi"/>
          <w:sz w:val="24"/>
          <w:lang w:val="pl-PL"/>
        </w:rPr>
        <w:t>Trybunał jednak nie przyjął tej deklaracji Rządu i jednomyślnie odmówił skreślenia sprawy z</w:t>
      </w:r>
      <w:r w:rsidR="0072154D">
        <w:rPr>
          <w:rFonts w:asciiTheme="minorHAnsi" w:hAnsiTheme="minorHAnsi"/>
          <w:sz w:val="24"/>
          <w:lang w:val="pl-PL"/>
        </w:rPr>
        <w:t> </w:t>
      </w:r>
      <w:r w:rsidRPr="00ED0C6A">
        <w:rPr>
          <w:rFonts w:asciiTheme="minorHAnsi" w:hAnsiTheme="minorHAnsi"/>
          <w:sz w:val="24"/>
          <w:lang w:val="pl-PL"/>
        </w:rPr>
        <w:t xml:space="preserve">listy skarg na podstawie art. 37 ust. 1 Konwencji. Przypomniał, że </w:t>
      </w:r>
      <w:r w:rsidR="00EE6D17" w:rsidRPr="00ED0C6A">
        <w:rPr>
          <w:rFonts w:asciiTheme="minorHAnsi" w:hAnsiTheme="minorHAnsi"/>
          <w:sz w:val="24"/>
          <w:lang w:val="pl-PL"/>
        </w:rPr>
        <w:t>odmiennie niż</w:t>
      </w:r>
      <w:r w:rsidR="0072154D">
        <w:rPr>
          <w:rFonts w:asciiTheme="minorHAnsi" w:hAnsiTheme="minorHAnsi"/>
          <w:sz w:val="24"/>
          <w:lang w:val="pl-PL"/>
        </w:rPr>
        <w:t> </w:t>
      </w:r>
      <w:r w:rsidR="00EE6D17" w:rsidRPr="00ED0C6A">
        <w:rPr>
          <w:rFonts w:asciiTheme="minorHAnsi" w:hAnsiTheme="minorHAnsi"/>
          <w:sz w:val="24"/>
          <w:lang w:val="pl-PL"/>
        </w:rPr>
        <w:t>w</w:t>
      </w:r>
      <w:r w:rsidR="0072154D">
        <w:rPr>
          <w:rFonts w:asciiTheme="minorHAnsi" w:hAnsiTheme="minorHAnsi"/>
          <w:sz w:val="24"/>
          <w:lang w:val="pl-PL"/>
        </w:rPr>
        <w:t> </w:t>
      </w:r>
      <w:r w:rsidR="00EE6D17" w:rsidRPr="00ED0C6A">
        <w:rPr>
          <w:rFonts w:asciiTheme="minorHAnsi" w:hAnsiTheme="minorHAnsi"/>
          <w:sz w:val="24"/>
          <w:lang w:val="pl-PL"/>
        </w:rPr>
        <w:t xml:space="preserve">sprawach środków zabezpieczających dotyczących mienia, </w:t>
      </w:r>
      <w:r w:rsidRPr="00ED0C6A">
        <w:rPr>
          <w:rFonts w:asciiTheme="minorHAnsi" w:hAnsiTheme="minorHAnsi"/>
          <w:sz w:val="24"/>
          <w:lang w:val="pl-PL"/>
        </w:rPr>
        <w:t xml:space="preserve">nie wydawał </w:t>
      </w:r>
      <w:r w:rsidR="00EE6D17" w:rsidRPr="00ED0C6A">
        <w:rPr>
          <w:rFonts w:asciiTheme="minorHAnsi" w:hAnsiTheme="minorHAnsi"/>
          <w:sz w:val="24"/>
          <w:lang w:val="pl-PL"/>
        </w:rPr>
        <w:t>wcześniejszych rozstrzygnięć odnośnie do tego, czy art. 6 ust. 1 ma zastosowanie w odniesieniu do</w:t>
      </w:r>
      <w:r w:rsidR="0072154D">
        <w:rPr>
          <w:rFonts w:asciiTheme="minorHAnsi" w:hAnsiTheme="minorHAnsi"/>
          <w:sz w:val="24"/>
          <w:lang w:val="pl-PL"/>
        </w:rPr>
        <w:t> </w:t>
      </w:r>
      <w:r w:rsidR="00EE6D17" w:rsidRPr="00ED0C6A">
        <w:rPr>
          <w:rFonts w:asciiTheme="minorHAnsi" w:hAnsiTheme="minorHAnsi"/>
          <w:sz w:val="24"/>
          <w:lang w:val="pl-PL"/>
        </w:rPr>
        <w:t>postępowań w sprawie nałożenia środków zabezpieczających dotyczących osób, takich</w:t>
      </w:r>
      <w:r w:rsidR="00D435EF">
        <w:rPr>
          <w:rFonts w:asciiTheme="minorHAnsi" w:hAnsiTheme="minorHAnsi"/>
          <w:sz w:val="24"/>
          <w:lang w:val="pl-PL"/>
        </w:rPr>
        <w:t> </w:t>
      </w:r>
      <w:r w:rsidR="00EE6D17" w:rsidRPr="00ED0C6A">
        <w:rPr>
          <w:rFonts w:asciiTheme="minorHAnsi" w:hAnsiTheme="minorHAnsi"/>
          <w:sz w:val="24"/>
          <w:lang w:val="pl-PL"/>
        </w:rPr>
        <w:t>jak śr</w:t>
      </w:r>
      <w:r w:rsidRPr="00ED0C6A">
        <w:rPr>
          <w:rFonts w:asciiTheme="minorHAnsi" w:hAnsiTheme="minorHAnsi"/>
          <w:sz w:val="24"/>
          <w:lang w:val="pl-PL"/>
        </w:rPr>
        <w:t>odki nałożone w obecnej sprawie. Nie rozstrzygał także</w:t>
      </w:r>
      <w:r w:rsidR="00EE6D17" w:rsidRPr="00ED0C6A">
        <w:rPr>
          <w:rFonts w:asciiTheme="minorHAnsi" w:hAnsiTheme="minorHAnsi"/>
          <w:sz w:val="24"/>
          <w:lang w:val="pl-PL"/>
        </w:rPr>
        <w:t>, czy rozpatrzenie takich</w:t>
      </w:r>
      <w:r w:rsidR="00D435EF">
        <w:rPr>
          <w:rFonts w:asciiTheme="minorHAnsi" w:hAnsiTheme="minorHAnsi"/>
          <w:sz w:val="24"/>
          <w:lang w:val="pl-PL"/>
        </w:rPr>
        <w:t> </w:t>
      </w:r>
      <w:r w:rsidR="00EE6D17" w:rsidRPr="00ED0C6A">
        <w:rPr>
          <w:rFonts w:asciiTheme="minorHAnsi" w:hAnsiTheme="minorHAnsi"/>
          <w:sz w:val="24"/>
          <w:lang w:val="pl-PL"/>
        </w:rPr>
        <w:t xml:space="preserve">spraw powinno mieć miejsce na rozprawach odbywających się jawnie.  </w:t>
      </w:r>
    </w:p>
    <w:p w:rsidR="00EE6D17" w:rsidRPr="00ED0C6A" w:rsidRDefault="00D95D9A" w:rsidP="00F11942">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EE6D17" w:rsidRPr="00ED0C6A" w:rsidRDefault="00D95D9A" w:rsidP="00D95D9A">
      <w:pPr>
        <w:pStyle w:val="ClinContent"/>
        <w:spacing w:before="0"/>
        <w:rPr>
          <w:rFonts w:asciiTheme="minorHAnsi" w:hAnsiTheme="minorHAnsi"/>
          <w:sz w:val="24"/>
          <w:lang w:val="pl-PL"/>
        </w:rPr>
      </w:pPr>
      <w:r w:rsidRPr="00ED0C6A">
        <w:rPr>
          <w:rFonts w:asciiTheme="minorHAnsi" w:hAnsiTheme="minorHAnsi"/>
          <w:sz w:val="24"/>
          <w:lang w:val="pl-PL"/>
        </w:rPr>
        <w:t xml:space="preserve">Oceniając zatem, </w:t>
      </w:r>
      <w:r w:rsidRPr="00ED0C6A">
        <w:rPr>
          <w:rFonts w:asciiTheme="minorHAnsi" w:hAnsiTheme="minorHAnsi"/>
          <w:i/>
          <w:sz w:val="24"/>
          <w:u w:val="single"/>
          <w:lang w:val="pl-PL"/>
        </w:rPr>
        <w:t>czy a</w:t>
      </w:r>
      <w:r w:rsidR="00EE6D17" w:rsidRPr="00ED0C6A">
        <w:rPr>
          <w:rFonts w:asciiTheme="minorHAnsi" w:hAnsiTheme="minorHAnsi"/>
          <w:i/>
          <w:sz w:val="24"/>
          <w:u w:val="single"/>
          <w:lang w:val="pl-PL"/>
        </w:rPr>
        <w:t>rt. 6 ust. 1</w:t>
      </w:r>
      <w:r w:rsidRPr="00ED0C6A">
        <w:rPr>
          <w:rFonts w:asciiTheme="minorHAnsi" w:hAnsiTheme="minorHAnsi"/>
          <w:i/>
          <w:sz w:val="24"/>
          <w:u w:val="single"/>
          <w:lang w:val="pl-PL"/>
        </w:rPr>
        <w:t xml:space="preserve"> Konwencji (prawo do rzetelnego procesu sądowego) ma</w:t>
      </w:r>
      <w:r w:rsidR="0072154D">
        <w:rPr>
          <w:rFonts w:asciiTheme="minorHAnsi" w:hAnsiTheme="minorHAnsi"/>
          <w:i/>
          <w:sz w:val="24"/>
          <w:u w:val="single"/>
          <w:lang w:val="pl-PL"/>
        </w:rPr>
        <w:t> </w:t>
      </w:r>
      <w:r w:rsidRPr="00ED0C6A">
        <w:rPr>
          <w:rFonts w:asciiTheme="minorHAnsi" w:hAnsiTheme="minorHAnsi"/>
          <w:i/>
          <w:sz w:val="24"/>
          <w:u w:val="single"/>
          <w:lang w:val="pl-PL"/>
        </w:rPr>
        <w:t>zastosowanie</w:t>
      </w:r>
      <w:r w:rsidRPr="00ED0C6A">
        <w:rPr>
          <w:rFonts w:asciiTheme="minorHAnsi" w:hAnsiTheme="minorHAnsi"/>
          <w:sz w:val="24"/>
          <w:lang w:val="pl-PL"/>
        </w:rPr>
        <w:t>, Trybunał na wstępie uznał, że nie ma on zastosowania w aspekcie karnym. S</w:t>
      </w:r>
      <w:r w:rsidR="00EE6D17" w:rsidRPr="00ED0C6A">
        <w:rPr>
          <w:rFonts w:asciiTheme="minorHAnsi" w:hAnsiTheme="minorHAnsi"/>
          <w:sz w:val="24"/>
          <w:lang w:val="pl-PL"/>
        </w:rPr>
        <w:t xml:space="preserve">zczególny nadzór nie ma </w:t>
      </w:r>
      <w:r w:rsidRPr="00ED0C6A">
        <w:rPr>
          <w:rFonts w:asciiTheme="minorHAnsi" w:hAnsiTheme="minorHAnsi"/>
          <w:sz w:val="24"/>
          <w:lang w:val="pl-PL"/>
        </w:rPr>
        <w:t xml:space="preserve">bowiem </w:t>
      </w:r>
      <w:r w:rsidR="00EE6D17" w:rsidRPr="00ED0C6A">
        <w:rPr>
          <w:rFonts w:asciiTheme="minorHAnsi" w:hAnsiTheme="minorHAnsi"/>
          <w:sz w:val="24"/>
          <w:lang w:val="pl-PL"/>
        </w:rPr>
        <w:t xml:space="preserve">charakteru porównywalnego do sankcji karnej, zważywszy że postępowanie dotyczące skarżącego nie obejmowało rozstrzygania w sprawie „oskarżenia … w sprawie karnej”. </w:t>
      </w:r>
    </w:p>
    <w:p w:rsidR="00D95D9A" w:rsidRPr="00ED0C6A" w:rsidRDefault="00D95D9A" w:rsidP="00D95D9A">
      <w:pPr>
        <w:pStyle w:val="ClinContent"/>
        <w:spacing w:before="0"/>
        <w:rPr>
          <w:rFonts w:asciiTheme="minorHAnsi" w:hAnsiTheme="minorHAnsi"/>
          <w:sz w:val="24"/>
          <w:lang w:val="pl-PL"/>
        </w:rPr>
      </w:pP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Jednakże</w:t>
      </w:r>
      <w:r w:rsidR="00D95D9A" w:rsidRPr="00ED0C6A">
        <w:rPr>
          <w:rFonts w:asciiTheme="minorHAnsi" w:hAnsiTheme="minorHAnsi"/>
          <w:sz w:val="24"/>
          <w:lang w:val="pl-PL"/>
        </w:rPr>
        <w:t xml:space="preserve"> przypomniał</w:t>
      </w:r>
      <w:r w:rsidRPr="00ED0C6A">
        <w:rPr>
          <w:rFonts w:asciiTheme="minorHAnsi" w:hAnsiTheme="minorHAnsi"/>
          <w:sz w:val="24"/>
          <w:lang w:val="pl-PL"/>
        </w:rPr>
        <w:t xml:space="preserve">, </w:t>
      </w:r>
      <w:r w:rsidR="00D95D9A" w:rsidRPr="00ED0C6A">
        <w:rPr>
          <w:rFonts w:asciiTheme="minorHAnsi" w:hAnsiTheme="minorHAnsi"/>
          <w:sz w:val="24"/>
          <w:lang w:val="pl-PL"/>
        </w:rPr>
        <w:t xml:space="preserve">że </w:t>
      </w:r>
      <w:r w:rsidRPr="00ED0C6A">
        <w:rPr>
          <w:rFonts w:asciiTheme="minorHAnsi" w:hAnsiTheme="minorHAnsi"/>
          <w:sz w:val="24"/>
          <w:lang w:val="pl-PL"/>
        </w:rPr>
        <w:t>orzecznictwo Trybunału poszło w kierunku stosowania art. 6 w</w:t>
      </w:r>
      <w:r w:rsidR="0072154D">
        <w:rPr>
          <w:rFonts w:asciiTheme="minorHAnsi" w:hAnsiTheme="minorHAnsi"/>
          <w:sz w:val="24"/>
          <w:lang w:val="pl-PL"/>
        </w:rPr>
        <w:t> </w:t>
      </w:r>
      <w:r w:rsidRPr="00ED0C6A">
        <w:rPr>
          <w:rFonts w:asciiTheme="minorHAnsi" w:hAnsiTheme="minorHAnsi"/>
          <w:sz w:val="24"/>
          <w:lang w:val="pl-PL"/>
        </w:rPr>
        <w:t>jego aspekcie cywilnym do spraw, w których początkowo może nie wydawać się, że</w:t>
      </w:r>
      <w:r w:rsidR="0072154D">
        <w:rPr>
          <w:rFonts w:asciiTheme="minorHAnsi" w:hAnsiTheme="minorHAnsi"/>
          <w:sz w:val="24"/>
          <w:lang w:val="pl-PL"/>
        </w:rPr>
        <w:t> </w:t>
      </w:r>
      <w:r w:rsidRPr="00ED0C6A">
        <w:rPr>
          <w:rFonts w:asciiTheme="minorHAnsi" w:hAnsiTheme="minorHAnsi"/>
          <w:sz w:val="24"/>
          <w:lang w:val="pl-PL"/>
        </w:rPr>
        <w:t>dotyczą one prawa o charakterze cywilnym, a które mogą jednak mieć bezpośrednie i</w:t>
      </w:r>
      <w:r w:rsidR="0072154D">
        <w:rPr>
          <w:rFonts w:asciiTheme="minorHAnsi" w:hAnsiTheme="minorHAnsi"/>
          <w:sz w:val="24"/>
          <w:lang w:val="pl-PL"/>
        </w:rPr>
        <w:t> </w:t>
      </w:r>
      <w:r w:rsidRPr="00ED0C6A">
        <w:rPr>
          <w:rFonts w:asciiTheme="minorHAnsi" w:hAnsiTheme="minorHAnsi"/>
          <w:sz w:val="24"/>
          <w:lang w:val="pl-PL"/>
        </w:rPr>
        <w:t xml:space="preserve">znaczące skutki dla  prawa prywatnego przynależnego jednostce (zobacz </w:t>
      </w:r>
      <w:proofErr w:type="spellStart"/>
      <w:r w:rsidRPr="00ED0C6A">
        <w:rPr>
          <w:rFonts w:asciiTheme="minorHAnsi" w:hAnsiTheme="minorHAnsi"/>
          <w:i/>
          <w:sz w:val="24"/>
          <w:lang w:val="pl-PL"/>
        </w:rPr>
        <w:t>Alexandre</w:t>
      </w:r>
      <w:proofErr w:type="spellEnd"/>
      <w:r w:rsidRPr="00ED0C6A">
        <w:rPr>
          <w:rFonts w:asciiTheme="minorHAnsi" w:hAnsiTheme="minorHAnsi"/>
          <w:i/>
          <w:sz w:val="24"/>
          <w:lang w:val="pl-PL"/>
        </w:rPr>
        <w:t xml:space="preserve"> p. Portugalii</w:t>
      </w:r>
      <w:r w:rsidRPr="00ED0C6A">
        <w:rPr>
          <w:rFonts w:asciiTheme="minorHAnsi" w:hAnsiTheme="minorHAnsi"/>
          <w:sz w:val="24"/>
          <w:lang w:val="pl-PL"/>
        </w:rPr>
        <w:t>, skarga nr 33197/09, 20 listopada 2</w:t>
      </w:r>
      <w:r w:rsidR="00502C85" w:rsidRPr="00ED0C6A">
        <w:rPr>
          <w:rFonts w:asciiTheme="minorHAnsi" w:hAnsiTheme="minorHAnsi"/>
          <w:sz w:val="24"/>
          <w:lang w:val="pl-PL"/>
        </w:rPr>
        <w:t>012 r.</w:t>
      </w:r>
      <w:r w:rsidRPr="00ED0C6A">
        <w:rPr>
          <w:rFonts w:asciiTheme="minorHAnsi" w:hAnsiTheme="minorHAnsi"/>
          <w:sz w:val="24"/>
          <w:lang w:val="pl-PL"/>
        </w:rPr>
        <w:t xml:space="preserve">, oraz </w:t>
      </w:r>
      <w:proofErr w:type="spellStart"/>
      <w:r w:rsidRPr="00ED0C6A">
        <w:rPr>
          <w:rFonts w:asciiTheme="minorHAnsi" w:hAnsiTheme="minorHAnsi"/>
          <w:i/>
          <w:sz w:val="24"/>
          <w:lang w:val="pl-PL"/>
        </w:rPr>
        <w:t>Pocius</w:t>
      </w:r>
      <w:proofErr w:type="spellEnd"/>
      <w:r w:rsidRPr="00ED0C6A">
        <w:rPr>
          <w:rFonts w:asciiTheme="minorHAnsi" w:hAnsiTheme="minorHAnsi"/>
          <w:i/>
          <w:sz w:val="24"/>
          <w:lang w:val="pl-PL"/>
        </w:rPr>
        <w:t xml:space="preserve"> p. Litwie</w:t>
      </w:r>
      <w:r w:rsidRPr="00ED0C6A">
        <w:rPr>
          <w:rFonts w:asciiTheme="minorHAnsi" w:hAnsiTheme="minorHAnsi"/>
          <w:sz w:val="24"/>
          <w:lang w:val="pl-PL"/>
        </w:rPr>
        <w:t>, skarga nr</w:t>
      </w:r>
      <w:r w:rsidR="0072154D">
        <w:rPr>
          <w:rFonts w:asciiTheme="minorHAnsi" w:hAnsiTheme="minorHAnsi"/>
          <w:sz w:val="24"/>
          <w:lang w:val="pl-PL"/>
        </w:rPr>
        <w:t> </w:t>
      </w:r>
      <w:r w:rsidRPr="00ED0C6A">
        <w:rPr>
          <w:rFonts w:asciiTheme="minorHAnsi" w:hAnsiTheme="minorHAnsi"/>
          <w:sz w:val="24"/>
          <w:lang w:val="pl-PL"/>
        </w:rPr>
        <w:t>35601/04, 6 lipca 2010 r.).</w:t>
      </w:r>
    </w:p>
    <w:p w:rsidR="00D95D9A" w:rsidRPr="00ED0C6A" w:rsidRDefault="00D95D9A" w:rsidP="00F11942">
      <w:pPr>
        <w:pStyle w:val="ClinContent"/>
        <w:spacing w:before="0"/>
        <w:rPr>
          <w:rFonts w:asciiTheme="minorHAnsi" w:hAnsiTheme="minorHAnsi"/>
          <w:sz w:val="24"/>
          <w:lang w:val="pl-PL"/>
        </w:rPr>
      </w:pP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W obecnej sprawie obowiązki obejmujące zakazy opuszczania rejonu zamieszkania, opuszczania domu między godz. 22:00 a godz. 6:00, uczęszczania na spotkania publiczne i</w:t>
      </w:r>
      <w:r w:rsidR="0072154D">
        <w:rPr>
          <w:rFonts w:asciiTheme="minorHAnsi" w:hAnsiTheme="minorHAnsi"/>
          <w:sz w:val="24"/>
          <w:lang w:val="pl-PL"/>
        </w:rPr>
        <w:t> </w:t>
      </w:r>
      <w:r w:rsidRPr="00ED0C6A">
        <w:rPr>
          <w:rFonts w:asciiTheme="minorHAnsi" w:hAnsiTheme="minorHAnsi"/>
          <w:sz w:val="24"/>
          <w:lang w:val="pl-PL"/>
        </w:rPr>
        <w:t xml:space="preserve">korzystania z telefonów komórkowych lub urządzeń komunikacji radiowej niewątpliwie dotyczyły sfery praw osobistych i jako takie miały charakter cywilny (zobacz, </w:t>
      </w:r>
      <w:r w:rsidRPr="00ED0C6A">
        <w:rPr>
          <w:rFonts w:asciiTheme="minorHAnsi" w:hAnsiTheme="minorHAnsi"/>
          <w:i/>
          <w:sz w:val="24"/>
          <w:lang w:val="pl-PL"/>
        </w:rPr>
        <w:t>mutatis mutandis</w:t>
      </w:r>
      <w:r w:rsidRPr="00ED0C6A">
        <w:rPr>
          <w:rFonts w:asciiTheme="minorHAnsi" w:hAnsiTheme="minorHAnsi"/>
          <w:sz w:val="24"/>
          <w:lang w:val="pl-PL"/>
        </w:rPr>
        <w:t xml:space="preserve">, </w:t>
      </w:r>
      <w:r w:rsidRPr="00ED0C6A">
        <w:rPr>
          <w:rFonts w:asciiTheme="minorHAnsi" w:hAnsiTheme="minorHAnsi"/>
          <w:i/>
          <w:sz w:val="24"/>
          <w:lang w:val="pl-PL"/>
        </w:rPr>
        <w:t>Enea p. Włochom</w:t>
      </w:r>
      <w:r w:rsidRPr="00ED0C6A">
        <w:rPr>
          <w:rFonts w:asciiTheme="minorHAnsi" w:hAnsiTheme="minorHAnsi"/>
          <w:sz w:val="24"/>
          <w:lang w:val="pl-PL"/>
        </w:rPr>
        <w:t xml:space="preserve"> [Wielka Izba], skarga nr 74912/01, 17 września 2009 r., oraz</w:t>
      </w:r>
      <w:r w:rsidR="0072154D">
        <w:rPr>
          <w:rFonts w:asciiTheme="minorHAnsi" w:hAnsiTheme="minorHAnsi"/>
          <w:sz w:val="24"/>
          <w:lang w:val="pl-PL"/>
        </w:rPr>
        <w:t> </w:t>
      </w:r>
      <w:proofErr w:type="spellStart"/>
      <w:r w:rsidRPr="00ED0C6A">
        <w:rPr>
          <w:rFonts w:asciiTheme="minorHAnsi" w:hAnsiTheme="minorHAnsi"/>
          <w:i/>
          <w:sz w:val="24"/>
          <w:lang w:val="pl-PL"/>
        </w:rPr>
        <w:t>Ganci</w:t>
      </w:r>
      <w:proofErr w:type="spellEnd"/>
      <w:r w:rsidRPr="00ED0C6A">
        <w:rPr>
          <w:rFonts w:asciiTheme="minorHAnsi" w:hAnsiTheme="minorHAnsi"/>
          <w:i/>
          <w:sz w:val="24"/>
          <w:lang w:val="pl-PL"/>
        </w:rPr>
        <w:t xml:space="preserve"> p. Włochom</w:t>
      </w:r>
      <w:r w:rsidRPr="00ED0C6A">
        <w:rPr>
          <w:rFonts w:asciiTheme="minorHAnsi" w:hAnsiTheme="minorHAnsi"/>
          <w:sz w:val="24"/>
          <w:lang w:val="pl-PL"/>
        </w:rPr>
        <w:t>, skarga nr 41576/98, 30 październik</w:t>
      </w:r>
      <w:r w:rsidR="00502C85" w:rsidRPr="00ED0C6A">
        <w:rPr>
          <w:rFonts w:asciiTheme="minorHAnsi" w:hAnsiTheme="minorHAnsi"/>
          <w:sz w:val="24"/>
          <w:lang w:val="pl-PL"/>
        </w:rPr>
        <w:t>a 2003 r.</w:t>
      </w:r>
      <w:r w:rsidRPr="00ED0C6A">
        <w:rPr>
          <w:rFonts w:asciiTheme="minorHAnsi" w:hAnsiTheme="minorHAnsi"/>
          <w:sz w:val="24"/>
          <w:lang w:val="pl-PL"/>
        </w:rPr>
        <w:t>).</w:t>
      </w:r>
    </w:p>
    <w:p w:rsidR="00D95D9A" w:rsidRPr="00ED0C6A" w:rsidRDefault="00D95D9A" w:rsidP="00F11942">
      <w:pPr>
        <w:pStyle w:val="ClinContent"/>
        <w:spacing w:before="0"/>
        <w:rPr>
          <w:rFonts w:asciiTheme="minorHAnsi" w:hAnsiTheme="minorHAnsi"/>
          <w:sz w:val="24"/>
          <w:lang w:val="pl-PL"/>
        </w:rPr>
      </w:pPr>
    </w:p>
    <w:p w:rsidR="00EE6D17" w:rsidRPr="00ED0C6A" w:rsidRDefault="00EE6D17" w:rsidP="00F11942">
      <w:pPr>
        <w:pStyle w:val="ClinContent"/>
        <w:spacing w:before="0"/>
        <w:rPr>
          <w:rFonts w:asciiTheme="minorHAnsi" w:hAnsiTheme="minorHAnsi"/>
          <w:i/>
          <w:sz w:val="24"/>
          <w:lang w:val="pl-PL"/>
        </w:rPr>
      </w:pPr>
      <w:r w:rsidRPr="00ED0C6A">
        <w:rPr>
          <w:rFonts w:asciiTheme="minorHAnsi" w:hAnsiTheme="minorHAnsi"/>
          <w:sz w:val="24"/>
          <w:lang w:val="pl-PL"/>
        </w:rPr>
        <w:t>W odniesieniu do tych praw „prawdziwy i poważny spór”</w:t>
      </w:r>
      <w:r w:rsidR="00D95D9A" w:rsidRPr="00ED0C6A">
        <w:rPr>
          <w:rFonts w:asciiTheme="minorHAnsi" w:hAnsiTheme="minorHAnsi"/>
          <w:sz w:val="24"/>
          <w:lang w:val="pl-PL"/>
        </w:rPr>
        <w:t xml:space="preserve"> pojawił się</w:t>
      </w:r>
      <w:r w:rsidRPr="00ED0C6A">
        <w:rPr>
          <w:rFonts w:asciiTheme="minorHAnsi" w:hAnsiTheme="minorHAnsi"/>
          <w:sz w:val="24"/>
          <w:lang w:val="pl-PL"/>
        </w:rPr>
        <w:t xml:space="preserve">, gdy Sąd Rejonowy poddał skarżącego szczególnemu nadzorowi, oddalając jego argumenty. Spór został ostatecznie rozstrzygnięty wyrokiem Sądu Apelacyjnego, który przyznał, że środek zabezpieczający nałożony na skarżącego był bezprawny. </w:t>
      </w:r>
      <w:r w:rsidR="00D95D9A" w:rsidRPr="00ED0C6A">
        <w:rPr>
          <w:rFonts w:asciiTheme="minorHAnsi" w:hAnsiTheme="minorHAnsi"/>
          <w:sz w:val="24"/>
          <w:lang w:val="pl-PL"/>
        </w:rPr>
        <w:t xml:space="preserve">A zatem art. 6 ust. 1 w aspekcie cywilnym ma zastosowanie. </w:t>
      </w:r>
      <w:r w:rsidR="00D95D9A" w:rsidRPr="00ED0C6A">
        <w:rPr>
          <w:rFonts w:asciiTheme="minorHAnsi" w:hAnsiTheme="minorHAnsi"/>
          <w:i/>
          <w:sz w:val="24"/>
          <w:lang w:val="pl-PL"/>
        </w:rPr>
        <w:t xml:space="preserve"> </w:t>
      </w:r>
    </w:p>
    <w:p w:rsidR="00D95D9A" w:rsidRPr="00ED0C6A" w:rsidRDefault="00D95D9A" w:rsidP="00F11942">
      <w:pPr>
        <w:pStyle w:val="ClinContent"/>
        <w:spacing w:before="0"/>
        <w:rPr>
          <w:rFonts w:asciiTheme="minorHAnsi" w:hAnsiTheme="minorHAnsi"/>
          <w:i/>
          <w:sz w:val="24"/>
          <w:lang w:val="pl-PL"/>
        </w:rPr>
      </w:pPr>
    </w:p>
    <w:p w:rsidR="00EE6D17" w:rsidRPr="00ED0C6A" w:rsidRDefault="00D95D9A"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Trybunał zbadał zatem skargę na podstawie art. 6 ust. 1 w aspekcie dotyczącym </w:t>
      </w:r>
      <w:r w:rsidRPr="00ED0C6A">
        <w:rPr>
          <w:rFonts w:asciiTheme="minorHAnsi" w:hAnsiTheme="minorHAnsi"/>
          <w:i/>
          <w:sz w:val="24"/>
          <w:u w:val="single"/>
          <w:lang w:val="pl-PL"/>
        </w:rPr>
        <w:t>braku</w:t>
      </w:r>
      <w:r w:rsidR="0072154D">
        <w:rPr>
          <w:rFonts w:asciiTheme="minorHAnsi" w:hAnsiTheme="minorHAnsi"/>
          <w:i/>
          <w:sz w:val="24"/>
          <w:u w:val="single"/>
          <w:lang w:val="pl-PL"/>
        </w:rPr>
        <w:t> </w:t>
      </w:r>
      <w:r w:rsidRPr="00ED0C6A">
        <w:rPr>
          <w:rFonts w:asciiTheme="minorHAnsi" w:hAnsiTheme="minorHAnsi"/>
          <w:i/>
          <w:sz w:val="24"/>
          <w:u w:val="single"/>
          <w:lang w:val="pl-PL"/>
        </w:rPr>
        <w:t>publicznego rozpatrzenia sprawy</w:t>
      </w:r>
      <w:r w:rsidRPr="00ED0C6A">
        <w:rPr>
          <w:rFonts w:asciiTheme="minorHAnsi" w:hAnsiTheme="minorHAnsi"/>
          <w:sz w:val="24"/>
          <w:lang w:val="pl-PL"/>
        </w:rPr>
        <w:t>. Zauważył, że s</w:t>
      </w:r>
      <w:r w:rsidR="00EE6D17" w:rsidRPr="00ED0C6A">
        <w:rPr>
          <w:rFonts w:asciiTheme="minorHAnsi" w:hAnsiTheme="minorHAnsi"/>
          <w:sz w:val="24"/>
          <w:lang w:val="pl-PL"/>
        </w:rPr>
        <w:t xml:space="preserve">karżący nie miał możliwości </w:t>
      </w:r>
      <w:r w:rsidR="0006124D" w:rsidRPr="00ED0C6A">
        <w:rPr>
          <w:rFonts w:asciiTheme="minorHAnsi" w:hAnsiTheme="minorHAnsi"/>
          <w:sz w:val="24"/>
          <w:lang w:val="pl-PL"/>
        </w:rPr>
        <w:t>z</w:t>
      </w:r>
      <w:r w:rsidR="00EE6D17" w:rsidRPr="00ED0C6A">
        <w:rPr>
          <w:rFonts w:asciiTheme="minorHAnsi" w:hAnsiTheme="minorHAnsi"/>
          <w:sz w:val="24"/>
          <w:lang w:val="pl-PL"/>
        </w:rPr>
        <w:t xml:space="preserve">akwestionowania przedmiotowego środka na rozprawie odbywającej się jawnie. Trybunał przypomniał, że obowiązek przeprowadzenia jawnej rozprawy nie ma charakteru bezwzględnego, gdyż okoliczności mogą uzasadniać rezygnację z rozprawy w zależności przede wszystkim od charakteru kwestii, które mają rozstrzygnąć sądy krajowe. </w:t>
      </w:r>
    </w:p>
    <w:p w:rsidR="00D95D9A" w:rsidRPr="00ED0C6A" w:rsidRDefault="00D95D9A" w:rsidP="00F11942">
      <w:pPr>
        <w:pStyle w:val="ClinContent"/>
        <w:spacing w:before="0"/>
        <w:rPr>
          <w:rFonts w:asciiTheme="minorHAnsi" w:hAnsiTheme="minorHAnsi"/>
          <w:sz w:val="24"/>
          <w:lang w:val="pl-PL"/>
        </w:rPr>
      </w:pP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Okoliczności obecnej sprawy przemawiały </w:t>
      </w:r>
      <w:r w:rsidR="00D95D9A" w:rsidRPr="00ED0C6A">
        <w:rPr>
          <w:rFonts w:asciiTheme="minorHAnsi" w:hAnsiTheme="minorHAnsi"/>
          <w:sz w:val="24"/>
          <w:lang w:val="pl-PL"/>
        </w:rPr>
        <w:t xml:space="preserve">jednak </w:t>
      </w:r>
      <w:r w:rsidRPr="00ED0C6A">
        <w:rPr>
          <w:rFonts w:asciiTheme="minorHAnsi" w:hAnsiTheme="minorHAnsi"/>
          <w:sz w:val="24"/>
          <w:lang w:val="pl-PL"/>
        </w:rPr>
        <w:t>za potrzebą przeprowadzenia rozprawy odbywającej się jawnie, biorąc pod uwagę, że sądy krajowe musiały ocenić takie aspekty jak</w:t>
      </w:r>
      <w:r w:rsidR="0072154D">
        <w:rPr>
          <w:rFonts w:asciiTheme="minorHAnsi" w:hAnsiTheme="minorHAnsi"/>
          <w:sz w:val="24"/>
          <w:lang w:val="pl-PL"/>
        </w:rPr>
        <w:t> </w:t>
      </w:r>
      <w:r w:rsidRPr="00ED0C6A">
        <w:rPr>
          <w:rFonts w:asciiTheme="minorHAnsi" w:hAnsiTheme="minorHAnsi"/>
          <w:sz w:val="24"/>
          <w:lang w:val="pl-PL"/>
        </w:rPr>
        <w:t>charakter, zachowanie i zagrożenie ze strony skarżącego, a wszystkie te kwestie były</w:t>
      </w:r>
      <w:r w:rsidR="00F17FD9">
        <w:rPr>
          <w:rFonts w:asciiTheme="minorHAnsi" w:hAnsiTheme="minorHAnsi"/>
          <w:sz w:val="24"/>
          <w:lang w:val="pl-PL"/>
        </w:rPr>
        <w:t> </w:t>
      </w:r>
      <w:r w:rsidRPr="00ED0C6A">
        <w:rPr>
          <w:rFonts w:asciiTheme="minorHAnsi" w:hAnsiTheme="minorHAnsi"/>
          <w:sz w:val="24"/>
          <w:lang w:val="pl-PL"/>
        </w:rPr>
        <w:t>decydujące dla nałożenia środka zabezpieczającego.</w:t>
      </w:r>
      <w:r w:rsidR="00D95D9A" w:rsidRPr="00ED0C6A">
        <w:rPr>
          <w:rFonts w:asciiTheme="minorHAnsi" w:hAnsiTheme="minorHAnsi"/>
          <w:sz w:val="24"/>
          <w:lang w:val="pl-PL"/>
        </w:rPr>
        <w:t xml:space="preserve"> Z tych względów Trybunał jednomyślnie orzekł, że naruszone zostało prawo skarżącego do rzetelnego procesu sądowego, chronione art. 6 ust. 1 Konwencji. </w:t>
      </w:r>
      <w:r w:rsidRPr="00ED0C6A">
        <w:rPr>
          <w:rFonts w:asciiTheme="minorHAnsi" w:hAnsiTheme="minorHAnsi"/>
          <w:sz w:val="24"/>
          <w:lang w:val="pl-PL"/>
        </w:rPr>
        <w:t xml:space="preserve"> </w:t>
      </w:r>
    </w:p>
    <w:p w:rsidR="00EE6D17" w:rsidRPr="00ED0C6A" w:rsidRDefault="00D95D9A" w:rsidP="00F11942">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D95D9A"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Trybunał orzekł również, czternastoma głosami do trzech, że nie doszło do naruszenia art. 6 ust. 1 w zakresie rzetelności postępowania, w szczególności w odniesieniu do oceny dowodów przez sąd pierwszej instancji, a także, dwunastoma głosami do pięciu, że</w:t>
      </w:r>
      <w:r w:rsidR="0072154D">
        <w:rPr>
          <w:rFonts w:asciiTheme="minorHAnsi" w:hAnsiTheme="minorHAnsi"/>
          <w:sz w:val="24"/>
          <w:lang w:val="pl-PL"/>
        </w:rPr>
        <w:t> </w:t>
      </w:r>
      <w:r w:rsidRPr="00ED0C6A">
        <w:rPr>
          <w:rFonts w:asciiTheme="minorHAnsi" w:hAnsiTheme="minorHAnsi"/>
          <w:sz w:val="24"/>
          <w:lang w:val="pl-PL"/>
        </w:rPr>
        <w:t>nie</w:t>
      </w:r>
      <w:r w:rsidR="0072154D">
        <w:rPr>
          <w:rFonts w:asciiTheme="minorHAnsi" w:hAnsiTheme="minorHAnsi"/>
          <w:sz w:val="24"/>
          <w:lang w:val="pl-PL"/>
        </w:rPr>
        <w:t> </w:t>
      </w:r>
      <w:r w:rsidRPr="00ED0C6A">
        <w:rPr>
          <w:rFonts w:asciiTheme="minorHAnsi" w:hAnsiTheme="minorHAnsi"/>
          <w:sz w:val="24"/>
          <w:lang w:val="pl-PL"/>
        </w:rPr>
        <w:t xml:space="preserve">doszło do naruszenia art. 13 </w:t>
      </w:r>
      <w:r w:rsidR="00D95D9A" w:rsidRPr="00ED0C6A">
        <w:rPr>
          <w:rFonts w:asciiTheme="minorHAnsi" w:hAnsiTheme="minorHAnsi"/>
          <w:sz w:val="24"/>
          <w:lang w:val="pl-PL"/>
        </w:rPr>
        <w:t xml:space="preserve">(prawo do skutecznego środka odwoławczego) </w:t>
      </w:r>
      <w:r w:rsidRPr="00ED0C6A">
        <w:rPr>
          <w:rFonts w:asciiTheme="minorHAnsi" w:hAnsiTheme="minorHAnsi"/>
          <w:sz w:val="24"/>
          <w:lang w:val="pl-PL"/>
        </w:rPr>
        <w:t>w związku z art. 2 Protokołu nr 4</w:t>
      </w:r>
      <w:r w:rsidR="00D95D9A" w:rsidRPr="00ED0C6A">
        <w:rPr>
          <w:rFonts w:asciiTheme="minorHAnsi" w:hAnsiTheme="minorHAnsi"/>
          <w:sz w:val="24"/>
          <w:lang w:val="pl-PL"/>
        </w:rPr>
        <w:t xml:space="preserve"> (prawo do swobodnego poruszania się)</w:t>
      </w:r>
      <w:r w:rsidRPr="00ED0C6A">
        <w:rPr>
          <w:rFonts w:asciiTheme="minorHAnsi" w:hAnsiTheme="minorHAnsi"/>
          <w:sz w:val="24"/>
          <w:lang w:val="pl-PL"/>
        </w:rPr>
        <w:t>.</w:t>
      </w:r>
    </w:p>
    <w:p w:rsidR="00EE6D17" w:rsidRPr="00ED0C6A" w:rsidRDefault="00EE6D17"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EE6D17" w:rsidRPr="00ED0C6A" w:rsidRDefault="00D95D9A"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Z tytułu wszystkich stwierdzonych naruszeń Trybunał zasądził na rzecz skarżącego </w:t>
      </w:r>
      <w:r w:rsidR="00EE6D17" w:rsidRPr="00ED0C6A">
        <w:rPr>
          <w:rFonts w:asciiTheme="minorHAnsi" w:hAnsiTheme="minorHAnsi"/>
          <w:sz w:val="24"/>
          <w:lang w:val="pl-PL"/>
        </w:rPr>
        <w:t>5000 euro z tytułu szkody niematerialnej</w:t>
      </w:r>
      <w:r w:rsidRPr="00ED0C6A">
        <w:rPr>
          <w:rFonts w:asciiTheme="minorHAnsi" w:hAnsiTheme="minorHAnsi"/>
          <w:sz w:val="24"/>
          <w:lang w:val="pl-PL"/>
        </w:rPr>
        <w:t>, oddalił natomiast jego roszczenia</w:t>
      </w:r>
      <w:r w:rsidR="00EE6D17" w:rsidRPr="00ED0C6A">
        <w:rPr>
          <w:rFonts w:asciiTheme="minorHAnsi" w:hAnsiTheme="minorHAnsi"/>
          <w:sz w:val="24"/>
          <w:lang w:val="pl-PL"/>
        </w:rPr>
        <w:t xml:space="preserve"> z tytułu szkody materialnej.</w:t>
      </w:r>
    </w:p>
    <w:p w:rsidR="00AC4BF1" w:rsidRPr="00ED0C6A" w:rsidRDefault="00AC4BF1" w:rsidP="00F11942">
      <w:pPr>
        <w:pStyle w:val="ClinContent"/>
        <w:spacing w:before="0"/>
        <w:rPr>
          <w:rFonts w:asciiTheme="minorHAnsi" w:hAnsiTheme="minorHAnsi"/>
          <w:sz w:val="24"/>
          <w:lang w:val="pl-PL"/>
        </w:rPr>
      </w:pPr>
    </w:p>
    <w:p w:rsidR="00AC4BF1" w:rsidRPr="00ED0C6A" w:rsidRDefault="00AC4BF1" w:rsidP="00F11942">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Wyrok jest interesujący w kilku aspektach. Po pierwsze przypomina wymogi dotyczące jasności i precyzji prawa, na podstawie którego nakładane są</w:t>
      </w:r>
      <w:r w:rsidR="0072154D">
        <w:rPr>
          <w:rFonts w:asciiTheme="minorHAnsi" w:hAnsiTheme="minorHAnsi"/>
          <w:sz w:val="24"/>
          <w:lang w:val="pl-PL"/>
        </w:rPr>
        <w:t> </w:t>
      </w:r>
      <w:r w:rsidRPr="00ED0C6A">
        <w:rPr>
          <w:rFonts w:asciiTheme="minorHAnsi" w:hAnsiTheme="minorHAnsi"/>
          <w:sz w:val="24"/>
          <w:lang w:val="pl-PL"/>
        </w:rPr>
        <w:t>ograniczenia na prawa indywidulane – w tym przypadku</w:t>
      </w:r>
      <w:r w:rsidR="002C7F6D" w:rsidRPr="00ED0C6A">
        <w:rPr>
          <w:rFonts w:asciiTheme="minorHAnsi" w:hAnsiTheme="minorHAnsi"/>
          <w:sz w:val="24"/>
          <w:lang w:val="pl-PL"/>
        </w:rPr>
        <w:t xml:space="preserve"> na</w:t>
      </w:r>
      <w:r w:rsidRPr="00ED0C6A">
        <w:rPr>
          <w:rFonts w:asciiTheme="minorHAnsi" w:hAnsiTheme="minorHAnsi"/>
          <w:sz w:val="24"/>
          <w:lang w:val="pl-PL"/>
        </w:rPr>
        <w:t xml:space="preserve"> prawo do swobodnego poruszania się. Doprecyzowanie prawa może nastąpić nie tylko na drodze ustawodawczej, ale także poprzez odpowiednią wykładnię sądów. Po drugie, wyrok odnosi się do kwestii stosowania ograniczeń w ramach środków zabezpieczających społeczeństwo przed</w:t>
      </w:r>
      <w:r w:rsidR="0072154D">
        <w:rPr>
          <w:rFonts w:asciiTheme="minorHAnsi" w:hAnsiTheme="minorHAnsi"/>
          <w:sz w:val="24"/>
          <w:lang w:val="pl-PL"/>
        </w:rPr>
        <w:t> </w:t>
      </w:r>
      <w:r w:rsidRPr="00ED0C6A">
        <w:rPr>
          <w:rFonts w:asciiTheme="minorHAnsi" w:hAnsiTheme="minorHAnsi"/>
          <w:sz w:val="24"/>
          <w:lang w:val="pl-PL"/>
        </w:rPr>
        <w:t xml:space="preserve">zagrożeniem stwarzanym przez osoby – tu wcześniej skazane. Nie wyklucza możliwości stosowania takich środków, ale wymaga precyzji przepisów </w:t>
      </w:r>
      <w:r w:rsidR="00FB39AE" w:rsidRPr="00ED0C6A">
        <w:rPr>
          <w:rFonts w:asciiTheme="minorHAnsi" w:hAnsiTheme="minorHAnsi"/>
          <w:sz w:val="24"/>
          <w:lang w:val="pl-PL"/>
        </w:rPr>
        <w:t>dotyczących przesłanek ich</w:t>
      </w:r>
      <w:r w:rsidR="0072154D">
        <w:rPr>
          <w:rFonts w:asciiTheme="minorHAnsi" w:hAnsiTheme="minorHAnsi"/>
          <w:sz w:val="24"/>
          <w:lang w:val="pl-PL"/>
        </w:rPr>
        <w:t> </w:t>
      </w:r>
      <w:r w:rsidR="00FB39AE" w:rsidRPr="00ED0C6A">
        <w:rPr>
          <w:rFonts w:asciiTheme="minorHAnsi" w:hAnsiTheme="minorHAnsi"/>
          <w:sz w:val="24"/>
          <w:lang w:val="pl-PL"/>
        </w:rPr>
        <w:t xml:space="preserve">stosowania, zakresu konkretnych obowiązków, a także </w:t>
      </w:r>
      <w:r w:rsidRPr="00ED0C6A">
        <w:rPr>
          <w:rFonts w:asciiTheme="minorHAnsi" w:hAnsiTheme="minorHAnsi"/>
          <w:sz w:val="24"/>
          <w:lang w:val="pl-PL"/>
        </w:rPr>
        <w:t>gwarancji proceduralnych, w</w:t>
      </w:r>
      <w:r w:rsidR="0072154D">
        <w:rPr>
          <w:rFonts w:asciiTheme="minorHAnsi" w:hAnsiTheme="minorHAnsi"/>
          <w:sz w:val="24"/>
          <w:lang w:val="pl-PL"/>
        </w:rPr>
        <w:t> </w:t>
      </w:r>
      <w:r w:rsidRPr="00ED0C6A">
        <w:rPr>
          <w:rFonts w:asciiTheme="minorHAnsi" w:hAnsiTheme="minorHAnsi"/>
          <w:sz w:val="24"/>
          <w:lang w:val="pl-PL"/>
        </w:rPr>
        <w:t>tym</w:t>
      </w:r>
      <w:r w:rsidR="0072154D">
        <w:rPr>
          <w:rFonts w:asciiTheme="minorHAnsi" w:hAnsiTheme="minorHAnsi"/>
          <w:sz w:val="24"/>
          <w:lang w:val="pl-PL"/>
        </w:rPr>
        <w:t> </w:t>
      </w:r>
      <w:r w:rsidRPr="00ED0C6A">
        <w:rPr>
          <w:rFonts w:asciiTheme="minorHAnsi" w:hAnsiTheme="minorHAnsi"/>
          <w:sz w:val="24"/>
          <w:lang w:val="pl-PL"/>
        </w:rPr>
        <w:t xml:space="preserve">możliwości rozpatrzenia sprawy przez sądy na prowadzonej jawnie rozprawie. </w:t>
      </w:r>
    </w:p>
    <w:p w:rsidR="00AC4BF1" w:rsidRPr="00ED0C6A" w:rsidRDefault="00AC4BF1" w:rsidP="00F11942">
      <w:pPr>
        <w:pStyle w:val="ClinContent"/>
        <w:spacing w:before="0"/>
        <w:rPr>
          <w:rFonts w:asciiTheme="minorHAnsi" w:hAnsiTheme="minorHAnsi"/>
          <w:sz w:val="24"/>
          <w:lang w:val="pl-PL"/>
        </w:rPr>
      </w:pPr>
    </w:p>
    <w:p w:rsidR="00AC4BF1" w:rsidRPr="00ED0C6A" w:rsidRDefault="00AC4BF1"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Wyrok może mieć znaczenie dla wszystkich organów </w:t>
      </w:r>
      <w:r w:rsidR="002677F5" w:rsidRPr="00ED0C6A">
        <w:rPr>
          <w:rFonts w:asciiTheme="minorHAnsi" w:hAnsiTheme="minorHAnsi"/>
          <w:sz w:val="24"/>
          <w:lang w:val="pl-PL"/>
        </w:rPr>
        <w:t>właściwych ds. uregulowań prawnych i</w:t>
      </w:r>
      <w:r w:rsidR="0072154D">
        <w:rPr>
          <w:rFonts w:asciiTheme="minorHAnsi" w:hAnsiTheme="minorHAnsi"/>
          <w:sz w:val="24"/>
          <w:lang w:val="pl-PL"/>
        </w:rPr>
        <w:t> </w:t>
      </w:r>
      <w:r w:rsidR="002677F5" w:rsidRPr="00ED0C6A">
        <w:rPr>
          <w:rFonts w:asciiTheme="minorHAnsi" w:hAnsiTheme="minorHAnsi"/>
          <w:sz w:val="24"/>
          <w:lang w:val="pl-PL"/>
        </w:rPr>
        <w:t>kontroli</w:t>
      </w:r>
      <w:r w:rsidRPr="00ED0C6A">
        <w:rPr>
          <w:rFonts w:asciiTheme="minorHAnsi" w:hAnsiTheme="minorHAnsi"/>
          <w:sz w:val="24"/>
          <w:lang w:val="pl-PL"/>
        </w:rPr>
        <w:t xml:space="preserve"> prawa w kontekście </w:t>
      </w:r>
      <w:r w:rsidR="003B0D97" w:rsidRPr="00ED0C6A">
        <w:rPr>
          <w:rFonts w:asciiTheme="minorHAnsi" w:hAnsiTheme="minorHAnsi"/>
          <w:sz w:val="24"/>
          <w:lang w:val="pl-PL"/>
        </w:rPr>
        <w:t xml:space="preserve">wymogu </w:t>
      </w:r>
      <w:r w:rsidRPr="00ED0C6A">
        <w:rPr>
          <w:rFonts w:asciiTheme="minorHAnsi" w:hAnsiTheme="minorHAnsi"/>
          <w:sz w:val="24"/>
          <w:lang w:val="pl-PL"/>
        </w:rPr>
        <w:t>jasności i precyzji ustawodawstwa</w:t>
      </w:r>
      <w:r w:rsidR="003B0D97" w:rsidRPr="00ED0C6A">
        <w:rPr>
          <w:rFonts w:asciiTheme="minorHAnsi" w:hAnsiTheme="minorHAnsi"/>
          <w:sz w:val="24"/>
          <w:lang w:val="pl-PL"/>
        </w:rPr>
        <w:t xml:space="preserve"> i stosownych </w:t>
      </w:r>
      <w:r w:rsidRPr="00ED0C6A">
        <w:rPr>
          <w:rFonts w:asciiTheme="minorHAnsi" w:hAnsiTheme="minorHAnsi"/>
          <w:sz w:val="24"/>
          <w:lang w:val="pl-PL"/>
        </w:rPr>
        <w:t>gwarancji</w:t>
      </w:r>
      <w:r w:rsidR="003B0D97" w:rsidRPr="00ED0C6A">
        <w:rPr>
          <w:rFonts w:asciiTheme="minorHAnsi" w:hAnsiTheme="minorHAnsi"/>
          <w:sz w:val="24"/>
          <w:lang w:val="pl-PL"/>
        </w:rPr>
        <w:t xml:space="preserve"> proceduralnych</w:t>
      </w:r>
      <w:r w:rsidRPr="00ED0C6A">
        <w:rPr>
          <w:rFonts w:asciiTheme="minorHAnsi" w:hAnsiTheme="minorHAnsi"/>
          <w:sz w:val="24"/>
          <w:lang w:val="pl-PL"/>
        </w:rPr>
        <w:t xml:space="preserve"> w związku z </w:t>
      </w:r>
      <w:r w:rsidR="003B0D97" w:rsidRPr="00ED0C6A">
        <w:rPr>
          <w:rFonts w:asciiTheme="minorHAnsi" w:hAnsiTheme="minorHAnsi"/>
          <w:sz w:val="24"/>
          <w:lang w:val="pl-PL"/>
        </w:rPr>
        <w:t xml:space="preserve">możliwością </w:t>
      </w:r>
      <w:r w:rsidRPr="00ED0C6A">
        <w:rPr>
          <w:rFonts w:asciiTheme="minorHAnsi" w:hAnsiTheme="minorHAnsi"/>
          <w:sz w:val="24"/>
          <w:lang w:val="pl-PL"/>
        </w:rPr>
        <w:t>nakłada</w:t>
      </w:r>
      <w:r w:rsidR="003B0D97" w:rsidRPr="00ED0C6A">
        <w:rPr>
          <w:rFonts w:asciiTheme="minorHAnsi" w:hAnsiTheme="minorHAnsi"/>
          <w:sz w:val="24"/>
          <w:lang w:val="pl-PL"/>
        </w:rPr>
        <w:t>nia</w:t>
      </w:r>
      <w:r w:rsidRPr="00ED0C6A">
        <w:rPr>
          <w:rFonts w:asciiTheme="minorHAnsi" w:hAnsiTheme="minorHAnsi"/>
          <w:sz w:val="24"/>
          <w:lang w:val="pl-PL"/>
        </w:rPr>
        <w:t xml:space="preserve"> ograniczeń na jednostki. </w:t>
      </w:r>
      <w:r w:rsidR="002677F5" w:rsidRPr="00ED0C6A">
        <w:rPr>
          <w:rFonts w:asciiTheme="minorHAnsi" w:hAnsiTheme="minorHAnsi"/>
          <w:sz w:val="24"/>
          <w:lang w:val="pl-PL"/>
        </w:rPr>
        <w:t xml:space="preserve">Może mieć też znaczenie </w:t>
      </w:r>
      <w:r w:rsidRPr="00ED0C6A">
        <w:rPr>
          <w:rFonts w:asciiTheme="minorHAnsi" w:hAnsiTheme="minorHAnsi"/>
          <w:sz w:val="24"/>
          <w:lang w:val="pl-PL"/>
        </w:rPr>
        <w:t xml:space="preserve">dla praktyki działania sądów i organów stosujących środki zabezpieczające mające wpływ na swobodę poruszania się osób. </w:t>
      </w:r>
    </w:p>
    <w:p w:rsidR="005751CB" w:rsidRPr="00ED0C6A" w:rsidRDefault="005751CB" w:rsidP="00501E16">
      <w:pPr>
        <w:pStyle w:val="Nagwek2"/>
        <w:spacing w:before="480"/>
        <w:rPr>
          <w:rFonts w:asciiTheme="minorHAnsi" w:hAnsiTheme="minorHAnsi"/>
          <w:color w:val="auto"/>
          <w:sz w:val="24"/>
          <w:szCs w:val="24"/>
        </w:rPr>
      </w:pPr>
      <w:bookmarkStart w:id="12" w:name="_Toc524696730"/>
      <w:proofErr w:type="spellStart"/>
      <w:r w:rsidRPr="00ED0C6A">
        <w:rPr>
          <w:rFonts w:asciiTheme="minorHAnsi" w:hAnsiTheme="minorHAnsi"/>
          <w:color w:val="auto"/>
          <w:sz w:val="24"/>
          <w:szCs w:val="24"/>
        </w:rPr>
        <w:t>Fábián</w:t>
      </w:r>
      <w:proofErr w:type="spellEnd"/>
      <w:r w:rsidRPr="00ED0C6A">
        <w:rPr>
          <w:rFonts w:asciiTheme="minorHAnsi" w:hAnsiTheme="minorHAnsi"/>
          <w:color w:val="auto"/>
          <w:sz w:val="24"/>
          <w:szCs w:val="24"/>
        </w:rPr>
        <w:t xml:space="preserve"> p. Węgrom</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78117/13</w:t>
      </w:r>
      <w:r w:rsidR="00501E16"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E80C9C"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 xml:space="preserve">z </w:t>
      </w:r>
      <w:r w:rsidR="00B4260D" w:rsidRPr="00ED0C6A">
        <w:rPr>
          <w:rFonts w:asciiTheme="minorHAnsi" w:hAnsiTheme="minorHAnsi"/>
          <w:color w:val="auto"/>
          <w:sz w:val="24"/>
          <w:szCs w:val="24"/>
        </w:rPr>
        <w:t xml:space="preserve"> </w:t>
      </w:r>
      <w:r w:rsidRPr="00ED0C6A">
        <w:rPr>
          <w:rFonts w:asciiTheme="minorHAnsi" w:hAnsiTheme="minorHAnsi"/>
          <w:color w:val="auto"/>
          <w:sz w:val="24"/>
          <w:szCs w:val="24"/>
        </w:rPr>
        <w:t>5</w:t>
      </w:r>
      <w:r w:rsidR="00B4260D" w:rsidRPr="00ED0C6A">
        <w:rPr>
          <w:rFonts w:asciiTheme="minorHAnsi" w:hAnsiTheme="minorHAnsi"/>
          <w:color w:val="auto"/>
          <w:sz w:val="24"/>
          <w:szCs w:val="24"/>
        </w:rPr>
        <w:t xml:space="preserve"> września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12"/>
    </w:p>
    <w:p w:rsidR="005751CB" w:rsidRPr="00ED0C6A" w:rsidRDefault="005751CB"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DF5522" w:rsidRPr="00ED0C6A">
        <w:rPr>
          <w:b/>
          <w:color w:val="000000" w:themeColor="text1"/>
          <w:sz w:val="24"/>
          <w:szCs w:val="24"/>
          <w:lang w:val="pl-PL"/>
        </w:rPr>
        <w:t xml:space="preserve"> art. 1 Protokołu nr 1 do Konwencji (ochrona własności – aspekt prawa do poszanowania swego mienia) w odniesieniu do zawieszenia emerytury państwowej wobec emeryta zatrudnionego w służbie cywilnej</w:t>
      </w:r>
    </w:p>
    <w:p w:rsidR="005751CB" w:rsidRPr="00ED0C6A" w:rsidRDefault="005751CB"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DF5522" w:rsidRPr="00ED0C6A">
        <w:rPr>
          <w:b/>
          <w:color w:val="000000" w:themeColor="text1"/>
          <w:sz w:val="24"/>
          <w:szCs w:val="24"/>
          <w:lang w:val="pl-PL"/>
        </w:rPr>
        <w:t xml:space="preserve"> art. 14 Konwencji (zakaz dyskryminacji) w związku z art. 1 Protokołu nr</w:t>
      </w:r>
      <w:r w:rsidR="0072154D">
        <w:rPr>
          <w:b/>
          <w:color w:val="000000" w:themeColor="text1"/>
          <w:sz w:val="24"/>
          <w:szCs w:val="24"/>
          <w:lang w:val="pl-PL"/>
        </w:rPr>
        <w:t> </w:t>
      </w:r>
      <w:r w:rsidR="00DF5522" w:rsidRPr="00ED0C6A">
        <w:rPr>
          <w:b/>
          <w:color w:val="000000" w:themeColor="text1"/>
          <w:sz w:val="24"/>
          <w:szCs w:val="24"/>
          <w:lang w:val="pl-PL"/>
        </w:rPr>
        <w:t>1 do Konwencji (ochrona własności – aspekt prawa do poszanowania swego mienia) w odniesieniu do zarzucanego zróżnicowania między emerytami zatrudnionymi w</w:t>
      </w:r>
      <w:r w:rsidR="0072154D">
        <w:rPr>
          <w:b/>
          <w:color w:val="000000" w:themeColor="text1"/>
          <w:sz w:val="24"/>
          <w:szCs w:val="24"/>
          <w:lang w:val="pl-PL"/>
        </w:rPr>
        <w:t> </w:t>
      </w:r>
      <w:r w:rsidR="00DF5522" w:rsidRPr="00ED0C6A">
        <w:rPr>
          <w:b/>
          <w:color w:val="000000" w:themeColor="text1"/>
          <w:sz w:val="24"/>
          <w:szCs w:val="24"/>
          <w:lang w:val="pl-PL"/>
        </w:rPr>
        <w:t>służbie cywilnej a emerytami zatrudnionymi w sektorze prywatnym w odniesieniu do uprawnienia do dalszego wypłacania emerytury państwowej</w:t>
      </w:r>
    </w:p>
    <w:p w:rsidR="00174B25"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W 2012 r. skarżący, który już otrzymywał emeryturę, podjął zatrudnienie jako urzędnik cywilny. W 2013 r. weszła w życie nowelizacja ustawy o emeryturach z 1997 r., zawieszając wypłatę emerytur osobom jednocześnie zatrudnionym na niektórych kategoriach stanowisk w sektorze publicznym. Nowelizacja nie miała zastosowania do osób pracujących w sektorze prywatnym. W rezultacie, wypłacanie emerytury skarżącego zostało zawieszone. Jego</w:t>
      </w:r>
      <w:r w:rsidR="0072154D">
        <w:rPr>
          <w:rFonts w:asciiTheme="minorHAnsi" w:hAnsiTheme="minorHAnsi"/>
          <w:sz w:val="24"/>
          <w:lang w:val="pl-PL"/>
        </w:rPr>
        <w:t> </w:t>
      </w:r>
      <w:r w:rsidRPr="00ED0C6A">
        <w:rPr>
          <w:rFonts w:asciiTheme="minorHAnsi" w:hAnsiTheme="minorHAnsi"/>
          <w:sz w:val="24"/>
          <w:lang w:val="pl-PL"/>
        </w:rPr>
        <w:t xml:space="preserve">odwołanie od tej decyzji nie przyniosło powodzenia. </w:t>
      </w:r>
    </w:p>
    <w:p w:rsidR="00174B25" w:rsidRPr="00ED0C6A" w:rsidRDefault="00174B25" w:rsidP="00F11942">
      <w:pPr>
        <w:pStyle w:val="ClinContent"/>
        <w:spacing w:before="0"/>
        <w:rPr>
          <w:rFonts w:asciiTheme="minorHAnsi" w:hAnsiTheme="minorHAnsi"/>
          <w:sz w:val="24"/>
          <w:lang w:val="pl-PL"/>
        </w:rPr>
      </w:pPr>
    </w:p>
    <w:p w:rsidR="005751CB" w:rsidRPr="00ED0C6A" w:rsidRDefault="00A7680C" w:rsidP="00F11942">
      <w:pPr>
        <w:pStyle w:val="ClinContent"/>
        <w:spacing w:before="0"/>
        <w:rPr>
          <w:rFonts w:asciiTheme="minorHAnsi" w:hAnsiTheme="minorHAnsi"/>
          <w:sz w:val="24"/>
          <w:lang w:val="pl-PL"/>
        </w:rPr>
      </w:pPr>
      <w:r w:rsidRPr="00ED0C6A">
        <w:rPr>
          <w:rFonts w:asciiTheme="minorHAnsi" w:hAnsiTheme="minorHAnsi"/>
          <w:sz w:val="24"/>
          <w:lang w:val="pl-PL"/>
        </w:rPr>
        <w:t>Przed Trybunałem</w:t>
      </w:r>
      <w:r w:rsidR="00174B25" w:rsidRPr="00ED0C6A">
        <w:rPr>
          <w:rFonts w:asciiTheme="minorHAnsi" w:hAnsiTheme="minorHAnsi"/>
          <w:sz w:val="24"/>
          <w:lang w:val="pl-PL"/>
        </w:rPr>
        <w:t xml:space="preserve"> </w:t>
      </w:r>
      <w:r w:rsidR="005751CB" w:rsidRPr="00ED0C6A">
        <w:rPr>
          <w:rFonts w:asciiTheme="minorHAnsi" w:hAnsiTheme="minorHAnsi"/>
          <w:sz w:val="24"/>
          <w:lang w:val="pl-PL"/>
        </w:rPr>
        <w:t xml:space="preserve">skarżący zarzucał, że doszło do nieuzasadnionej i dyskryminacyjnej ingerencji w jego prawa majątkowe.  </w:t>
      </w:r>
    </w:p>
    <w:p w:rsidR="00174B25" w:rsidRPr="00ED0C6A" w:rsidRDefault="00174B25" w:rsidP="00F11942">
      <w:pPr>
        <w:pStyle w:val="ClinContent"/>
        <w:spacing w:before="0"/>
        <w:rPr>
          <w:rFonts w:asciiTheme="minorHAnsi" w:hAnsiTheme="minorHAnsi"/>
          <w:sz w:val="24"/>
          <w:lang w:val="pl-PL"/>
        </w:rPr>
      </w:pPr>
    </w:p>
    <w:p w:rsidR="005751CB"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Wyrokiem z dnia 15 grudnia 2015 r. Izba Trybunału orzekła jednomyślnie, że doszło do</w:t>
      </w:r>
      <w:r w:rsidR="0072154D">
        <w:rPr>
          <w:rFonts w:asciiTheme="minorHAnsi" w:hAnsiTheme="minorHAnsi"/>
          <w:sz w:val="24"/>
          <w:lang w:val="pl-PL"/>
        </w:rPr>
        <w:t> </w:t>
      </w:r>
      <w:r w:rsidRPr="00ED0C6A">
        <w:rPr>
          <w:rFonts w:asciiTheme="minorHAnsi" w:hAnsiTheme="minorHAnsi"/>
          <w:sz w:val="24"/>
          <w:lang w:val="pl-PL"/>
        </w:rPr>
        <w:t>naruszenia art. 14 Konwencji w związku z art. 1 Protokołu nr 1 (oraz, że zatem nie było konieczne zbadanie skargi na podstawie art. 1 Protokołu nr 1 rozpatrywanego samodzielnie). W szczególności Izba uznała, że argumenty Rządu powołane na uzasadnienie różnego traktowania emerytów zatrudnionych w sektorze publicznym i prywatnym były</w:t>
      </w:r>
      <w:r w:rsidR="00F17FD9">
        <w:rPr>
          <w:rFonts w:asciiTheme="minorHAnsi" w:hAnsiTheme="minorHAnsi"/>
          <w:sz w:val="24"/>
          <w:lang w:val="pl-PL"/>
        </w:rPr>
        <w:t> </w:t>
      </w:r>
      <w:r w:rsidRPr="00ED0C6A">
        <w:rPr>
          <w:rFonts w:asciiTheme="minorHAnsi" w:hAnsiTheme="minorHAnsi"/>
          <w:sz w:val="24"/>
          <w:lang w:val="pl-PL"/>
        </w:rPr>
        <w:t xml:space="preserve">nieprzekonywające i nie były oparte na jakimkolwiek „obiektywnym i rozsądnym uzasadnieniu”. </w:t>
      </w:r>
    </w:p>
    <w:p w:rsidR="00174B25" w:rsidRPr="00ED0C6A" w:rsidRDefault="00174B25" w:rsidP="00F11942">
      <w:pPr>
        <w:pStyle w:val="ClinContent"/>
        <w:spacing w:before="0"/>
        <w:rPr>
          <w:rFonts w:asciiTheme="minorHAnsi" w:hAnsiTheme="minorHAnsi"/>
          <w:sz w:val="24"/>
          <w:lang w:val="pl-PL"/>
        </w:rPr>
      </w:pPr>
    </w:p>
    <w:p w:rsidR="005751CB"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 dniu 2 maja 2016 r. sprawa została na wniosek Rządu przekazana do Wielkiej Izby. </w:t>
      </w:r>
    </w:p>
    <w:p w:rsidR="00174B25" w:rsidRPr="00ED0C6A" w:rsidRDefault="00174B25" w:rsidP="00F11942">
      <w:pPr>
        <w:pStyle w:val="ClinContent"/>
        <w:spacing w:before="0"/>
        <w:rPr>
          <w:rFonts w:asciiTheme="minorHAnsi" w:hAnsiTheme="minorHAnsi"/>
          <w:i/>
          <w:sz w:val="24"/>
          <w:lang w:val="pl-PL"/>
        </w:rPr>
      </w:pPr>
    </w:p>
    <w:p w:rsidR="00174B25" w:rsidRPr="00ED0C6A" w:rsidRDefault="00174B25"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Wielka Izba Trybunału zbadała sprawę najpierw pod kątem ewentualnego naruszenia </w:t>
      </w:r>
      <w:r w:rsidRPr="00ED0C6A">
        <w:rPr>
          <w:rFonts w:asciiTheme="minorHAnsi" w:hAnsiTheme="minorHAnsi"/>
          <w:sz w:val="24"/>
          <w:u w:val="single"/>
          <w:lang w:val="pl-PL"/>
        </w:rPr>
        <w:t>a</w:t>
      </w:r>
      <w:r w:rsidR="005751CB" w:rsidRPr="00ED0C6A">
        <w:rPr>
          <w:rFonts w:asciiTheme="minorHAnsi" w:hAnsiTheme="minorHAnsi"/>
          <w:sz w:val="24"/>
          <w:u w:val="single"/>
          <w:lang w:val="pl-PL"/>
        </w:rPr>
        <w:t>rt.</w:t>
      </w:r>
      <w:r w:rsidR="0072154D">
        <w:rPr>
          <w:rFonts w:asciiTheme="minorHAnsi" w:hAnsiTheme="minorHAnsi"/>
          <w:sz w:val="24"/>
          <w:u w:val="single"/>
          <w:lang w:val="pl-PL"/>
        </w:rPr>
        <w:t> </w:t>
      </w:r>
      <w:r w:rsidR="005751CB" w:rsidRPr="00ED0C6A">
        <w:rPr>
          <w:rFonts w:asciiTheme="minorHAnsi" w:hAnsiTheme="minorHAnsi"/>
          <w:sz w:val="24"/>
          <w:u w:val="single"/>
          <w:lang w:val="pl-PL"/>
        </w:rPr>
        <w:t>1</w:t>
      </w:r>
      <w:r w:rsidR="0072154D">
        <w:rPr>
          <w:rFonts w:asciiTheme="minorHAnsi" w:hAnsiTheme="minorHAnsi"/>
          <w:sz w:val="24"/>
          <w:u w:val="single"/>
          <w:lang w:val="pl-PL"/>
        </w:rPr>
        <w:t> </w:t>
      </w:r>
      <w:r w:rsidR="005751CB" w:rsidRPr="00ED0C6A">
        <w:rPr>
          <w:rFonts w:asciiTheme="minorHAnsi" w:hAnsiTheme="minorHAnsi"/>
          <w:sz w:val="24"/>
          <w:u w:val="single"/>
          <w:lang w:val="pl-PL"/>
        </w:rPr>
        <w:t>Protokołu nr 1</w:t>
      </w:r>
      <w:r w:rsidRPr="00ED0C6A">
        <w:rPr>
          <w:rFonts w:asciiTheme="minorHAnsi" w:hAnsiTheme="minorHAnsi"/>
          <w:sz w:val="24"/>
          <w:u w:val="single"/>
          <w:lang w:val="pl-PL"/>
        </w:rPr>
        <w:t xml:space="preserve"> chroniącego m.in. prawo do poszanowania mienia</w:t>
      </w:r>
      <w:r w:rsidRPr="00ED0C6A">
        <w:rPr>
          <w:rFonts w:asciiTheme="minorHAnsi" w:hAnsiTheme="minorHAnsi"/>
          <w:sz w:val="24"/>
          <w:lang w:val="pl-PL"/>
        </w:rPr>
        <w:t>. Zauważyła, że strony nie</w:t>
      </w:r>
      <w:r w:rsidR="0072154D">
        <w:rPr>
          <w:rFonts w:asciiTheme="minorHAnsi" w:hAnsiTheme="minorHAnsi"/>
          <w:sz w:val="24"/>
          <w:lang w:val="pl-PL"/>
        </w:rPr>
        <w:t> </w:t>
      </w:r>
      <w:r w:rsidRPr="00ED0C6A">
        <w:rPr>
          <w:rFonts w:asciiTheme="minorHAnsi" w:hAnsiTheme="minorHAnsi"/>
          <w:sz w:val="24"/>
          <w:lang w:val="pl-PL"/>
        </w:rPr>
        <w:t>spierał</w:t>
      </w:r>
      <w:r w:rsidR="002C7F6D" w:rsidRPr="00ED0C6A">
        <w:rPr>
          <w:rFonts w:asciiTheme="minorHAnsi" w:hAnsiTheme="minorHAnsi"/>
          <w:sz w:val="24"/>
          <w:lang w:val="pl-PL"/>
        </w:rPr>
        <w:t>y</w:t>
      </w:r>
      <w:r w:rsidRPr="00ED0C6A">
        <w:rPr>
          <w:rFonts w:asciiTheme="minorHAnsi" w:hAnsiTheme="minorHAnsi"/>
          <w:sz w:val="24"/>
          <w:lang w:val="pl-PL"/>
        </w:rPr>
        <w:t xml:space="preserve"> się co do z</w:t>
      </w:r>
      <w:r w:rsidR="005751CB" w:rsidRPr="00ED0C6A">
        <w:rPr>
          <w:rFonts w:asciiTheme="minorHAnsi" w:hAnsiTheme="minorHAnsi"/>
          <w:sz w:val="24"/>
          <w:lang w:val="pl-PL"/>
        </w:rPr>
        <w:t>godność z prawem ingerencji</w:t>
      </w:r>
      <w:r w:rsidRPr="00ED0C6A">
        <w:rPr>
          <w:rFonts w:asciiTheme="minorHAnsi" w:hAnsiTheme="minorHAnsi"/>
          <w:sz w:val="24"/>
          <w:lang w:val="pl-PL"/>
        </w:rPr>
        <w:t xml:space="preserve">. </w:t>
      </w:r>
      <w:r w:rsidR="005751CB" w:rsidRPr="00ED0C6A">
        <w:rPr>
          <w:rFonts w:asciiTheme="minorHAnsi" w:hAnsiTheme="minorHAnsi"/>
          <w:sz w:val="24"/>
          <w:lang w:val="pl-PL"/>
        </w:rPr>
        <w:t>Trybunał nie znalazł powodów, by</w:t>
      </w:r>
      <w:r w:rsidR="0072154D">
        <w:rPr>
          <w:rFonts w:asciiTheme="minorHAnsi" w:hAnsiTheme="minorHAnsi"/>
          <w:sz w:val="24"/>
          <w:lang w:val="pl-PL"/>
        </w:rPr>
        <w:t> </w:t>
      </w:r>
      <w:r w:rsidR="005751CB" w:rsidRPr="00ED0C6A">
        <w:rPr>
          <w:rFonts w:asciiTheme="minorHAnsi" w:hAnsiTheme="minorHAnsi"/>
          <w:sz w:val="24"/>
          <w:lang w:val="pl-PL"/>
        </w:rPr>
        <w:t xml:space="preserve">powątpiewać, że zakaz jednoczesnego wypłacania wynagrodzeń i emerytur, któremu podlegał skarżący, służył </w:t>
      </w:r>
      <w:r w:rsidRPr="00ED0C6A">
        <w:rPr>
          <w:rFonts w:asciiTheme="minorHAnsi" w:hAnsiTheme="minorHAnsi"/>
          <w:sz w:val="24"/>
          <w:lang w:val="pl-PL"/>
        </w:rPr>
        <w:t xml:space="preserve">uprawnionemu </w:t>
      </w:r>
      <w:r w:rsidR="005751CB" w:rsidRPr="00ED0C6A">
        <w:rPr>
          <w:rFonts w:asciiTheme="minorHAnsi" w:hAnsiTheme="minorHAnsi"/>
          <w:sz w:val="24"/>
          <w:lang w:val="pl-PL"/>
        </w:rPr>
        <w:t>powszechnemu interesowi ochrony finansów publicznych.</w:t>
      </w:r>
    </w:p>
    <w:p w:rsidR="00174B25" w:rsidRPr="00ED0C6A" w:rsidRDefault="00174B25" w:rsidP="00F11942">
      <w:pPr>
        <w:pStyle w:val="ClinContent"/>
        <w:spacing w:before="0"/>
        <w:rPr>
          <w:rFonts w:asciiTheme="minorHAnsi" w:hAnsiTheme="minorHAnsi"/>
          <w:sz w:val="24"/>
          <w:lang w:val="pl-PL"/>
        </w:rPr>
      </w:pPr>
    </w:p>
    <w:p w:rsidR="005751CB" w:rsidRPr="00ED0C6A" w:rsidRDefault="00D02D5A" w:rsidP="00F11942">
      <w:pPr>
        <w:pStyle w:val="ClinContent"/>
        <w:spacing w:before="0"/>
        <w:rPr>
          <w:rFonts w:asciiTheme="minorHAnsi" w:hAnsiTheme="minorHAnsi"/>
          <w:sz w:val="24"/>
          <w:lang w:val="pl-PL"/>
        </w:rPr>
      </w:pPr>
      <w:r w:rsidRPr="00ED0C6A">
        <w:rPr>
          <w:rFonts w:asciiTheme="minorHAnsi" w:hAnsiTheme="minorHAnsi"/>
          <w:sz w:val="24"/>
          <w:lang w:val="pl-PL"/>
        </w:rPr>
        <w:t>D</w:t>
      </w:r>
      <w:r w:rsidR="00174B25" w:rsidRPr="00ED0C6A">
        <w:rPr>
          <w:rFonts w:asciiTheme="minorHAnsi" w:hAnsiTheme="minorHAnsi"/>
          <w:sz w:val="24"/>
          <w:lang w:val="pl-PL"/>
        </w:rPr>
        <w:t xml:space="preserve">o </w:t>
      </w:r>
      <w:r w:rsidRPr="00ED0C6A">
        <w:rPr>
          <w:rFonts w:asciiTheme="minorHAnsi" w:hAnsiTheme="minorHAnsi"/>
          <w:sz w:val="24"/>
          <w:lang w:val="pl-PL"/>
        </w:rPr>
        <w:t>rozstrzygnięcia</w:t>
      </w:r>
      <w:r w:rsidR="00174B25" w:rsidRPr="00ED0C6A">
        <w:rPr>
          <w:rFonts w:asciiTheme="minorHAnsi" w:hAnsiTheme="minorHAnsi"/>
          <w:sz w:val="24"/>
          <w:lang w:val="pl-PL"/>
        </w:rPr>
        <w:t xml:space="preserve"> </w:t>
      </w:r>
      <w:r w:rsidRPr="00ED0C6A">
        <w:rPr>
          <w:rFonts w:asciiTheme="minorHAnsi" w:hAnsiTheme="minorHAnsi"/>
          <w:sz w:val="24"/>
          <w:lang w:val="pl-PL"/>
        </w:rPr>
        <w:t>pozostała zatem kwestia</w:t>
      </w:r>
      <w:r w:rsidR="005751CB" w:rsidRPr="00ED0C6A">
        <w:rPr>
          <w:rFonts w:asciiTheme="minorHAnsi" w:hAnsiTheme="minorHAnsi"/>
          <w:sz w:val="24"/>
          <w:lang w:val="pl-PL"/>
        </w:rPr>
        <w:t>, czy ingerencja zachowała sprawiedliwą równowagę między potrzebami ogólnego interesu społeczeństwa a wymogami ochrony praw podstawowych jednostki.</w:t>
      </w:r>
    </w:p>
    <w:p w:rsidR="00174B25" w:rsidRPr="00ED0C6A" w:rsidRDefault="00174B25" w:rsidP="00F11942">
      <w:pPr>
        <w:pStyle w:val="ClinContent"/>
        <w:spacing w:before="0"/>
        <w:rPr>
          <w:rFonts w:asciiTheme="minorHAnsi" w:hAnsiTheme="minorHAnsi"/>
          <w:sz w:val="24"/>
          <w:lang w:val="pl-PL"/>
        </w:rPr>
      </w:pPr>
    </w:p>
    <w:p w:rsidR="00884480" w:rsidRPr="00ED0C6A" w:rsidRDefault="00884480" w:rsidP="00F11942">
      <w:pPr>
        <w:pStyle w:val="ClinContent"/>
        <w:spacing w:before="0"/>
        <w:rPr>
          <w:rFonts w:asciiTheme="minorHAnsi" w:hAnsiTheme="minorHAnsi"/>
          <w:sz w:val="24"/>
          <w:lang w:val="pl-PL"/>
        </w:rPr>
      </w:pPr>
      <w:r w:rsidRPr="00ED0C6A">
        <w:rPr>
          <w:rFonts w:asciiTheme="minorHAnsi" w:hAnsiTheme="minorHAnsi"/>
          <w:sz w:val="24"/>
          <w:lang w:val="pl-PL"/>
        </w:rPr>
        <w:t>Trybunał przypomniał, że p</w:t>
      </w:r>
      <w:r w:rsidR="005751CB" w:rsidRPr="00ED0C6A">
        <w:rPr>
          <w:rFonts w:asciiTheme="minorHAnsi" w:hAnsiTheme="minorHAnsi"/>
          <w:sz w:val="24"/>
          <w:lang w:val="pl-PL"/>
        </w:rPr>
        <w:t>rzy badaniu, czy władze krajowe działały w ramach przysługującego im marginesu oceny, musi mieć szczególny wzgląd na czynniki uznane za</w:t>
      </w:r>
      <w:r w:rsidR="0072154D">
        <w:rPr>
          <w:rFonts w:asciiTheme="minorHAnsi" w:hAnsiTheme="minorHAnsi"/>
          <w:sz w:val="24"/>
          <w:lang w:val="pl-PL"/>
        </w:rPr>
        <w:t> </w:t>
      </w:r>
      <w:r w:rsidR="005751CB" w:rsidRPr="00ED0C6A">
        <w:rPr>
          <w:rFonts w:asciiTheme="minorHAnsi" w:hAnsiTheme="minorHAnsi"/>
          <w:sz w:val="24"/>
          <w:lang w:val="pl-PL"/>
        </w:rPr>
        <w:t>istotne w jego orzecznictwie dotyczącym obniżania, zawieszania lub zaprzestania wypłacania emerytur w ramach systemu ubezpieczeń społecznych, a mianowicie</w:t>
      </w:r>
      <w:r w:rsidRPr="00ED0C6A">
        <w:rPr>
          <w:rFonts w:asciiTheme="minorHAnsi" w:hAnsiTheme="minorHAnsi"/>
          <w:sz w:val="24"/>
          <w:lang w:val="pl-PL"/>
        </w:rPr>
        <w:t>:</w:t>
      </w:r>
    </w:p>
    <w:p w:rsidR="00884480" w:rsidRPr="00ED0C6A" w:rsidRDefault="005751CB" w:rsidP="00884480">
      <w:pPr>
        <w:pStyle w:val="ClinContent"/>
        <w:numPr>
          <w:ilvl w:val="0"/>
          <w:numId w:val="11"/>
        </w:numPr>
        <w:spacing w:before="0"/>
        <w:rPr>
          <w:rFonts w:asciiTheme="minorHAnsi" w:hAnsiTheme="minorHAnsi"/>
          <w:sz w:val="24"/>
          <w:lang w:val="pl-PL"/>
        </w:rPr>
      </w:pPr>
      <w:r w:rsidRPr="00ED0C6A">
        <w:rPr>
          <w:rFonts w:asciiTheme="minorHAnsi" w:hAnsiTheme="minorHAnsi"/>
          <w:sz w:val="24"/>
          <w:lang w:val="pl-PL"/>
        </w:rPr>
        <w:t xml:space="preserve">zakres utraty świadczeń, </w:t>
      </w:r>
    </w:p>
    <w:p w:rsidR="00884480" w:rsidRPr="00ED0C6A" w:rsidRDefault="005751CB" w:rsidP="00884480">
      <w:pPr>
        <w:pStyle w:val="ClinContent"/>
        <w:numPr>
          <w:ilvl w:val="0"/>
          <w:numId w:val="11"/>
        </w:numPr>
        <w:spacing w:before="0"/>
        <w:rPr>
          <w:rFonts w:asciiTheme="minorHAnsi" w:hAnsiTheme="minorHAnsi"/>
          <w:sz w:val="24"/>
          <w:lang w:val="pl-PL"/>
        </w:rPr>
      </w:pPr>
      <w:r w:rsidRPr="00ED0C6A">
        <w:rPr>
          <w:rFonts w:asciiTheme="minorHAnsi" w:hAnsiTheme="minorHAnsi"/>
          <w:sz w:val="24"/>
          <w:lang w:val="pl-PL"/>
        </w:rPr>
        <w:t xml:space="preserve">czy przewidziany był element wyboru, a także </w:t>
      </w:r>
    </w:p>
    <w:p w:rsidR="005751CB" w:rsidRPr="00ED0C6A" w:rsidRDefault="005751CB" w:rsidP="00884480">
      <w:pPr>
        <w:pStyle w:val="ClinContent"/>
        <w:numPr>
          <w:ilvl w:val="0"/>
          <w:numId w:val="11"/>
        </w:numPr>
        <w:spacing w:before="0"/>
        <w:rPr>
          <w:rFonts w:asciiTheme="minorHAnsi" w:hAnsiTheme="minorHAnsi"/>
          <w:sz w:val="24"/>
          <w:lang w:val="pl-PL"/>
        </w:rPr>
      </w:pPr>
      <w:r w:rsidRPr="00ED0C6A">
        <w:rPr>
          <w:rFonts w:asciiTheme="minorHAnsi" w:hAnsiTheme="minorHAnsi"/>
          <w:sz w:val="24"/>
          <w:lang w:val="pl-PL"/>
        </w:rPr>
        <w:t xml:space="preserve">zakres utraty środków utrzymania. </w:t>
      </w:r>
    </w:p>
    <w:p w:rsidR="00884480" w:rsidRPr="00ED0C6A" w:rsidRDefault="00884480" w:rsidP="00F11942">
      <w:pPr>
        <w:pStyle w:val="ClinContent"/>
        <w:spacing w:before="0"/>
        <w:rPr>
          <w:rFonts w:asciiTheme="minorHAnsi" w:hAnsiTheme="minorHAnsi"/>
          <w:sz w:val="24"/>
          <w:lang w:val="pl-PL"/>
        </w:rPr>
      </w:pPr>
    </w:p>
    <w:p w:rsidR="00884480" w:rsidRPr="00ED0C6A" w:rsidRDefault="00884480" w:rsidP="00F11942">
      <w:pPr>
        <w:pStyle w:val="ClinContent"/>
        <w:spacing w:before="0"/>
        <w:rPr>
          <w:rFonts w:asciiTheme="minorHAnsi" w:hAnsiTheme="minorHAnsi"/>
          <w:sz w:val="24"/>
          <w:lang w:val="pl-PL"/>
        </w:rPr>
      </w:pPr>
      <w:r w:rsidRPr="00ED0C6A">
        <w:rPr>
          <w:rFonts w:asciiTheme="minorHAnsi" w:hAnsiTheme="minorHAnsi"/>
          <w:sz w:val="24"/>
          <w:lang w:val="pl-PL"/>
        </w:rPr>
        <w:t>Trybunał zauważył, że r</w:t>
      </w:r>
      <w:r w:rsidR="005751CB" w:rsidRPr="00ED0C6A">
        <w:rPr>
          <w:rFonts w:asciiTheme="minorHAnsi" w:hAnsiTheme="minorHAnsi"/>
          <w:sz w:val="24"/>
          <w:lang w:val="pl-PL"/>
        </w:rPr>
        <w:t>ozpatrywana sprawa nie dotyczyła stałej i całkowitej utraty uprawnień emerytalnych skarżącego, ale raczej zawieszenia miesięcznych wypłat jego</w:t>
      </w:r>
      <w:r w:rsidR="0072154D">
        <w:rPr>
          <w:rFonts w:asciiTheme="minorHAnsi" w:hAnsiTheme="minorHAnsi"/>
          <w:sz w:val="24"/>
          <w:lang w:val="pl-PL"/>
        </w:rPr>
        <w:t> </w:t>
      </w:r>
      <w:r w:rsidR="005751CB" w:rsidRPr="00ED0C6A">
        <w:rPr>
          <w:rFonts w:asciiTheme="minorHAnsi" w:hAnsiTheme="minorHAnsi"/>
          <w:sz w:val="24"/>
          <w:lang w:val="pl-PL"/>
        </w:rPr>
        <w:t>emerytury. Zawieszenie to miało charakter tymczasowy i zostały one podjęte na nowo, gdy skarżący zakończył zatrudnienie publiczne. Nie uderzyło ono zatem w samą istotę jego</w:t>
      </w:r>
      <w:r w:rsidR="0072154D">
        <w:rPr>
          <w:rFonts w:asciiTheme="minorHAnsi" w:hAnsiTheme="minorHAnsi"/>
          <w:sz w:val="24"/>
          <w:lang w:val="pl-PL"/>
        </w:rPr>
        <w:t> </w:t>
      </w:r>
      <w:r w:rsidR="005751CB" w:rsidRPr="00ED0C6A">
        <w:rPr>
          <w:rFonts w:asciiTheme="minorHAnsi" w:hAnsiTheme="minorHAnsi"/>
          <w:sz w:val="24"/>
          <w:lang w:val="pl-PL"/>
        </w:rPr>
        <w:t xml:space="preserve">prawa i nie naruszyło istoty tego prawa. </w:t>
      </w:r>
    </w:p>
    <w:p w:rsidR="00884480" w:rsidRPr="00ED0C6A" w:rsidRDefault="00884480" w:rsidP="00F11942">
      <w:pPr>
        <w:pStyle w:val="ClinContent"/>
        <w:spacing w:before="0"/>
        <w:rPr>
          <w:rFonts w:asciiTheme="minorHAnsi" w:hAnsiTheme="minorHAnsi"/>
          <w:sz w:val="24"/>
          <w:lang w:val="pl-PL"/>
        </w:rPr>
      </w:pPr>
    </w:p>
    <w:p w:rsidR="00884480"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Gdy przedmiotowa ustawa weszła w życie, skarżący miał możliwość wyboru między zakończeniem swojego zatrudnienia w służbie cywilnej i dalszym otrzymywaniem emerytury a pozostaniem w tym zatrudnieniu i zawieszeniem wypłat jego emerytury. Wybrał tę drugą opcję. </w:t>
      </w:r>
    </w:p>
    <w:p w:rsidR="00884480" w:rsidRPr="00ED0C6A" w:rsidRDefault="00884480" w:rsidP="00F11942">
      <w:pPr>
        <w:pStyle w:val="ClinContent"/>
        <w:spacing w:before="0"/>
        <w:rPr>
          <w:rFonts w:asciiTheme="minorHAnsi" w:hAnsiTheme="minorHAnsi"/>
          <w:sz w:val="24"/>
          <w:lang w:val="pl-PL"/>
        </w:rPr>
      </w:pPr>
    </w:p>
    <w:p w:rsidR="005751CB"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Było jasne, że w czasie, gdy zawieszone zostały wypłaty jego emerytury, w dalszym ciągu otrzymywał wynagrodzenie. Zawieszenie wypłat jego emerytury w żaden sposób nie</w:t>
      </w:r>
      <w:r w:rsidR="0072154D">
        <w:rPr>
          <w:rFonts w:asciiTheme="minorHAnsi" w:hAnsiTheme="minorHAnsi"/>
          <w:sz w:val="24"/>
          <w:lang w:val="pl-PL"/>
        </w:rPr>
        <w:t> </w:t>
      </w:r>
      <w:r w:rsidRPr="00ED0C6A">
        <w:rPr>
          <w:rFonts w:asciiTheme="minorHAnsi" w:hAnsiTheme="minorHAnsi"/>
          <w:sz w:val="24"/>
          <w:lang w:val="pl-PL"/>
        </w:rPr>
        <w:t xml:space="preserve">pozostawiło go bez jakichkolwiek środków utrzymania. </w:t>
      </w:r>
    </w:p>
    <w:p w:rsidR="00884480" w:rsidRPr="00ED0C6A" w:rsidRDefault="00884480" w:rsidP="00F11942">
      <w:pPr>
        <w:pStyle w:val="ClinContent"/>
        <w:spacing w:before="0"/>
        <w:rPr>
          <w:rFonts w:asciiTheme="minorHAnsi" w:hAnsiTheme="minorHAnsi"/>
          <w:sz w:val="24"/>
          <w:lang w:val="pl-PL"/>
        </w:rPr>
      </w:pPr>
    </w:p>
    <w:p w:rsidR="005751CB" w:rsidRPr="00ED0C6A" w:rsidRDefault="00884480" w:rsidP="00F11942">
      <w:pPr>
        <w:pStyle w:val="ClinContent"/>
        <w:spacing w:before="0"/>
        <w:rPr>
          <w:rFonts w:asciiTheme="minorHAnsi" w:hAnsiTheme="minorHAnsi"/>
          <w:sz w:val="24"/>
          <w:lang w:val="pl-PL"/>
        </w:rPr>
      </w:pPr>
      <w:r w:rsidRPr="00ED0C6A">
        <w:rPr>
          <w:rFonts w:asciiTheme="minorHAnsi" w:hAnsiTheme="minorHAnsi"/>
          <w:sz w:val="24"/>
          <w:lang w:val="pl-PL"/>
        </w:rPr>
        <w:t>Trybunał uznał zatem, że z</w:t>
      </w:r>
      <w:r w:rsidR="005751CB" w:rsidRPr="00ED0C6A">
        <w:rPr>
          <w:rFonts w:asciiTheme="minorHAnsi" w:hAnsiTheme="minorHAnsi"/>
          <w:sz w:val="24"/>
          <w:lang w:val="pl-PL"/>
        </w:rPr>
        <w:t>achowano sprawiedliwą równowagę między potrzebami ogólnego interesu społeczeństwa a wymogami ochrony praw podstawowych skarżącego i</w:t>
      </w:r>
      <w:r w:rsidR="0072154D">
        <w:rPr>
          <w:rFonts w:asciiTheme="minorHAnsi" w:hAnsiTheme="minorHAnsi"/>
          <w:sz w:val="24"/>
          <w:lang w:val="pl-PL"/>
        </w:rPr>
        <w:t> </w:t>
      </w:r>
      <w:r w:rsidR="005751CB" w:rsidRPr="00ED0C6A">
        <w:rPr>
          <w:rFonts w:asciiTheme="minorHAnsi" w:hAnsiTheme="minorHAnsi"/>
          <w:sz w:val="24"/>
          <w:lang w:val="pl-PL"/>
        </w:rPr>
        <w:t>nie</w:t>
      </w:r>
      <w:r w:rsidR="0072154D">
        <w:rPr>
          <w:rFonts w:asciiTheme="minorHAnsi" w:hAnsiTheme="minorHAnsi"/>
          <w:sz w:val="24"/>
          <w:lang w:val="pl-PL"/>
        </w:rPr>
        <w:t> </w:t>
      </w:r>
      <w:r w:rsidR="005751CB" w:rsidRPr="00ED0C6A">
        <w:rPr>
          <w:rFonts w:asciiTheme="minorHAnsi" w:hAnsiTheme="minorHAnsi"/>
          <w:sz w:val="24"/>
          <w:lang w:val="pl-PL"/>
        </w:rPr>
        <w:t xml:space="preserve">zmuszono go do poniesienia nadmiernego indywidualnego obciążenia. </w:t>
      </w:r>
      <w:r w:rsidRPr="00ED0C6A">
        <w:rPr>
          <w:rFonts w:asciiTheme="minorHAnsi" w:hAnsiTheme="minorHAnsi"/>
          <w:sz w:val="24"/>
          <w:lang w:val="pl-PL"/>
        </w:rPr>
        <w:t xml:space="preserve">Z tego względu jednomyślnie stwierdził brak naruszenia art. 1 Protokołu nr 1 (ochrona własności). </w:t>
      </w:r>
      <w:r w:rsidR="005751CB" w:rsidRPr="00ED0C6A">
        <w:rPr>
          <w:rFonts w:asciiTheme="minorHAnsi" w:hAnsiTheme="minorHAnsi"/>
          <w:sz w:val="24"/>
          <w:lang w:val="pl-PL"/>
        </w:rPr>
        <w:t xml:space="preserve"> </w:t>
      </w:r>
    </w:p>
    <w:p w:rsidR="005751CB" w:rsidRPr="00ED0C6A" w:rsidRDefault="00884480" w:rsidP="00F11942">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884480" w:rsidRPr="00ED0C6A" w:rsidRDefault="00884480" w:rsidP="00F11942">
      <w:pPr>
        <w:pStyle w:val="ClinContent"/>
        <w:spacing w:before="0"/>
        <w:rPr>
          <w:rFonts w:asciiTheme="minorHAnsi" w:hAnsiTheme="minorHAnsi"/>
          <w:sz w:val="24"/>
          <w:lang w:val="pl-PL"/>
        </w:rPr>
      </w:pPr>
      <w:r w:rsidRPr="00ED0C6A">
        <w:rPr>
          <w:rFonts w:asciiTheme="minorHAnsi" w:hAnsiTheme="minorHAnsi"/>
          <w:sz w:val="24"/>
          <w:lang w:val="pl-PL"/>
        </w:rPr>
        <w:t>Trybunał zbadał następnie, czy w sprawie tej nie doszło do naruszenia zakazu dyskryminacji (a</w:t>
      </w:r>
      <w:r w:rsidR="005751CB" w:rsidRPr="00ED0C6A">
        <w:rPr>
          <w:rFonts w:asciiTheme="minorHAnsi" w:hAnsiTheme="minorHAnsi"/>
          <w:sz w:val="24"/>
          <w:lang w:val="pl-PL"/>
        </w:rPr>
        <w:t>rt. 14 Konwencji</w:t>
      </w:r>
      <w:r w:rsidRPr="00ED0C6A">
        <w:rPr>
          <w:rFonts w:asciiTheme="minorHAnsi" w:hAnsiTheme="minorHAnsi"/>
          <w:sz w:val="24"/>
          <w:lang w:val="pl-PL"/>
        </w:rPr>
        <w:t xml:space="preserve">) przy korzystaniu z praw chronionych </w:t>
      </w:r>
      <w:r w:rsidR="005751CB" w:rsidRPr="00ED0C6A">
        <w:rPr>
          <w:rFonts w:asciiTheme="minorHAnsi" w:hAnsiTheme="minorHAnsi"/>
          <w:sz w:val="24"/>
          <w:lang w:val="pl-PL"/>
        </w:rPr>
        <w:t>art. 1 Protokołu nr 1</w:t>
      </w:r>
      <w:r w:rsidRPr="00ED0C6A">
        <w:rPr>
          <w:rFonts w:asciiTheme="minorHAnsi" w:hAnsiTheme="minorHAnsi"/>
          <w:sz w:val="24"/>
          <w:lang w:val="pl-PL"/>
        </w:rPr>
        <w:t>.</w:t>
      </w:r>
    </w:p>
    <w:p w:rsidR="00884480" w:rsidRPr="00ED0C6A" w:rsidRDefault="00884480" w:rsidP="00F11942">
      <w:pPr>
        <w:pStyle w:val="ClinContent"/>
        <w:spacing w:before="0"/>
        <w:rPr>
          <w:rFonts w:asciiTheme="minorHAnsi" w:hAnsiTheme="minorHAnsi"/>
          <w:sz w:val="24"/>
          <w:lang w:val="pl-PL"/>
        </w:rPr>
      </w:pPr>
    </w:p>
    <w:p w:rsidR="005751CB"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Pierwszą kwestią</w:t>
      </w:r>
      <w:r w:rsidR="00884480" w:rsidRPr="00ED0C6A">
        <w:rPr>
          <w:rFonts w:asciiTheme="minorHAnsi" w:hAnsiTheme="minorHAnsi"/>
          <w:sz w:val="24"/>
          <w:lang w:val="pl-PL"/>
        </w:rPr>
        <w:t>, jaką musiał ocenić Trybunał, było to</w:t>
      </w:r>
      <w:r w:rsidRPr="00ED0C6A">
        <w:rPr>
          <w:rFonts w:asciiTheme="minorHAnsi" w:hAnsiTheme="minorHAnsi"/>
          <w:sz w:val="24"/>
          <w:lang w:val="pl-PL"/>
        </w:rPr>
        <w:t>, czy skarżący, jako osoba otrzymująca emeryturę a następnie zatrudniona w służbie cywilnej, znajdował się w analogicznej lub</w:t>
      </w:r>
      <w:r w:rsidR="0072154D">
        <w:rPr>
          <w:rFonts w:asciiTheme="minorHAnsi" w:hAnsiTheme="minorHAnsi"/>
          <w:sz w:val="24"/>
          <w:lang w:val="pl-PL"/>
        </w:rPr>
        <w:t> </w:t>
      </w:r>
      <w:r w:rsidRPr="00ED0C6A">
        <w:rPr>
          <w:rFonts w:asciiTheme="minorHAnsi" w:hAnsiTheme="minorHAnsi"/>
          <w:sz w:val="24"/>
          <w:lang w:val="pl-PL"/>
        </w:rPr>
        <w:t xml:space="preserve">istotnie podobnej sytuacji w porównaniu do osób otrzymujących emeryturę a następnie zatrudnionych w sektorze prywatnym. </w:t>
      </w:r>
      <w:r w:rsidR="00884480" w:rsidRPr="00ED0C6A">
        <w:rPr>
          <w:rFonts w:asciiTheme="minorHAnsi" w:hAnsiTheme="minorHAnsi"/>
          <w:sz w:val="24"/>
          <w:lang w:val="pl-PL"/>
        </w:rPr>
        <w:t>Podkreślił, że e</w:t>
      </w:r>
      <w:r w:rsidRPr="00ED0C6A">
        <w:rPr>
          <w:rFonts w:asciiTheme="minorHAnsi" w:hAnsiTheme="minorHAnsi"/>
          <w:sz w:val="24"/>
          <w:lang w:val="pl-PL"/>
        </w:rPr>
        <w:t>lementy, które charakteryzują różne sytuacje i determinują ich porównywalność, należy oceniać w świetle przedmiotu sprawy i</w:t>
      </w:r>
      <w:r w:rsidR="0072154D">
        <w:rPr>
          <w:rFonts w:asciiTheme="minorHAnsi" w:hAnsiTheme="minorHAnsi"/>
          <w:sz w:val="24"/>
          <w:lang w:val="pl-PL"/>
        </w:rPr>
        <w:t> </w:t>
      </w:r>
      <w:r w:rsidRPr="00ED0C6A">
        <w:rPr>
          <w:rFonts w:asciiTheme="minorHAnsi" w:hAnsiTheme="minorHAnsi"/>
          <w:sz w:val="24"/>
          <w:lang w:val="pl-PL"/>
        </w:rPr>
        <w:t xml:space="preserve">celu środka, który powoduje przedmiotowe rozróżnienie. </w:t>
      </w:r>
    </w:p>
    <w:p w:rsidR="00884480" w:rsidRPr="00ED0C6A" w:rsidRDefault="00884480" w:rsidP="00F11942">
      <w:pPr>
        <w:pStyle w:val="ClinContent"/>
        <w:spacing w:before="0"/>
        <w:rPr>
          <w:rFonts w:asciiTheme="minorHAnsi" w:hAnsiTheme="minorHAnsi"/>
          <w:sz w:val="24"/>
          <w:lang w:val="pl-PL"/>
        </w:rPr>
      </w:pPr>
    </w:p>
    <w:p w:rsidR="00884480" w:rsidRPr="00ED0C6A" w:rsidRDefault="00884480" w:rsidP="00F11942">
      <w:pPr>
        <w:pStyle w:val="ClinContent"/>
        <w:spacing w:before="0"/>
        <w:rPr>
          <w:rFonts w:asciiTheme="minorHAnsi" w:hAnsiTheme="minorHAnsi"/>
          <w:sz w:val="24"/>
          <w:lang w:val="pl-PL"/>
        </w:rPr>
      </w:pPr>
      <w:r w:rsidRPr="00ED0C6A">
        <w:rPr>
          <w:rFonts w:asciiTheme="minorHAnsi" w:hAnsiTheme="minorHAnsi"/>
          <w:sz w:val="24"/>
          <w:lang w:val="pl-PL"/>
        </w:rPr>
        <w:t>Trybunał powołał się na swe od dawna utrwalone orzecznictwo uznające</w:t>
      </w:r>
      <w:r w:rsidR="005751CB" w:rsidRPr="00ED0C6A">
        <w:rPr>
          <w:rFonts w:asciiTheme="minorHAnsi" w:hAnsiTheme="minorHAnsi"/>
          <w:sz w:val="24"/>
          <w:lang w:val="pl-PL"/>
        </w:rPr>
        <w:t xml:space="preserve"> rozróżnienie między urzędnikami cywilnymi a osobami zatrudnionymi prywatnie</w:t>
      </w:r>
      <w:r w:rsidRPr="00ED0C6A">
        <w:rPr>
          <w:rFonts w:asciiTheme="minorHAnsi" w:hAnsiTheme="minorHAnsi"/>
          <w:sz w:val="24"/>
          <w:lang w:val="pl-PL"/>
        </w:rPr>
        <w:t xml:space="preserve"> i na trzy elementy z</w:t>
      </w:r>
      <w:r w:rsidR="0072154D">
        <w:rPr>
          <w:rFonts w:asciiTheme="minorHAnsi" w:hAnsiTheme="minorHAnsi"/>
          <w:sz w:val="24"/>
          <w:lang w:val="pl-PL"/>
        </w:rPr>
        <w:t> </w:t>
      </w:r>
      <w:r w:rsidRPr="00ED0C6A">
        <w:rPr>
          <w:rFonts w:asciiTheme="minorHAnsi" w:hAnsiTheme="minorHAnsi"/>
          <w:sz w:val="24"/>
          <w:lang w:val="pl-PL"/>
        </w:rPr>
        <w:t>niego wynikające</w:t>
      </w:r>
      <w:r w:rsidR="001A6F53" w:rsidRPr="00ED0C6A">
        <w:rPr>
          <w:rStyle w:val="Odwoanieprzypisudolnego"/>
          <w:rFonts w:asciiTheme="minorHAnsi" w:hAnsiTheme="minorHAnsi"/>
          <w:sz w:val="24"/>
          <w:lang w:val="pl-PL"/>
        </w:rPr>
        <w:footnoteReference w:id="12"/>
      </w:r>
      <w:r w:rsidRPr="00ED0C6A">
        <w:rPr>
          <w:rFonts w:asciiTheme="minorHAnsi" w:hAnsiTheme="minorHAnsi"/>
          <w:sz w:val="24"/>
          <w:lang w:val="pl-PL"/>
        </w:rPr>
        <w:t>:</w:t>
      </w:r>
      <w:r w:rsidR="005751CB" w:rsidRPr="00ED0C6A">
        <w:rPr>
          <w:rFonts w:asciiTheme="minorHAnsi" w:hAnsiTheme="minorHAnsi"/>
          <w:sz w:val="24"/>
          <w:lang w:val="pl-PL"/>
        </w:rPr>
        <w:t xml:space="preserve"> </w:t>
      </w:r>
    </w:p>
    <w:p w:rsidR="00884480" w:rsidRPr="00ED0C6A" w:rsidRDefault="00884480" w:rsidP="00F11942">
      <w:pPr>
        <w:pStyle w:val="ClinContent"/>
        <w:spacing w:before="0"/>
        <w:rPr>
          <w:rFonts w:asciiTheme="minorHAnsi" w:hAnsiTheme="minorHAnsi"/>
          <w:sz w:val="24"/>
          <w:lang w:val="pl-PL"/>
        </w:rPr>
      </w:pPr>
    </w:p>
    <w:p w:rsidR="00884480"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Po pierwsze, Układające się Strony – z konieczności – korzystają z szerokiej swobody przy</w:t>
      </w:r>
      <w:r w:rsidR="0072154D">
        <w:rPr>
          <w:rFonts w:asciiTheme="minorHAnsi" w:hAnsiTheme="minorHAnsi"/>
          <w:sz w:val="24"/>
          <w:lang w:val="pl-PL"/>
        </w:rPr>
        <w:t> </w:t>
      </w:r>
      <w:r w:rsidRPr="00ED0C6A">
        <w:rPr>
          <w:rFonts w:asciiTheme="minorHAnsi" w:hAnsiTheme="minorHAnsi"/>
          <w:sz w:val="24"/>
          <w:lang w:val="pl-PL"/>
        </w:rPr>
        <w:t>organizowaniu funkcji państwowych i służb publicznych, w tym w takich sprawach jak</w:t>
      </w:r>
      <w:r w:rsidR="0072154D">
        <w:rPr>
          <w:rFonts w:asciiTheme="minorHAnsi" w:hAnsiTheme="minorHAnsi"/>
          <w:sz w:val="24"/>
          <w:lang w:val="pl-PL"/>
        </w:rPr>
        <w:t> </w:t>
      </w:r>
      <w:r w:rsidRPr="00ED0C6A">
        <w:rPr>
          <w:rFonts w:asciiTheme="minorHAnsi" w:hAnsiTheme="minorHAnsi"/>
          <w:sz w:val="24"/>
          <w:lang w:val="pl-PL"/>
        </w:rPr>
        <w:t xml:space="preserve">regulowanie dostępu do zatrudnienia w sektorze publicznym oraz zasad i warunków regulujących takie zatrudnienie. </w:t>
      </w:r>
    </w:p>
    <w:p w:rsidR="00884480" w:rsidRPr="00ED0C6A" w:rsidRDefault="00884480" w:rsidP="00F11942">
      <w:pPr>
        <w:pStyle w:val="ClinContent"/>
        <w:spacing w:before="0"/>
        <w:rPr>
          <w:rFonts w:asciiTheme="minorHAnsi" w:hAnsiTheme="minorHAnsi"/>
          <w:sz w:val="24"/>
          <w:lang w:val="pl-PL"/>
        </w:rPr>
      </w:pPr>
    </w:p>
    <w:p w:rsidR="00884480"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 xml:space="preserve">Po drugie, ze względów instytucjonalnych i funkcjonalnych zatrudnienie w sektorze publicznym i sektorze prywatnym są zazwyczaj poddane znacznym różnicom prawnym i faktycznym, szczególnie w obszarach związanych z wykonywaniem suwerennych uprawnień </w:t>
      </w:r>
      <w:r w:rsidR="00721A8D" w:rsidRPr="00ED0C6A">
        <w:rPr>
          <w:rFonts w:asciiTheme="minorHAnsi" w:hAnsiTheme="minorHAnsi"/>
          <w:sz w:val="24"/>
          <w:lang w:val="pl-PL"/>
        </w:rPr>
        <w:t xml:space="preserve">Państwa </w:t>
      </w:r>
      <w:r w:rsidRPr="00ED0C6A">
        <w:rPr>
          <w:rFonts w:asciiTheme="minorHAnsi" w:hAnsiTheme="minorHAnsi"/>
          <w:sz w:val="24"/>
          <w:lang w:val="pl-PL"/>
        </w:rPr>
        <w:t xml:space="preserve">oraz zapewnianiem kluczowych usług publicznych. </w:t>
      </w:r>
    </w:p>
    <w:p w:rsidR="00884480" w:rsidRPr="00ED0C6A" w:rsidRDefault="00884480" w:rsidP="00F11942">
      <w:pPr>
        <w:pStyle w:val="ClinContent"/>
        <w:spacing w:before="0"/>
        <w:rPr>
          <w:rFonts w:asciiTheme="minorHAnsi" w:hAnsiTheme="minorHAnsi"/>
          <w:sz w:val="24"/>
          <w:lang w:val="pl-PL"/>
        </w:rPr>
      </w:pPr>
    </w:p>
    <w:p w:rsidR="00884480"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Po trzecie, nie można zakładać, że zasady i warunki zatrudnienia, w tym finansowe, lub kwalifikowania się do świadczeń społecznych powiązanych z zatrudnieniem, będą takie</w:t>
      </w:r>
      <w:r w:rsidR="0072154D">
        <w:rPr>
          <w:rFonts w:asciiTheme="minorHAnsi" w:hAnsiTheme="minorHAnsi"/>
          <w:sz w:val="24"/>
          <w:lang w:val="pl-PL"/>
        </w:rPr>
        <w:t> </w:t>
      </w:r>
      <w:r w:rsidRPr="00ED0C6A">
        <w:rPr>
          <w:rFonts w:asciiTheme="minorHAnsi" w:hAnsiTheme="minorHAnsi"/>
          <w:sz w:val="24"/>
          <w:lang w:val="pl-PL"/>
        </w:rPr>
        <w:t>same w służbie cywilnej i w sektorze prywatnym, ani zatem nie można zakładać, że</w:t>
      </w:r>
      <w:r w:rsidR="0072154D">
        <w:rPr>
          <w:rFonts w:asciiTheme="minorHAnsi" w:hAnsiTheme="minorHAnsi"/>
          <w:sz w:val="24"/>
          <w:lang w:val="pl-PL"/>
        </w:rPr>
        <w:t> </w:t>
      </w:r>
      <w:r w:rsidRPr="00ED0C6A">
        <w:rPr>
          <w:rFonts w:asciiTheme="minorHAnsi" w:hAnsiTheme="minorHAnsi"/>
          <w:sz w:val="24"/>
          <w:lang w:val="pl-PL"/>
        </w:rPr>
        <w:t>te</w:t>
      </w:r>
      <w:r w:rsidR="0072154D">
        <w:rPr>
          <w:rFonts w:asciiTheme="minorHAnsi" w:hAnsiTheme="minorHAnsi"/>
          <w:sz w:val="24"/>
          <w:lang w:val="pl-PL"/>
        </w:rPr>
        <w:t> </w:t>
      </w:r>
      <w:r w:rsidRPr="00ED0C6A">
        <w:rPr>
          <w:rFonts w:asciiTheme="minorHAnsi" w:hAnsiTheme="minorHAnsi"/>
          <w:sz w:val="24"/>
          <w:lang w:val="pl-PL"/>
        </w:rPr>
        <w:t xml:space="preserve">kategorie osób znajdują się w tym względzie w istotnie podobnych sytuacjach. </w:t>
      </w:r>
    </w:p>
    <w:p w:rsidR="00884480" w:rsidRPr="00ED0C6A" w:rsidRDefault="00884480" w:rsidP="00F11942">
      <w:pPr>
        <w:pStyle w:val="ClinContent"/>
        <w:spacing w:before="0"/>
        <w:rPr>
          <w:rFonts w:asciiTheme="minorHAnsi" w:hAnsiTheme="minorHAnsi"/>
          <w:sz w:val="24"/>
          <w:lang w:val="pl-PL"/>
        </w:rPr>
      </w:pPr>
    </w:p>
    <w:p w:rsidR="005751CB" w:rsidRPr="00ED0C6A" w:rsidRDefault="00884480" w:rsidP="00F11942">
      <w:pPr>
        <w:pStyle w:val="ClinContent"/>
        <w:spacing w:before="0"/>
        <w:rPr>
          <w:rFonts w:asciiTheme="minorHAnsi" w:hAnsiTheme="minorHAnsi"/>
          <w:sz w:val="24"/>
          <w:lang w:val="pl-PL"/>
        </w:rPr>
      </w:pPr>
      <w:r w:rsidRPr="00ED0C6A">
        <w:rPr>
          <w:rFonts w:asciiTheme="minorHAnsi" w:hAnsiTheme="minorHAnsi"/>
          <w:sz w:val="24"/>
          <w:lang w:val="pl-PL"/>
        </w:rPr>
        <w:t>Trybunał zauważył jednak, że s</w:t>
      </w:r>
      <w:r w:rsidR="005751CB" w:rsidRPr="00ED0C6A">
        <w:rPr>
          <w:rFonts w:asciiTheme="minorHAnsi" w:hAnsiTheme="minorHAnsi"/>
          <w:sz w:val="24"/>
          <w:lang w:val="pl-PL"/>
        </w:rPr>
        <w:t>prawa skarżącego ujawnia konieczność wzięcia pod uwagę czwartego czynnika, a mianowicie roli państwa, gdy działa ono jako pracodawca. W</w:t>
      </w:r>
      <w:r w:rsidR="0072154D">
        <w:rPr>
          <w:rFonts w:asciiTheme="minorHAnsi" w:hAnsiTheme="minorHAnsi"/>
          <w:sz w:val="24"/>
          <w:lang w:val="pl-PL"/>
        </w:rPr>
        <w:t> </w:t>
      </w:r>
      <w:r w:rsidR="005751CB" w:rsidRPr="00ED0C6A">
        <w:rPr>
          <w:rFonts w:asciiTheme="minorHAnsi" w:hAnsiTheme="minorHAnsi"/>
          <w:sz w:val="24"/>
          <w:lang w:val="pl-PL"/>
        </w:rPr>
        <w:t xml:space="preserve">szczególności, </w:t>
      </w:r>
      <w:r w:rsidR="00D02D5A" w:rsidRPr="00ED0C6A">
        <w:rPr>
          <w:rFonts w:asciiTheme="minorHAnsi" w:hAnsiTheme="minorHAnsi"/>
          <w:sz w:val="24"/>
          <w:lang w:val="pl-PL"/>
        </w:rPr>
        <w:t xml:space="preserve">jako pracodawcy </w:t>
      </w:r>
      <w:r w:rsidR="005751CB" w:rsidRPr="00ED0C6A">
        <w:rPr>
          <w:rFonts w:asciiTheme="minorHAnsi" w:hAnsiTheme="minorHAnsi"/>
          <w:sz w:val="24"/>
          <w:lang w:val="pl-PL"/>
        </w:rPr>
        <w:t>państwo i jego organy nie znajdują się w sytuacji porównywalnej do podmiotów sektora prywatnego – ani z punktu widzenia ram instytucjonalnych, w których funkcjonują, ani też z punktu widzenia podstaw finansowych i</w:t>
      </w:r>
      <w:r w:rsidR="0072154D">
        <w:rPr>
          <w:rFonts w:asciiTheme="minorHAnsi" w:hAnsiTheme="minorHAnsi"/>
          <w:sz w:val="24"/>
          <w:lang w:val="pl-PL"/>
        </w:rPr>
        <w:t> </w:t>
      </w:r>
      <w:r w:rsidR="005751CB" w:rsidRPr="00ED0C6A">
        <w:rPr>
          <w:rFonts w:asciiTheme="minorHAnsi" w:hAnsiTheme="minorHAnsi"/>
          <w:sz w:val="24"/>
          <w:lang w:val="pl-PL"/>
        </w:rPr>
        <w:t>gospodarczych ich działalności: podstawy ich finansowania różnią się diametralnie, podobnie jak dostępne możliwości podejmowania środków w celu rozwiązania trudności i</w:t>
      </w:r>
      <w:r w:rsidR="002A164D">
        <w:rPr>
          <w:rFonts w:asciiTheme="minorHAnsi" w:hAnsiTheme="minorHAnsi"/>
          <w:sz w:val="24"/>
          <w:lang w:val="pl-PL"/>
        </w:rPr>
        <w:t> </w:t>
      </w:r>
      <w:r w:rsidR="005751CB" w:rsidRPr="00ED0C6A">
        <w:rPr>
          <w:rFonts w:asciiTheme="minorHAnsi" w:hAnsiTheme="minorHAnsi"/>
          <w:sz w:val="24"/>
          <w:lang w:val="pl-PL"/>
        </w:rPr>
        <w:t xml:space="preserve">kryzysów finansowych. </w:t>
      </w:r>
    </w:p>
    <w:p w:rsidR="001A6F53" w:rsidRPr="00ED0C6A" w:rsidRDefault="001A6F53" w:rsidP="00F11942">
      <w:pPr>
        <w:pStyle w:val="ClinContent"/>
        <w:spacing w:before="0"/>
        <w:rPr>
          <w:rFonts w:asciiTheme="minorHAnsi" w:hAnsiTheme="minorHAnsi"/>
          <w:sz w:val="24"/>
          <w:lang w:val="pl-PL"/>
        </w:rPr>
      </w:pPr>
    </w:p>
    <w:p w:rsidR="001A6F53" w:rsidRPr="00ED0C6A" w:rsidRDefault="001A6F53" w:rsidP="00F11942">
      <w:pPr>
        <w:pStyle w:val="ClinContent"/>
        <w:spacing w:before="0"/>
        <w:rPr>
          <w:rFonts w:asciiTheme="minorHAnsi" w:hAnsiTheme="minorHAnsi"/>
          <w:sz w:val="24"/>
          <w:lang w:val="pl-PL"/>
        </w:rPr>
      </w:pPr>
      <w:r w:rsidRPr="00ED0C6A">
        <w:rPr>
          <w:rFonts w:asciiTheme="minorHAnsi" w:hAnsiTheme="minorHAnsi"/>
          <w:sz w:val="24"/>
          <w:lang w:val="pl-PL"/>
        </w:rPr>
        <w:t>W obecnej sprawie z</w:t>
      </w:r>
      <w:r w:rsidR="005751CB" w:rsidRPr="00ED0C6A">
        <w:rPr>
          <w:rFonts w:asciiTheme="minorHAnsi" w:hAnsiTheme="minorHAnsi"/>
          <w:sz w:val="24"/>
          <w:lang w:val="pl-PL"/>
        </w:rPr>
        <w:t>arówno pracownicy sektora państwowego, jak i prywatnego zostali objęci obowiązkowym systemem emerytalnego ubezpieczenia społecznego, do którego odprowadzano ich składki w ten sam sposób i w tym samym zakresie. Tym niemniej, sama</w:t>
      </w:r>
      <w:r w:rsidR="0072154D">
        <w:rPr>
          <w:rFonts w:asciiTheme="minorHAnsi" w:hAnsiTheme="minorHAnsi"/>
          <w:sz w:val="24"/>
          <w:lang w:val="pl-PL"/>
        </w:rPr>
        <w:t> </w:t>
      </w:r>
      <w:r w:rsidR="005751CB" w:rsidRPr="00ED0C6A">
        <w:rPr>
          <w:rFonts w:asciiTheme="minorHAnsi" w:hAnsiTheme="minorHAnsi"/>
          <w:sz w:val="24"/>
          <w:lang w:val="pl-PL"/>
        </w:rPr>
        <w:t>ta</w:t>
      </w:r>
      <w:r w:rsidR="0072154D">
        <w:rPr>
          <w:rFonts w:asciiTheme="minorHAnsi" w:hAnsiTheme="minorHAnsi"/>
          <w:sz w:val="24"/>
          <w:lang w:val="pl-PL"/>
        </w:rPr>
        <w:t> </w:t>
      </w:r>
      <w:r w:rsidR="005751CB" w:rsidRPr="00ED0C6A">
        <w:rPr>
          <w:rFonts w:asciiTheme="minorHAnsi" w:hAnsiTheme="minorHAnsi"/>
          <w:sz w:val="24"/>
          <w:lang w:val="pl-PL"/>
        </w:rPr>
        <w:t>okoliczność nie jest wystarczająca do ustalenia</w:t>
      </w:r>
      <w:r w:rsidRPr="00ED0C6A">
        <w:rPr>
          <w:rFonts w:asciiTheme="minorHAnsi" w:hAnsiTheme="minorHAnsi"/>
          <w:sz w:val="24"/>
          <w:lang w:val="pl-PL"/>
        </w:rPr>
        <w:t xml:space="preserve"> przez Trybunał</w:t>
      </w:r>
      <w:r w:rsidR="005751CB" w:rsidRPr="00ED0C6A">
        <w:rPr>
          <w:rFonts w:asciiTheme="minorHAnsi" w:hAnsiTheme="minorHAnsi"/>
          <w:sz w:val="24"/>
          <w:lang w:val="pl-PL"/>
        </w:rPr>
        <w:t xml:space="preserve">, że znajdowali się oni w istotnie podobnych sytuacjach. </w:t>
      </w:r>
    </w:p>
    <w:p w:rsidR="001A6F53" w:rsidRPr="00ED0C6A" w:rsidRDefault="001A6F53" w:rsidP="00F11942">
      <w:pPr>
        <w:pStyle w:val="ClinContent"/>
        <w:spacing w:before="0"/>
        <w:rPr>
          <w:rFonts w:asciiTheme="minorHAnsi" w:hAnsiTheme="minorHAnsi"/>
          <w:sz w:val="24"/>
          <w:lang w:val="pl-PL"/>
        </w:rPr>
      </w:pPr>
    </w:p>
    <w:p w:rsidR="005751CB" w:rsidRPr="00ED0C6A" w:rsidRDefault="005751CB" w:rsidP="00F11942">
      <w:pPr>
        <w:pStyle w:val="ClinContent"/>
        <w:spacing w:before="0"/>
        <w:rPr>
          <w:rFonts w:asciiTheme="minorHAnsi" w:hAnsiTheme="minorHAnsi"/>
          <w:sz w:val="24"/>
          <w:lang w:val="pl-PL"/>
        </w:rPr>
      </w:pPr>
      <w:r w:rsidRPr="00ED0C6A">
        <w:rPr>
          <w:rFonts w:asciiTheme="minorHAnsi" w:hAnsiTheme="minorHAnsi"/>
          <w:sz w:val="24"/>
          <w:lang w:val="pl-PL"/>
        </w:rPr>
        <w:t>Po nowelizacji ustawy o emeryturach z 1997 r. to zatrudnienie skarżącego podjęte po</w:t>
      </w:r>
      <w:r w:rsidR="0072154D">
        <w:rPr>
          <w:rFonts w:asciiTheme="minorHAnsi" w:hAnsiTheme="minorHAnsi"/>
          <w:sz w:val="24"/>
          <w:lang w:val="pl-PL"/>
        </w:rPr>
        <w:t> </w:t>
      </w:r>
      <w:r w:rsidRPr="00ED0C6A">
        <w:rPr>
          <w:rFonts w:asciiTheme="minorHAnsi" w:hAnsiTheme="minorHAnsi"/>
          <w:sz w:val="24"/>
          <w:lang w:val="pl-PL"/>
        </w:rPr>
        <w:t xml:space="preserve">przejściu na emeryturę pociągało za sobą zawieszenie wypłat jego emerytury. To właśnie fakt, że jako urzędnik cywilny otrzymywał wynagrodzenie od państwa, był nie do pogodzenia z jednoczesnym wypłacaniem emerytury finansowanej z tego samego źródła. W ramach polityki finansowej, społecznej i zatrudnienia zaskarżony zakaz jednoczesnego łączenia emerytury i wynagrodzenia z budżetu państwa został wprowadzony jako część działań ustawowych mających na celu skorygowanie niezrównoważonych pod względem finansowym cech systemu emerytalnego pozwanego Państwa. Nie wykluczało to łączenia emerytury i wynagrodzenia w przypadku osób zatrudnionych w sektorze prywatnym, których wynagrodzenia, odmiennie niż w przypadku osób zatrudnionych w służbie cywilnej, nie były finansowane przez państwo, a z prywatnych środków będących poza bezpośrednią kontrolą państwa.   </w:t>
      </w:r>
    </w:p>
    <w:p w:rsidR="001A6F53" w:rsidRPr="00ED0C6A" w:rsidRDefault="001A6F53" w:rsidP="00F11942">
      <w:pPr>
        <w:pStyle w:val="ClinContent"/>
        <w:spacing w:before="0"/>
        <w:rPr>
          <w:rFonts w:asciiTheme="minorHAnsi" w:hAnsiTheme="minorHAnsi"/>
          <w:sz w:val="24"/>
          <w:lang w:val="pl-PL"/>
        </w:rPr>
      </w:pPr>
    </w:p>
    <w:p w:rsidR="00291809" w:rsidRPr="00ED0C6A" w:rsidRDefault="001A6F53" w:rsidP="00F11942">
      <w:pPr>
        <w:pStyle w:val="ClinContent"/>
        <w:spacing w:before="0"/>
        <w:rPr>
          <w:rFonts w:asciiTheme="minorHAnsi" w:hAnsiTheme="minorHAnsi"/>
          <w:sz w:val="24"/>
          <w:lang w:val="pl-PL"/>
        </w:rPr>
      </w:pPr>
      <w:r w:rsidRPr="00ED0C6A">
        <w:rPr>
          <w:rFonts w:asciiTheme="minorHAnsi" w:hAnsiTheme="minorHAnsi"/>
          <w:sz w:val="24"/>
          <w:lang w:val="pl-PL"/>
        </w:rPr>
        <w:t>W tym kontekście Trybunał uznał, że s</w:t>
      </w:r>
      <w:r w:rsidR="005751CB" w:rsidRPr="00ED0C6A">
        <w:rPr>
          <w:rFonts w:asciiTheme="minorHAnsi" w:hAnsiTheme="minorHAnsi"/>
          <w:sz w:val="24"/>
          <w:lang w:val="pl-PL"/>
        </w:rPr>
        <w:t>karżący nie wykazał, że jako członek służby cywilnej, której zatrudnienie, wynagrodzenie i świadczenia społeczne uzależnione były od budżetu państwa, znajdował się w sytuacji istotnie podobnej do sytuacji emerytów zatrudnionych w</w:t>
      </w:r>
      <w:r w:rsidR="0072154D">
        <w:rPr>
          <w:rFonts w:asciiTheme="minorHAnsi" w:hAnsiTheme="minorHAnsi"/>
          <w:sz w:val="24"/>
          <w:lang w:val="pl-PL"/>
        </w:rPr>
        <w:t> </w:t>
      </w:r>
      <w:r w:rsidR="005751CB" w:rsidRPr="00ED0C6A">
        <w:rPr>
          <w:rFonts w:asciiTheme="minorHAnsi" w:hAnsiTheme="minorHAnsi"/>
          <w:sz w:val="24"/>
          <w:lang w:val="pl-PL"/>
        </w:rPr>
        <w:t xml:space="preserve">sektorze prywatnym. </w:t>
      </w:r>
      <w:r w:rsidRPr="00ED0C6A">
        <w:rPr>
          <w:rFonts w:asciiTheme="minorHAnsi" w:hAnsiTheme="minorHAnsi"/>
          <w:sz w:val="24"/>
          <w:lang w:val="pl-PL"/>
        </w:rPr>
        <w:t>Stwierdził zatem, jedenastoma głosami do sześciu, że nie doszło do</w:t>
      </w:r>
      <w:r w:rsidR="0072154D">
        <w:rPr>
          <w:rFonts w:asciiTheme="minorHAnsi" w:hAnsiTheme="minorHAnsi"/>
          <w:sz w:val="24"/>
          <w:lang w:val="pl-PL"/>
        </w:rPr>
        <w:t> </w:t>
      </w:r>
      <w:r w:rsidRPr="00ED0C6A">
        <w:rPr>
          <w:rFonts w:asciiTheme="minorHAnsi" w:hAnsiTheme="minorHAnsi"/>
          <w:sz w:val="24"/>
          <w:lang w:val="pl-PL"/>
        </w:rPr>
        <w:t>naruszenia zakazu dyskryminacji (art. 14 Konwencji) w związku z art. 1 Protokołu nr 1 chroniącym własność</w:t>
      </w:r>
      <w:r w:rsidR="00B816C5" w:rsidRPr="00ED0C6A">
        <w:rPr>
          <w:rStyle w:val="Odwoanieprzypisudolnego"/>
          <w:rFonts w:asciiTheme="minorHAnsi" w:hAnsiTheme="minorHAnsi"/>
          <w:sz w:val="24"/>
          <w:lang w:val="pl-PL"/>
        </w:rPr>
        <w:footnoteReference w:id="13"/>
      </w:r>
      <w:r w:rsidRPr="00ED0C6A">
        <w:rPr>
          <w:rFonts w:asciiTheme="minorHAnsi" w:hAnsiTheme="minorHAnsi"/>
          <w:sz w:val="24"/>
          <w:lang w:val="pl-PL"/>
        </w:rPr>
        <w:t xml:space="preserve">. </w:t>
      </w:r>
    </w:p>
    <w:p w:rsidR="00291809" w:rsidRPr="00ED0C6A" w:rsidRDefault="00291809" w:rsidP="00F11942">
      <w:pPr>
        <w:pStyle w:val="ClinContent"/>
        <w:spacing w:before="0"/>
        <w:rPr>
          <w:rFonts w:asciiTheme="minorHAnsi" w:hAnsiTheme="minorHAnsi"/>
          <w:sz w:val="24"/>
          <w:lang w:val="pl-PL"/>
        </w:rPr>
      </w:pPr>
    </w:p>
    <w:p w:rsidR="00291809" w:rsidRPr="00ED0C6A" w:rsidRDefault="00291809" w:rsidP="00F11942">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001A6F53" w:rsidRPr="00ED0C6A">
        <w:rPr>
          <w:rFonts w:asciiTheme="minorHAnsi" w:hAnsiTheme="minorHAnsi"/>
          <w:sz w:val="24"/>
          <w:lang w:val="pl-PL"/>
        </w:rPr>
        <w:t xml:space="preserve"> </w:t>
      </w:r>
      <w:r w:rsidRPr="00ED0C6A">
        <w:rPr>
          <w:rFonts w:asciiTheme="minorHAnsi" w:hAnsiTheme="minorHAnsi"/>
          <w:sz w:val="24"/>
          <w:lang w:val="pl-PL"/>
        </w:rPr>
        <w:t xml:space="preserve">Po pierwsze, wyrok przypomina kryteria orzecznictwa Trybunału mające zastosowanie do oceny dopuszczalności nakładania indywidualnych ograniczeń na dotychczasowy zakres uprawnień majątkowych osób w przypadkach reform zakładających obniżanie, zawieszanie lub zaprzestanie wypłacania emerytur w ramach systemu ubezpieczeń społecznych. W sprawach takich dla oceny zgodności z Konwencją znaczenie ma zakres utraty świadczeń, </w:t>
      </w:r>
      <w:r w:rsidR="007E18ED" w:rsidRPr="00ED0C6A">
        <w:rPr>
          <w:rFonts w:asciiTheme="minorHAnsi" w:hAnsiTheme="minorHAnsi"/>
          <w:sz w:val="24"/>
          <w:lang w:val="pl-PL"/>
        </w:rPr>
        <w:t xml:space="preserve">możliwość </w:t>
      </w:r>
      <w:r w:rsidR="00F870D0" w:rsidRPr="00ED0C6A">
        <w:rPr>
          <w:rFonts w:asciiTheme="minorHAnsi" w:hAnsiTheme="minorHAnsi"/>
          <w:sz w:val="24"/>
          <w:lang w:val="pl-PL"/>
        </w:rPr>
        <w:t xml:space="preserve">dokonania </w:t>
      </w:r>
      <w:r w:rsidRPr="00ED0C6A">
        <w:rPr>
          <w:rFonts w:asciiTheme="minorHAnsi" w:hAnsiTheme="minorHAnsi"/>
          <w:sz w:val="24"/>
          <w:lang w:val="pl-PL"/>
        </w:rPr>
        <w:t>wyboru przez jednostkę, a</w:t>
      </w:r>
      <w:r w:rsidR="0072154D">
        <w:rPr>
          <w:rFonts w:asciiTheme="minorHAnsi" w:hAnsiTheme="minorHAnsi"/>
          <w:sz w:val="24"/>
          <w:lang w:val="pl-PL"/>
        </w:rPr>
        <w:t> </w:t>
      </w:r>
      <w:r w:rsidRPr="00ED0C6A">
        <w:rPr>
          <w:rFonts w:asciiTheme="minorHAnsi" w:hAnsiTheme="minorHAnsi"/>
          <w:sz w:val="24"/>
          <w:lang w:val="pl-PL"/>
        </w:rPr>
        <w:t>także zakres utraty środków utrzymania</w:t>
      </w:r>
      <w:r w:rsidR="007E18ED" w:rsidRPr="00ED0C6A">
        <w:rPr>
          <w:rFonts w:asciiTheme="minorHAnsi" w:hAnsiTheme="minorHAnsi"/>
          <w:sz w:val="24"/>
          <w:lang w:val="pl-PL"/>
        </w:rPr>
        <w:t xml:space="preserve"> (tj. czy osoba miała do dyspozycji środki umożliwiające utrzymanie się)</w:t>
      </w:r>
      <w:r w:rsidRPr="00ED0C6A">
        <w:rPr>
          <w:rFonts w:asciiTheme="minorHAnsi" w:hAnsiTheme="minorHAnsi"/>
          <w:sz w:val="24"/>
          <w:lang w:val="pl-PL"/>
        </w:rPr>
        <w:t xml:space="preserve">. Po drugie, wyrok potwierdza możliwość wprowadzenia pewnego uzasadnionego zróżnicowania traktowania osób zatrudnionych w sektorze prywatnym i publicznym, także w przypadku, gdy dotyczą one nałożenia </w:t>
      </w:r>
      <w:r w:rsidR="007E18ED" w:rsidRPr="00ED0C6A">
        <w:rPr>
          <w:rFonts w:asciiTheme="minorHAnsi" w:hAnsiTheme="minorHAnsi"/>
          <w:sz w:val="24"/>
          <w:lang w:val="pl-PL"/>
        </w:rPr>
        <w:t xml:space="preserve">na pracowników służby publicznej </w:t>
      </w:r>
      <w:r w:rsidRPr="00ED0C6A">
        <w:rPr>
          <w:rFonts w:asciiTheme="minorHAnsi" w:hAnsiTheme="minorHAnsi"/>
          <w:sz w:val="24"/>
          <w:lang w:val="pl-PL"/>
        </w:rPr>
        <w:t xml:space="preserve">dalej idących ograniczeń w ramach reform świadczeń emerytalnych mających na celu ochronę finansów publicznych. Trybunał odnotował, że uregulowania dotyczące statusu pracowników służby publicznej </w:t>
      </w:r>
      <w:r w:rsidR="007E18ED" w:rsidRPr="00ED0C6A">
        <w:rPr>
          <w:rFonts w:asciiTheme="minorHAnsi" w:hAnsiTheme="minorHAnsi"/>
          <w:sz w:val="24"/>
          <w:lang w:val="pl-PL"/>
        </w:rPr>
        <w:t>czy też podstaw finansowania ich</w:t>
      </w:r>
      <w:r w:rsidR="0072154D">
        <w:rPr>
          <w:rFonts w:asciiTheme="minorHAnsi" w:hAnsiTheme="minorHAnsi"/>
          <w:sz w:val="24"/>
          <w:lang w:val="pl-PL"/>
        </w:rPr>
        <w:t> </w:t>
      </w:r>
      <w:r w:rsidR="007E18ED" w:rsidRPr="00ED0C6A">
        <w:rPr>
          <w:rFonts w:asciiTheme="minorHAnsi" w:hAnsiTheme="minorHAnsi"/>
          <w:sz w:val="24"/>
          <w:lang w:val="pl-PL"/>
        </w:rPr>
        <w:t xml:space="preserve">wynagrodzeń i świadczeń przez publicznoprawnego pracodawcę </w:t>
      </w:r>
      <w:r w:rsidRPr="00ED0C6A">
        <w:rPr>
          <w:rFonts w:asciiTheme="minorHAnsi" w:hAnsiTheme="minorHAnsi"/>
          <w:sz w:val="24"/>
          <w:lang w:val="pl-PL"/>
        </w:rPr>
        <w:t xml:space="preserve">są w wielu aspektach odmiennie uregulowane </w:t>
      </w:r>
      <w:r w:rsidR="009507EB" w:rsidRPr="00ED0C6A">
        <w:rPr>
          <w:rFonts w:asciiTheme="minorHAnsi" w:hAnsiTheme="minorHAnsi"/>
          <w:sz w:val="24"/>
          <w:lang w:val="pl-PL"/>
        </w:rPr>
        <w:t xml:space="preserve">niż w przypadku </w:t>
      </w:r>
      <w:r w:rsidRPr="00ED0C6A">
        <w:rPr>
          <w:rFonts w:asciiTheme="minorHAnsi" w:hAnsiTheme="minorHAnsi"/>
          <w:sz w:val="24"/>
          <w:lang w:val="pl-PL"/>
        </w:rPr>
        <w:t>pracowników sektora prywatnego</w:t>
      </w:r>
      <w:r w:rsidR="00A77E26" w:rsidRPr="00ED0C6A">
        <w:rPr>
          <w:rFonts w:asciiTheme="minorHAnsi" w:hAnsiTheme="minorHAnsi"/>
          <w:sz w:val="24"/>
          <w:lang w:val="pl-PL"/>
        </w:rPr>
        <w:t>.</w:t>
      </w:r>
    </w:p>
    <w:p w:rsidR="009813E2" w:rsidRPr="00ED0C6A" w:rsidRDefault="009813E2" w:rsidP="00F11942">
      <w:pPr>
        <w:pStyle w:val="ClinContent"/>
        <w:spacing w:before="0"/>
        <w:rPr>
          <w:rFonts w:asciiTheme="minorHAnsi" w:hAnsiTheme="minorHAnsi"/>
          <w:sz w:val="24"/>
          <w:lang w:val="pl-PL"/>
        </w:rPr>
      </w:pPr>
    </w:p>
    <w:p w:rsidR="009813E2" w:rsidRPr="00ED0C6A" w:rsidRDefault="009813E2" w:rsidP="00F11942">
      <w:pPr>
        <w:pStyle w:val="ClinContent"/>
        <w:spacing w:before="0"/>
        <w:rPr>
          <w:rFonts w:asciiTheme="minorHAnsi" w:hAnsiTheme="minorHAnsi"/>
          <w:sz w:val="24"/>
          <w:u w:val="single"/>
          <w:lang w:val="pl-PL"/>
        </w:rPr>
      </w:pPr>
      <w:r w:rsidRPr="00ED0C6A">
        <w:rPr>
          <w:rFonts w:asciiTheme="minorHAnsi" w:hAnsiTheme="minorHAnsi"/>
          <w:sz w:val="24"/>
          <w:lang w:val="pl-PL"/>
        </w:rPr>
        <w:t>Wyrok może mieć znaczenie dla organów właściwych ds. uregulowań prawnych i</w:t>
      </w:r>
      <w:r w:rsidR="00F870D0" w:rsidRPr="00ED0C6A">
        <w:rPr>
          <w:rFonts w:asciiTheme="minorHAnsi" w:hAnsiTheme="minorHAnsi"/>
          <w:sz w:val="24"/>
          <w:lang w:val="pl-PL"/>
        </w:rPr>
        <w:t xml:space="preserve"> </w:t>
      </w:r>
      <w:r w:rsidRPr="00ED0C6A">
        <w:rPr>
          <w:rFonts w:asciiTheme="minorHAnsi" w:hAnsiTheme="minorHAnsi"/>
          <w:sz w:val="24"/>
          <w:lang w:val="pl-PL"/>
        </w:rPr>
        <w:t xml:space="preserve"> kontroli prawa dotyczącego systemów emerytalnych</w:t>
      </w:r>
      <w:r w:rsidR="006A2FA9" w:rsidRPr="00ED0C6A">
        <w:rPr>
          <w:rFonts w:asciiTheme="minorHAnsi" w:hAnsiTheme="minorHAnsi"/>
          <w:sz w:val="24"/>
          <w:lang w:val="pl-PL"/>
        </w:rPr>
        <w:t>,</w:t>
      </w:r>
      <w:r w:rsidRPr="00ED0C6A">
        <w:rPr>
          <w:rFonts w:asciiTheme="minorHAnsi" w:hAnsiTheme="minorHAnsi"/>
          <w:sz w:val="24"/>
          <w:lang w:val="pl-PL"/>
        </w:rPr>
        <w:t xml:space="preserve"> </w:t>
      </w:r>
      <w:r w:rsidR="006A2FA9" w:rsidRPr="00ED0C6A">
        <w:rPr>
          <w:rFonts w:asciiTheme="minorHAnsi" w:hAnsiTheme="minorHAnsi"/>
          <w:sz w:val="24"/>
          <w:lang w:val="pl-PL"/>
        </w:rPr>
        <w:t>prawa pracy, finansów publicznych, uregulowań dotyczących pracowników urzędów państwowych i samorządowych, służby cywilnej</w:t>
      </w:r>
      <w:r w:rsidR="006E71A6" w:rsidRPr="00ED0C6A">
        <w:rPr>
          <w:rFonts w:asciiTheme="minorHAnsi" w:hAnsiTheme="minorHAnsi"/>
          <w:sz w:val="24"/>
          <w:lang w:val="pl-PL"/>
        </w:rPr>
        <w:t xml:space="preserve"> lub </w:t>
      </w:r>
      <w:r w:rsidR="006A2FA9" w:rsidRPr="00ED0C6A">
        <w:rPr>
          <w:rFonts w:asciiTheme="minorHAnsi" w:hAnsiTheme="minorHAnsi"/>
          <w:sz w:val="24"/>
          <w:lang w:val="pl-PL"/>
        </w:rPr>
        <w:t>służby różnych kategorii funkcjonariuszy</w:t>
      </w:r>
      <w:r w:rsidR="006E71A6" w:rsidRPr="00ED0C6A">
        <w:rPr>
          <w:rFonts w:asciiTheme="minorHAnsi" w:hAnsiTheme="minorHAnsi"/>
          <w:sz w:val="24"/>
          <w:lang w:val="pl-PL"/>
        </w:rPr>
        <w:t xml:space="preserve">. Może mieć też znaczenie dla </w:t>
      </w:r>
      <w:r w:rsidR="006A2FA9" w:rsidRPr="00ED0C6A">
        <w:rPr>
          <w:rFonts w:asciiTheme="minorHAnsi" w:hAnsiTheme="minorHAnsi"/>
          <w:sz w:val="24"/>
          <w:lang w:val="pl-PL"/>
        </w:rPr>
        <w:t>organów i</w:t>
      </w:r>
      <w:r w:rsidR="0072154D">
        <w:rPr>
          <w:rFonts w:asciiTheme="minorHAnsi" w:hAnsiTheme="minorHAnsi"/>
          <w:sz w:val="24"/>
          <w:lang w:val="pl-PL"/>
        </w:rPr>
        <w:t> </w:t>
      </w:r>
      <w:r w:rsidR="006A2FA9" w:rsidRPr="00ED0C6A">
        <w:rPr>
          <w:rFonts w:asciiTheme="minorHAnsi" w:hAnsiTheme="minorHAnsi"/>
          <w:sz w:val="24"/>
          <w:lang w:val="pl-PL"/>
        </w:rPr>
        <w:t>sądów właściwych ds. ochrony przed dyskryminacją</w:t>
      </w:r>
      <w:r w:rsidR="006E71A6" w:rsidRPr="00ED0C6A">
        <w:rPr>
          <w:rFonts w:asciiTheme="minorHAnsi" w:hAnsiTheme="minorHAnsi"/>
          <w:sz w:val="24"/>
          <w:lang w:val="pl-PL"/>
        </w:rPr>
        <w:t>, sądów pracy i sądów administracyjnych</w:t>
      </w:r>
      <w:r w:rsidR="006A2FA9" w:rsidRPr="00ED0C6A">
        <w:rPr>
          <w:rFonts w:asciiTheme="minorHAnsi" w:hAnsiTheme="minorHAnsi"/>
          <w:sz w:val="24"/>
          <w:lang w:val="pl-PL"/>
        </w:rPr>
        <w:t xml:space="preserve">.  </w:t>
      </w:r>
    </w:p>
    <w:p w:rsidR="005751CB" w:rsidRPr="00ED0C6A" w:rsidRDefault="001A6F53" w:rsidP="00F11942">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F86582" w:rsidRPr="00ED0C6A" w:rsidRDefault="00F86582" w:rsidP="009333A7">
      <w:pPr>
        <w:pStyle w:val="Nagwek2"/>
        <w:spacing w:before="480"/>
        <w:rPr>
          <w:rFonts w:asciiTheme="minorHAnsi" w:hAnsiTheme="minorHAnsi"/>
          <w:color w:val="auto"/>
          <w:sz w:val="24"/>
          <w:szCs w:val="24"/>
        </w:rPr>
      </w:pPr>
      <w:bookmarkStart w:id="13" w:name="_Toc524696731"/>
      <w:r w:rsidRPr="00ED0C6A">
        <w:rPr>
          <w:rFonts w:asciiTheme="minorHAnsi" w:hAnsiTheme="minorHAnsi"/>
          <w:color w:val="auto"/>
          <w:sz w:val="24"/>
          <w:szCs w:val="24"/>
        </w:rPr>
        <w:t>Hutchinson p. Zjednoczonemu Królestwu</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57592/08</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E80C9C"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w:t>
      </w:r>
      <w:r w:rsidR="0072154D">
        <w:rPr>
          <w:rFonts w:asciiTheme="minorHAnsi" w:hAnsiTheme="minorHAnsi"/>
          <w:color w:val="auto"/>
          <w:sz w:val="24"/>
          <w:szCs w:val="24"/>
        </w:rPr>
        <w:t> </w:t>
      </w:r>
      <w:r w:rsidRPr="00ED0C6A">
        <w:rPr>
          <w:rFonts w:asciiTheme="minorHAnsi" w:hAnsiTheme="minorHAnsi"/>
          <w:color w:val="auto"/>
          <w:sz w:val="24"/>
          <w:szCs w:val="24"/>
        </w:rPr>
        <w:t>17</w:t>
      </w:r>
      <w:r w:rsidR="0072154D">
        <w:rPr>
          <w:rFonts w:asciiTheme="minorHAnsi" w:hAnsiTheme="minorHAnsi"/>
          <w:color w:val="auto"/>
          <w:sz w:val="24"/>
          <w:szCs w:val="24"/>
        </w:rPr>
        <w:t> </w:t>
      </w:r>
      <w:r w:rsidR="00B4260D" w:rsidRPr="00ED0C6A">
        <w:rPr>
          <w:rFonts w:asciiTheme="minorHAnsi" w:hAnsiTheme="minorHAnsi"/>
          <w:color w:val="auto"/>
          <w:sz w:val="24"/>
          <w:szCs w:val="24"/>
        </w:rPr>
        <w:t xml:space="preserve">stycznia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13"/>
    </w:p>
    <w:p w:rsidR="00F86582" w:rsidRPr="00ED0C6A" w:rsidRDefault="00F86582" w:rsidP="00343D1E">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343D1E" w:rsidRPr="00ED0C6A">
        <w:rPr>
          <w:b/>
          <w:color w:val="000000" w:themeColor="text1"/>
          <w:sz w:val="24"/>
          <w:szCs w:val="24"/>
          <w:lang w:val="pl-PL"/>
        </w:rPr>
        <w:t xml:space="preserve"> art. 3 Konwencji (zakaz tortur – aspekt poniżającego lub nieludzkiego karania) w odniesieniu do utrzymywania pozbawienia wolności w ramach kary dożywotniego pozbawienia wolności po wyjaśnieniu uprawnień Sekretarza Stanu do</w:t>
      </w:r>
      <w:r w:rsidR="0072154D">
        <w:rPr>
          <w:b/>
          <w:color w:val="000000" w:themeColor="text1"/>
          <w:sz w:val="24"/>
          <w:szCs w:val="24"/>
          <w:lang w:val="pl-PL"/>
        </w:rPr>
        <w:t> </w:t>
      </w:r>
      <w:r w:rsidR="00343D1E" w:rsidRPr="00ED0C6A">
        <w:rPr>
          <w:b/>
          <w:color w:val="000000" w:themeColor="text1"/>
          <w:sz w:val="24"/>
          <w:szCs w:val="24"/>
          <w:lang w:val="pl-PL"/>
        </w:rPr>
        <w:t>zarządzenia zwolnienia</w:t>
      </w:r>
    </w:p>
    <w:p w:rsidR="004C0031" w:rsidRPr="00ED0C6A" w:rsidRDefault="004C0031" w:rsidP="004C0031">
      <w:pPr>
        <w:pStyle w:val="ClinContent"/>
        <w:spacing w:before="0"/>
        <w:rPr>
          <w:rFonts w:asciiTheme="minorHAnsi" w:hAnsiTheme="minorHAnsi"/>
          <w:sz w:val="24"/>
          <w:lang w:val="pl-PL"/>
        </w:rPr>
      </w:pPr>
      <w:r w:rsidRPr="00ED0C6A">
        <w:rPr>
          <w:rFonts w:asciiTheme="minorHAnsi" w:hAnsiTheme="minorHAnsi"/>
          <w:sz w:val="24"/>
          <w:lang w:val="pl-PL"/>
        </w:rPr>
        <w:t>Skarżący w obecnej sprawie został skazany we wrześniu 1984 r. za kwalifikowaną kradzież z</w:t>
      </w:r>
      <w:r w:rsidR="0072154D">
        <w:rPr>
          <w:rFonts w:asciiTheme="minorHAnsi" w:hAnsiTheme="minorHAnsi"/>
          <w:sz w:val="24"/>
          <w:lang w:val="pl-PL"/>
        </w:rPr>
        <w:t> </w:t>
      </w:r>
      <w:r w:rsidRPr="00ED0C6A">
        <w:rPr>
          <w:rFonts w:asciiTheme="minorHAnsi" w:hAnsiTheme="minorHAnsi"/>
          <w:sz w:val="24"/>
          <w:lang w:val="pl-PL"/>
        </w:rPr>
        <w:t>włamaniem, gwałt oraz trzy zarzuty umyślnego zabójstwa i skazany na karę dożywotniego pozbawienia wolności z zalecanym minimalnym okresem (</w:t>
      </w:r>
      <w:proofErr w:type="spellStart"/>
      <w:r w:rsidRPr="00ED0C6A">
        <w:rPr>
          <w:rFonts w:asciiTheme="minorHAnsi" w:hAnsiTheme="minorHAnsi"/>
          <w:i/>
          <w:sz w:val="24"/>
          <w:lang w:val="pl-PL"/>
        </w:rPr>
        <w:t>tariff</w:t>
      </w:r>
      <w:proofErr w:type="spellEnd"/>
      <w:r w:rsidRPr="00ED0C6A">
        <w:rPr>
          <w:rFonts w:asciiTheme="minorHAnsi" w:hAnsiTheme="minorHAnsi"/>
          <w:sz w:val="24"/>
          <w:lang w:val="pl-PL"/>
        </w:rPr>
        <w:t>) 18 lat. W grudniu 1994 r. Sekretarz Stanu poinformował skarżącego, że postanowił zastosować dożywotni okres pozbawienia wolności. Po wejściu w życie ustawy o wymiarze sprawiedliwości w sprawach karnych z 2003 r. skarżący wnioskował o przeprowadzenie ponownej oceny minimalnego okresu jego kary pozbawienia wolności. W maju 2008 r. Wysoki Trybunał (</w:t>
      </w:r>
      <w:r w:rsidRPr="00ED0C6A">
        <w:rPr>
          <w:rFonts w:asciiTheme="minorHAnsi" w:hAnsiTheme="minorHAnsi"/>
          <w:i/>
          <w:sz w:val="24"/>
          <w:lang w:val="pl-PL"/>
        </w:rPr>
        <w:t>High Court</w:t>
      </w:r>
      <w:r w:rsidRPr="00ED0C6A">
        <w:rPr>
          <w:rFonts w:asciiTheme="minorHAnsi" w:hAnsiTheme="minorHAnsi"/>
          <w:sz w:val="24"/>
          <w:lang w:val="pl-PL"/>
        </w:rPr>
        <w:t>) orzekł, że zważywszy na powagę przestępstw brak jest powodów do odstąpienia od decyzji Sekretarza Stanu. Apelacja skarżącego została oddalona przez Sąd Apelacyjny w październiku 2008 r. W skardze do Trybunału skarżący zarzucał, że nie ma żadnej perspektywy zwolnienia z kary dożywotniego pozbawienia wolności, co narusza art. 3 Konwencji.</w:t>
      </w:r>
    </w:p>
    <w:p w:rsidR="004C0031" w:rsidRPr="00ED0C6A" w:rsidRDefault="004C0031" w:rsidP="00380783">
      <w:pPr>
        <w:pStyle w:val="ClinContent"/>
        <w:spacing w:before="0"/>
        <w:rPr>
          <w:rFonts w:asciiTheme="minorHAnsi" w:hAnsiTheme="minorHAnsi"/>
          <w:sz w:val="24"/>
          <w:lang w:val="pl-PL"/>
        </w:rPr>
      </w:pPr>
    </w:p>
    <w:p w:rsidR="00F86582"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W</w:t>
      </w:r>
      <w:r w:rsidR="008D6071" w:rsidRPr="00ED0C6A">
        <w:rPr>
          <w:rFonts w:asciiTheme="minorHAnsi" w:hAnsiTheme="minorHAnsi"/>
          <w:sz w:val="24"/>
          <w:lang w:val="pl-PL"/>
        </w:rPr>
        <w:t>e wcześniejszej</w:t>
      </w:r>
      <w:r w:rsidRPr="00ED0C6A">
        <w:rPr>
          <w:rFonts w:asciiTheme="minorHAnsi" w:hAnsiTheme="minorHAnsi"/>
          <w:sz w:val="24"/>
          <w:lang w:val="pl-PL"/>
        </w:rPr>
        <w:t xml:space="preserve"> sprawie </w:t>
      </w:r>
      <w:proofErr w:type="spellStart"/>
      <w:r w:rsidRPr="00ED0C6A">
        <w:rPr>
          <w:rFonts w:asciiTheme="minorHAnsi" w:hAnsiTheme="minorHAnsi"/>
          <w:i/>
          <w:sz w:val="24"/>
          <w:lang w:val="pl-PL"/>
        </w:rPr>
        <w:t>Vinter</w:t>
      </w:r>
      <w:proofErr w:type="spellEnd"/>
      <w:r w:rsidRPr="00ED0C6A">
        <w:rPr>
          <w:rFonts w:asciiTheme="minorHAnsi" w:hAnsiTheme="minorHAnsi"/>
          <w:i/>
          <w:sz w:val="24"/>
          <w:lang w:val="pl-PL"/>
        </w:rPr>
        <w:t xml:space="preserve"> i Inni p. Zjednoczonemu Królestwu</w:t>
      </w:r>
      <w:r w:rsidR="008D6071" w:rsidRPr="00ED0C6A">
        <w:rPr>
          <w:rStyle w:val="Odwoanieprzypisudolnego"/>
          <w:rFonts w:asciiTheme="minorHAnsi" w:hAnsiTheme="minorHAnsi"/>
          <w:i/>
          <w:sz w:val="24"/>
          <w:lang w:val="pl-PL"/>
        </w:rPr>
        <w:footnoteReference w:id="14"/>
      </w:r>
      <w:r w:rsidRPr="00ED0C6A">
        <w:rPr>
          <w:rFonts w:asciiTheme="minorHAnsi" w:hAnsiTheme="minorHAnsi"/>
          <w:sz w:val="24"/>
          <w:lang w:val="pl-PL"/>
        </w:rPr>
        <w:t xml:space="preserve"> </w:t>
      </w:r>
      <w:r w:rsidR="002C7F6D" w:rsidRPr="00ED0C6A">
        <w:rPr>
          <w:rFonts w:asciiTheme="minorHAnsi" w:hAnsiTheme="minorHAnsi"/>
          <w:sz w:val="24"/>
          <w:lang w:val="pl-PL"/>
        </w:rPr>
        <w:t>w lipcu 2013 r.</w:t>
      </w:r>
      <w:r w:rsidR="00534ACC" w:rsidRPr="00ED0C6A">
        <w:rPr>
          <w:rFonts w:asciiTheme="minorHAnsi" w:hAnsiTheme="minorHAnsi"/>
          <w:sz w:val="24"/>
          <w:lang w:val="pl-PL"/>
        </w:rPr>
        <w:t xml:space="preserve"> Wielka Izba </w:t>
      </w:r>
      <w:r w:rsidRPr="00ED0C6A">
        <w:rPr>
          <w:rFonts w:asciiTheme="minorHAnsi" w:hAnsiTheme="minorHAnsi"/>
          <w:sz w:val="24"/>
          <w:lang w:val="pl-PL"/>
        </w:rPr>
        <w:t>Trybunał</w:t>
      </w:r>
      <w:r w:rsidR="00534ACC" w:rsidRPr="00ED0C6A">
        <w:rPr>
          <w:rFonts w:asciiTheme="minorHAnsi" w:hAnsiTheme="minorHAnsi"/>
          <w:sz w:val="24"/>
          <w:lang w:val="pl-PL"/>
        </w:rPr>
        <w:t>u</w:t>
      </w:r>
      <w:r w:rsidRPr="00ED0C6A">
        <w:rPr>
          <w:rFonts w:asciiTheme="minorHAnsi" w:hAnsiTheme="minorHAnsi"/>
          <w:sz w:val="24"/>
          <w:lang w:val="pl-PL"/>
        </w:rPr>
        <w:t xml:space="preserve"> orzekł</w:t>
      </w:r>
      <w:r w:rsidR="00534ACC" w:rsidRPr="00ED0C6A">
        <w:rPr>
          <w:rFonts w:asciiTheme="minorHAnsi" w:hAnsiTheme="minorHAnsi"/>
          <w:sz w:val="24"/>
          <w:lang w:val="pl-PL"/>
        </w:rPr>
        <w:t>a</w:t>
      </w:r>
      <w:r w:rsidR="004C0031" w:rsidRPr="00ED0C6A">
        <w:rPr>
          <w:rFonts w:asciiTheme="minorHAnsi" w:hAnsiTheme="minorHAnsi"/>
          <w:sz w:val="24"/>
          <w:lang w:val="pl-PL"/>
        </w:rPr>
        <w:t xml:space="preserve"> natomiast</w:t>
      </w:r>
      <w:r w:rsidRPr="00ED0C6A">
        <w:rPr>
          <w:rFonts w:asciiTheme="minorHAnsi" w:hAnsiTheme="minorHAnsi"/>
          <w:sz w:val="24"/>
          <w:lang w:val="pl-PL"/>
        </w:rPr>
        <w:t>, że prawo krajowe dotyczące perspektyw zwolnienia osób odbywających karę dożywotniego pozbawienia wolności w Anglii i Walii było niejasne. Chociaż art. 30 ustawy karnej (</w:t>
      </w:r>
      <w:proofErr w:type="spellStart"/>
      <w:r w:rsidRPr="00ED0C6A">
        <w:rPr>
          <w:rFonts w:asciiTheme="minorHAnsi" w:hAnsiTheme="minorHAnsi"/>
          <w:sz w:val="24"/>
          <w:lang w:val="pl-PL"/>
        </w:rPr>
        <w:t>ws</w:t>
      </w:r>
      <w:proofErr w:type="spellEnd"/>
      <w:r w:rsidRPr="00ED0C6A">
        <w:rPr>
          <w:rFonts w:asciiTheme="minorHAnsi" w:hAnsiTheme="minorHAnsi"/>
          <w:sz w:val="24"/>
          <w:lang w:val="pl-PL"/>
        </w:rPr>
        <w:t xml:space="preserve">. kar) z 1997 r. przyznawał Sekretarzowi Stanu uprawnienie do zwolnienia jakiegokolwiek więźnia, w tym odbywającego karę dożywotniego pozbawienia wolności, rozdział 12 </w:t>
      </w:r>
      <w:r w:rsidRPr="00ED0C6A">
        <w:rPr>
          <w:rFonts w:asciiTheme="minorHAnsi" w:hAnsiTheme="minorHAnsi"/>
          <w:i/>
          <w:sz w:val="24"/>
          <w:lang w:val="pl-PL"/>
        </w:rPr>
        <w:t xml:space="preserve">Podręcznika </w:t>
      </w:r>
      <w:proofErr w:type="spellStart"/>
      <w:r w:rsidRPr="00ED0C6A">
        <w:rPr>
          <w:rFonts w:asciiTheme="minorHAnsi" w:hAnsiTheme="minorHAnsi"/>
          <w:i/>
          <w:sz w:val="24"/>
          <w:lang w:val="pl-PL"/>
        </w:rPr>
        <w:t>ws</w:t>
      </w:r>
      <w:proofErr w:type="spellEnd"/>
      <w:r w:rsidRPr="00ED0C6A">
        <w:rPr>
          <w:rFonts w:asciiTheme="minorHAnsi" w:hAnsiTheme="minorHAnsi"/>
          <w:i/>
          <w:sz w:val="24"/>
          <w:lang w:val="pl-PL"/>
        </w:rPr>
        <w:t>. kar o nieokreślonej długości</w:t>
      </w:r>
      <w:r w:rsidRPr="00ED0C6A">
        <w:rPr>
          <w:rFonts w:asciiTheme="minorHAnsi" w:hAnsiTheme="minorHAnsi"/>
          <w:sz w:val="24"/>
          <w:lang w:val="pl-PL"/>
        </w:rPr>
        <w:t xml:space="preserve"> (tzw. „</w:t>
      </w:r>
      <w:proofErr w:type="spellStart"/>
      <w:r w:rsidRPr="00ED0C6A">
        <w:rPr>
          <w:rFonts w:asciiTheme="minorHAnsi" w:hAnsiTheme="minorHAnsi"/>
          <w:i/>
          <w:sz w:val="24"/>
          <w:lang w:val="pl-PL"/>
        </w:rPr>
        <w:t>Lifer</w:t>
      </w:r>
      <w:proofErr w:type="spellEnd"/>
      <w:r w:rsidRPr="00ED0C6A">
        <w:rPr>
          <w:rFonts w:asciiTheme="minorHAnsi" w:hAnsiTheme="minorHAnsi"/>
          <w:i/>
          <w:sz w:val="24"/>
          <w:lang w:val="pl-PL"/>
        </w:rPr>
        <w:t xml:space="preserve"> Manual</w:t>
      </w:r>
      <w:r w:rsidRPr="00ED0C6A">
        <w:rPr>
          <w:rFonts w:asciiTheme="minorHAnsi" w:hAnsiTheme="minorHAnsi"/>
          <w:sz w:val="24"/>
          <w:lang w:val="pl-PL"/>
        </w:rPr>
        <w:t>”)</w:t>
      </w:r>
      <w:r w:rsidR="00502C85" w:rsidRPr="00ED0C6A">
        <w:rPr>
          <w:rStyle w:val="Odwoanieprzypisudolnego"/>
          <w:rFonts w:asciiTheme="minorHAnsi" w:hAnsiTheme="minorHAnsi"/>
          <w:sz w:val="24"/>
          <w:lang w:val="pl-PL"/>
        </w:rPr>
        <w:footnoteReference w:id="15"/>
      </w:r>
      <w:r w:rsidRPr="00ED0C6A">
        <w:rPr>
          <w:rFonts w:asciiTheme="minorHAnsi" w:hAnsiTheme="minorHAnsi"/>
          <w:sz w:val="24"/>
          <w:lang w:val="pl-PL"/>
        </w:rPr>
        <w:t xml:space="preserve"> przewidywał, że zwolnienie może być zarządzone tylko, jeśli więzień jest terminalnie chory lub fizycznie niepełnosprawny. Były to warunki bardzo restrykcyjne i w opinii Trybunału nie</w:t>
      </w:r>
      <w:r w:rsidR="0072154D">
        <w:rPr>
          <w:rFonts w:asciiTheme="minorHAnsi" w:hAnsiTheme="minorHAnsi"/>
          <w:sz w:val="24"/>
          <w:lang w:val="pl-PL"/>
        </w:rPr>
        <w:t> </w:t>
      </w:r>
      <w:r w:rsidRPr="00ED0C6A">
        <w:rPr>
          <w:rFonts w:asciiTheme="minorHAnsi" w:hAnsiTheme="minorHAnsi"/>
          <w:sz w:val="24"/>
          <w:lang w:val="pl-PL"/>
        </w:rPr>
        <w:t>dawały „perspektywy zwolnienia” wymaganej przez orzecznictwo Trybunału, by kara dożywotniego pozbawienia wolności mogła być uzna za podlegającą możliwości skrócen</w:t>
      </w:r>
      <w:r w:rsidR="008D6071" w:rsidRPr="00ED0C6A">
        <w:rPr>
          <w:rFonts w:asciiTheme="minorHAnsi" w:hAnsiTheme="minorHAnsi"/>
          <w:sz w:val="24"/>
          <w:lang w:val="pl-PL"/>
        </w:rPr>
        <w:t>ia na</w:t>
      </w:r>
      <w:r w:rsidR="0072154D">
        <w:rPr>
          <w:rFonts w:asciiTheme="minorHAnsi" w:hAnsiTheme="minorHAnsi"/>
          <w:sz w:val="24"/>
          <w:lang w:val="pl-PL"/>
        </w:rPr>
        <w:t> </w:t>
      </w:r>
      <w:r w:rsidR="008D6071" w:rsidRPr="00ED0C6A">
        <w:rPr>
          <w:rFonts w:asciiTheme="minorHAnsi" w:hAnsiTheme="minorHAnsi"/>
          <w:sz w:val="24"/>
          <w:lang w:val="pl-PL"/>
        </w:rPr>
        <w:t xml:space="preserve">potrzeby art. 3 Konwencji, przewidującego m.in. zakaz nieludzkiego lub poniżającego karania. </w:t>
      </w:r>
    </w:p>
    <w:p w:rsidR="004C0031" w:rsidRPr="00ED0C6A" w:rsidRDefault="004C0031" w:rsidP="00380783">
      <w:pPr>
        <w:pStyle w:val="ClinContent"/>
        <w:spacing w:before="0"/>
        <w:rPr>
          <w:rFonts w:asciiTheme="minorHAnsi" w:hAnsiTheme="minorHAnsi"/>
          <w:sz w:val="24"/>
          <w:lang w:val="pl-PL"/>
        </w:rPr>
      </w:pPr>
    </w:p>
    <w:p w:rsidR="004C0031" w:rsidRPr="00ED0C6A" w:rsidRDefault="004C0031" w:rsidP="00380783">
      <w:pPr>
        <w:pStyle w:val="ClinContent"/>
        <w:spacing w:before="0"/>
        <w:rPr>
          <w:rFonts w:asciiTheme="minorHAnsi" w:hAnsiTheme="minorHAnsi"/>
          <w:sz w:val="24"/>
          <w:lang w:val="pl-PL"/>
        </w:rPr>
      </w:pPr>
      <w:r w:rsidRPr="00ED0C6A">
        <w:rPr>
          <w:rFonts w:asciiTheme="minorHAnsi" w:hAnsiTheme="minorHAnsi"/>
          <w:sz w:val="24"/>
          <w:lang w:val="pl-PL"/>
        </w:rPr>
        <w:t>Jednak n</w:t>
      </w:r>
      <w:r w:rsidR="00F86582" w:rsidRPr="00ED0C6A">
        <w:rPr>
          <w:rFonts w:asciiTheme="minorHAnsi" w:hAnsiTheme="minorHAnsi"/>
          <w:sz w:val="24"/>
          <w:lang w:val="pl-PL"/>
        </w:rPr>
        <w:t xml:space="preserve">astępnie, </w:t>
      </w:r>
      <w:r w:rsidR="00534ACC" w:rsidRPr="00ED0C6A">
        <w:rPr>
          <w:rFonts w:asciiTheme="minorHAnsi" w:hAnsiTheme="minorHAnsi"/>
          <w:sz w:val="24"/>
          <w:lang w:val="pl-PL"/>
        </w:rPr>
        <w:t xml:space="preserve">w 2014 r. </w:t>
      </w:r>
      <w:r w:rsidR="00F86582" w:rsidRPr="00ED0C6A">
        <w:rPr>
          <w:rFonts w:asciiTheme="minorHAnsi" w:hAnsiTheme="minorHAnsi"/>
          <w:sz w:val="24"/>
          <w:lang w:val="pl-PL"/>
        </w:rPr>
        <w:t xml:space="preserve">Sąd Apelacyjny Anglii i Walii rozważył prawo angielskie w świetle wyroku w sprawie </w:t>
      </w:r>
      <w:proofErr w:type="spellStart"/>
      <w:r w:rsidR="00F86582" w:rsidRPr="00ED0C6A">
        <w:rPr>
          <w:rFonts w:asciiTheme="minorHAnsi" w:hAnsiTheme="minorHAnsi"/>
          <w:i/>
          <w:sz w:val="24"/>
          <w:lang w:val="pl-PL"/>
        </w:rPr>
        <w:t>Vinter</w:t>
      </w:r>
      <w:proofErr w:type="spellEnd"/>
      <w:r w:rsidR="00F86582" w:rsidRPr="00ED0C6A">
        <w:rPr>
          <w:rFonts w:asciiTheme="minorHAnsi" w:hAnsiTheme="minorHAnsi"/>
          <w:i/>
          <w:sz w:val="24"/>
          <w:lang w:val="pl-PL"/>
        </w:rPr>
        <w:t xml:space="preserve"> i Inni. </w:t>
      </w:r>
      <w:r w:rsidR="00F86582" w:rsidRPr="00ED0C6A">
        <w:rPr>
          <w:rFonts w:asciiTheme="minorHAnsi" w:hAnsiTheme="minorHAnsi"/>
          <w:sz w:val="24"/>
          <w:lang w:val="pl-PL"/>
        </w:rPr>
        <w:t xml:space="preserve">W sprawie </w:t>
      </w:r>
      <w:proofErr w:type="spellStart"/>
      <w:r w:rsidR="00F86582" w:rsidRPr="00ED0C6A">
        <w:rPr>
          <w:rFonts w:asciiTheme="minorHAnsi" w:hAnsiTheme="minorHAnsi"/>
          <w:i/>
          <w:sz w:val="24"/>
          <w:lang w:val="pl-PL"/>
        </w:rPr>
        <w:t>McLoughlin</w:t>
      </w:r>
      <w:proofErr w:type="spellEnd"/>
      <w:r w:rsidR="00502C85" w:rsidRPr="00ED0C6A">
        <w:rPr>
          <w:rStyle w:val="Odwoanieprzypisudolnego"/>
          <w:rFonts w:asciiTheme="minorHAnsi" w:hAnsiTheme="minorHAnsi"/>
          <w:i/>
          <w:sz w:val="24"/>
          <w:lang w:val="pl-PL"/>
        </w:rPr>
        <w:footnoteReference w:id="16"/>
      </w:r>
      <w:r w:rsidR="00F86582" w:rsidRPr="00ED0C6A">
        <w:rPr>
          <w:rFonts w:asciiTheme="minorHAnsi" w:hAnsiTheme="minorHAnsi"/>
          <w:sz w:val="24"/>
          <w:lang w:val="pl-PL"/>
        </w:rPr>
        <w:t xml:space="preserve"> orzekł</w:t>
      </w:r>
      <w:r w:rsidRPr="00ED0C6A">
        <w:rPr>
          <w:rFonts w:asciiTheme="minorHAnsi" w:hAnsiTheme="minorHAnsi"/>
          <w:sz w:val="24"/>
          <w:lang w:val="pl-PL"/>
        </w:rPr>
        <w:t xml:space="preserve"> on</w:t>
      </w:r>
      <w:r w:rsidR="00F86582" w:rsidRPr="00ED0C6A">
        <w:rPr>
          <w:rFonts w:asciiTheme="minorHAnsi" w:hAnsiTheme="minorHAnsi"/>
          <w:sz w:val="24"/>
          <w:lang w:val="pl-PL"/>
        </w:rPr>
        <w:t xml:space="preserve">, że </w:t>
      </w:r>
      <w:r w:rsidR="00F86582" w:rsidRPr="00ED0C6A">
        <w:rPr>
          <w:rFonts w:asciiTheme="minorHAnsi" w:hAnsiTheme="minorHAnsi"/>
          <w:i/>
          <w:sz w:val="24"/>
          <w:lang w:val="pl-PL"/>
        </w:rPr>
        <w:t xml:space="preserve">Podręcznik </w:t>
      </w:r>
      <w:proofErr w:type="spellStart"/>
      <w:r w:rsidR="00F86582" w:rsidRPr="00ED0C6A">
        <w:rPr>
          <w:rFonts w:asciiTheme="minorHAnsi" w:hAnsiTheme="minorHAnsi"/>
          <w:i/>
          <w:sz w:val="24"/>
          <w:lang w:val="pl-PL"/>
        </w:rPr>
        <w:t>ws</w:t>
      </w:r>
      <w:proofErr w:type="spellEnd"/>
      <w:r w:rsidR="00F86582" w:rsidRPr="00ED0C6A">
        <w:rPr>
          <w:rFonts w:asciiTheme="minorHAnsi" w:hAnsiTheme="minorHAnsi"/>
          <w:i/>
          <w:sz w:val="24"/>
          <w:lang w:val="pl-PL"/>
        </w:rPr>
        <w:t>.</w:t>
      </w:r>
      <w:r w:rsidR="0072154D">
        <w:rPr>
          <w:rFonts w:asciiTheme="minorHAnsi" w:hAnsiTheme="minorHAnsi"/>
          <w:i/>
          <w:sz w:val="24"/>
          <w:lang w:val="pl-PL"/>
        </w:rPr>
        <w:t> </w:t>
      </w:r>
      <w:r w:rsidR="00F86582" w:rsidRPr="00ED0C6A">
        <w:rPr>
          <w:rFonts w:asciiTheme="minorHAnsi" w:hAnsiTheme="minorHAnsi"/>
          <w:i/>
          <w:sz w:val="24"/>
          <w:lang w:val="pl-PL"/>
        </w:rPr>
        <w:t>kar</w:t>
      </w:r>
      <w:r w:rsidR="0072154D">
        <w:rPr>
          <w:rFonts w:asciiTheme="minorHAnsi" w:hAnsiTheme="minorHAnsi"/>
          <w:i/>
          <w:sz w:val="24"/>
          <w:lang w:val="pl-PL"/>
        </w:rPr>
        <w:t> </w:t>
      </w:r>
      <w:r w:rsidR="00F86582" w:rsidRPr="00ED0C6A">
        <w:rPr>
          <w:rFonts w:asciiTheme="minorHAnsi" w:hAnsiTheme="minorHAnsi"/>
          <w:i/>
          <w:sz w:val="24"/>
          <w:lang w:val="pl-PL"/>
        </w:rPr>
        <w:t xml:space="preserve">o nieokreślonej długości </w:t>
      </w:r>
      <w:r w:rsidR="00F86582" w:rsidRPr="00ED0C6A">
        <w:rPr>
          <w:rFonts w:asciiTheme="minorHAnsi" w:hAnsiTheme="minorHAnsi"/>
          <w:sz w:val="24"/>
          <w:lang w:val="pl-PL"/>
        </w:rPr>
        <w:t xml:space="preserve">nie może ograniczyć obowiązku Sekretarza Stanu rozważenia wszystkich okoliczności istotnych dla zwolnienia „ze względów współczucia” oraz że termin ten, który powinien być interpretowany w sposób zgodny z art. 3, nie jest ograniczony jedynie do względów wyrażonych w </w:t>
      </w:r>
      <w:r w:rsidR="00F86582" w:rsidRPr="00ED0C6A">
        <w:rPr>
          <w:rFonts w:asciiTheme="minorHAnsi" w:hAnsiTheme="minorHAnsi"/>
          <w:i/>
          <w:sz w:val="24"/>
          <w:lang w:val="pl-PL"/>
        </w:rPr>
        <w:t xml:space="preserve">Podręczniku </w:t>
      </w:r>
      <w:proofErr w:type="spellStart"/>
      <w:r w:rsidR="00F86582" w:rsidRPr="00ED0C6A">
        <w:rPr>
          <w:rFonts w:asciiTheme="minorHAnsi" w:hAnsiTheme="minorHAnsi"/>
          <w:i/>
          <w:sz w:val="24"/>
          <w:lang w:val="pl-PL"/>
        </w:rPr>
        <w:t>ws</w:t>
      </w:r>
      <w:proofErr w:type="spellEnd"/>
      <w:r w:rsidR="00F86582" w:rsidRPr="00ED0C6A">
        <w:rPr>
          <w:rFonts w:asciiTheme="minorHAnsi" w:hAnsiTheme="minorHAnsi"/>
          <w:i/>
          <w:sz w:val="24"/>
          <w:lang w:val="pl-PL"/>
        </w:rPr>
        <w:t>. kar o nieokreślonej długości</w:t>
      </w:r>
      <w:r w:rsidR="00F86582" w:rsidRPr="00ED0C6A">
        <w:rPr>
          <w:rFonts w:asciiTheme="minorHAnsi" w:hAnsiTheme="minorHAnsi"/>
          <w:sz w:val="24"/>
          <w:lang w:val="pl-PL"/>
        </w:rPr>
        <w:t>, ale</w:t>
      </w:r>
      <w:r w:rsidR="0072154D">
        <w:rPr>
          <w:rFonts w:asciiTheme="minorHAnsi" w:hAnsiTheme="minorHAnsi"/>
          <w:sz w:val="24"/>
          <w:lang w:val="pl-PL"/>
        </w:rPr>
        <w:t> </w:t>
      </w:r>
      <w:r w:rsidR="00F86582" w:rsidRPr="00ED0C6A">
        <w:rPr>
          <w:rFonts w:asciiTheme="minorHAnsi" w:hAnsiTheme="minorHAnsi"/>
          <w:sz w:val="24"/>
          <w:lang w:val="pl-PL"/>
        </w:rPr>
        <w:t>ma</w:t>
      </w:r>
      <w:r w:rsidR="0072154D">
        <w:rPr>
          <w:rFonts w:asciiTheme="minorHAnsi" w:hAnsiTheme="minorHAnsi"/>
          <w:sz w:val="24"/>
          <w:lang w:val="pl-PL"/>
        </w:rPr>
        <w:t> </w:t>
      </w:r>
      <w:r w:rsidR="00F86582" w:rsidRPr="00ED0C6A">
        <w:rPr>
          <w:rFonts w:asciiTheme="minorHAnsi" w:hAnsiTheme="minorHAnsi"/>
          <w:sz w:val="24"/>
          <w:lang w:val="pl-PL"/>
        </w:rPr>
        <w:t xml:space="preserve">szersze znaczenie, które może być wyjaśniane w poszczególnych sprawach. </w:t>
      </w:r>
      <w:r w:rsidRPr="00ED0C6A">
        <w:rPr>
          <w:rFonts w:asciiTheme="minorHAnsi" w:hAnsiTheme="minorHAnsi"/>
          <w:sz w:val="24"/>
          <w:lang w:val="pl-PL"/>
        </w:rPr>
        <w:t>Sąd</w:t>
      </w:r>
      <w:r w:rsidR="0072154D">
        <w:rPr>
          <w:rFonts w:asciiTheme="minorHAnsi" w:hAnsiTheme="minorHAnsi"/>
          <w:sz w:val="24"/>
          <w:lang w:val="pl-PL"/>
        </w:rPr>
        <w:t> </w:t>
      </w:r>
      <w:r w:rsidRPr="00ED0C6A">
        <w:rPr>
          <w:rFonts w:asciiTheme="minorHAnsi" w:hAnsiTheme="minorHAnsi"/>
          <w:sz w:val="24"/>
          <w:lang w:val="pl-PL"/>
        </w:rPr>
        <w:t>podkreślił p</w:t>
      </w:r>
      <w:r w:rsidR="00F86582" w:rsidRPr="00ED0C6A">
        <w:rPr>
          <w:rFonts w:asciiTheme="minorHAnsi" w:hAnsiTheme="minorHAnsi"/>
          <w:sz w:val="24"/>
          <w:lang w:val="pl-PL"/>
        </w:rPr>
        <w:t>onadto,</w:t>
      </w:r>
      <w:r w:rsidRPr="00ED0C6A">
        <w:rPr>
          <w:rFonts w:asciiTheme="minorHAnsi" w:hAnsiTheme="minorHAnsi"/>
          <w:sz w:val="24"/>
          <w:lang w:val="pl-PL"/>
        </w:rPr>
        <w:t xml:space="preserve"> że</w:t>
      </w:r>
      <w:r w:rsidR="00F86582" w:rsidRPr="00ED0C6A">
        <w:rPr>
          <w:rFonts w:asciiTheme="minorHAnsi" w:hAnsiTheme="minorHAnsi"/>
          <w:sz w:val="24"/>
          <w:lang w:val="pl-PL"/>
        </w:rPr>
        <w:t xml:space="preserve"> decyzja Sekretarza Stanu musi zawierać uzasadnienie i podlega kontroli sądowej. W opinii Sądu Apelacyjnego, prawo Anglii i Walii zapewnia zatem osobom odbywającym karę pozbawienia wolności możliwość zwolnienia w wyjątkowych okolicznościach.</w:t>
      </w:r>
    </w:p>
    <w:p w:rsidR="004C0031" w:rsidRPr="00ED0C6A" w:rsidRDefault="004C0031" w:rsidP="00380783">
      <w:pPr>
        <w:pStyle w:val="ClinContent"/>
        <w:spacing w:before="0"/>
        <w:rPr>
          <w:rFonts w:asciiTheme="minorHAnsi" w:hAnsiTheme="minorHAnsi"/>
          <w:sz w:val="24"/>
          <w:lang w:val="pl-PL"/>
        </w:rPr>
      </w:pPr>
    </w:p>
    <w:p w:rsidR="004C0031" w:rsidRPr="00ED0C6A" w:rsidRDefault="004C0031" w:rsidP="004C0031">
      <w:pPr>
        <w:pStyle w:val="ClinContent"/>
        <w:spacing w:before="0"/>
        <w:rPr>
          <w:rFonts w:asciiTheme="minorHAnsi" w:hAnsiTheme="minorHAnsi"/>
          <w:sz w:val="24"/>
          <w:lang w:val="pl-PL"/>
        </w:rPr>
      </w:pPr>
      <w:r w:rsidRPr="00ED0C6A">
        <w:rPr>
          <w:rFonts w:asciiTheme="minorHAnsi" w:hAnsiTheme="minorHAnsi"/>
          <w:sz w:val="24"/>
          <w:lang w:val="pl-PL"/>
        </w:rPr>
        <w:t>Wyrokiem z dnia 3 lutego 2015 r. Izba Trybunału orzekła sześcioma głosami do jednego, że</w:t>
      </w:r>
      <w:r w:rsidR="0072154D">
        <w:rPr>
          <w:rFonts w:asciiTheme="minorHAnsi" w:hAnsiTheme="minorHAnsi"/>
          <w:sz w:val="24"/>
          <w:lang w:val="pl-PL"/>
        </w:rPr>
        <w:t> </w:t>
      </w:r>
      <w:r w:rsidRPr="00ED0C6A">
        <w:rPr>
          <w:rFonts w:asciiTheme="minorHAnsi" w:hAnsiTheme="minorHAnsi"/>
          <w:sz w:val="24"/>
          <w:lang w:val="pl-PL"/>
        </w:rPr>
        <w:t>w</w:t>
      </w:r>
      <w:r w:rsidR="0072154D">
        <w:rPr>
          <w:rFonts w:asciiTheme="minorHAnsi" w:hAnsiTheme="minorHAnsi"/>
          <w:sz w:val="24"/>
          <w:lang w:val="pl-PL"/>
        </w:rPr>
        <w:t> </w:t>
      </w:r>
      <w:r w:rsidRPr="00ED0C6A">
        <w:rPr>
          <w:rFonts w:asciiTheme="minorHAnsi" w:hAnsiTheme="minorHAnsi"/>
          <w:sz w:val="24"/>
          <w:lang w:val="pl-PL"/>
        </w:rPr>
        <w:t xml:space="preserve">obecnej sprawie nie doszło do naruszenia art. 3. W dniu 1 czerwca 2015 r. sprawa została przekazana na wniosek skarżącego do Wielkiej Izby. </w:t>
      </w:r>
    </w:p>
    <w:p w:rsidR="004C0031" w:rsidRPr="00ED0C6A" w:rsidRDefault="007E2B1E" w:rsidP="007E2B1E">
      <w:pPr>
        <w:pStyle w:val="ClinContent"/>
        <w:tabs>
          <w:tab w:val="left" w:pos="5892"/>
        </w:tabs>
        <w:spacing w:before="0"/>
        <w:rPr>
          <w:rFonts w:asciiTheme="minorHAnsi" w:hAnsiTheme="minorHAnsi"/>
          <w:i/>
          <w:sz w:val="24"/>
          <w:lang w:val="pl-PL"/>
        </w:rPr>
      </w:pPr>
      <w:r w:rsidRPr="00ED0C6A">
        <w:rPr>
          <w:rFonts w:asciiTheme="minorHAnsi" w:hAnsiTheme="minorHAnsi"/>
          <w:i/>
          <w:sz w:val="24"/>
          <w:lang w:val="pl-PL"/>
        </w:rPr>
        <w:tab/>
      </w:r>
    </w:p>
    <w:p w:rsidR="00F86582" w:rsidRPr="00ED0C6A" w:rsidRDefault="00431240" w:rsidP="00380783">
      <w:pPr>
        <w:pStyle w:val="ClinContent"/>
        <w:spacing w:before="0"/>
        <w:rPr>
          <w:rFonts w:asciiTheme="minorHAnsi" w:hAnsiTheme="minorHAnsi"/>
          <w:i/>
          <w:sz w:val="24"/>
          <w:lang w:val="pl-PL"/>
        </w:rPr>
      </w:pPr>
      <w:r w:rsidRPr="00ED0C6A">
        <w:rPr>
          <w:rFonts w:asciiTheme="minorHAnsi" w:hAnsiTheme="minorHAnsi"/>
          <w:sz w:val="24"/>
          <w:lang w:val="pl-PL"/>
        </w:rPr>
        <w:t xml:space="preserve">Wielka Izba </w:t>
      </w:r>
      <w:r w:rsidR="00721A8D" w:rsidRPr="00ED0C6A">
        <w:rPr>
          <w:rFonts w:asciiTheme="minorHAnsi" w:hAnsiTheme="minorHAnsi"/>
          <w:sz w:val="24"/>
          <w:lang w:val="pl-PL"/>
        </w:rPr>
        <w:t>Trybunału</w:t>
      </w:r>
      <w:r w:rsidRPr="00ED0C6A">
        <w:rPr>
          <w:rFonts w:asciiTheme="minorHAnsi" w:hAnsiTheme="minorHAnsi"/>
          <w:sz w:val="24"/>
          <w:lang w:val="pl-PL"/>
        </w:rPr>
        <w:t>, rozpatrując obecną sprawę na podstawie a</w:t>
      </w:r>
      <w:r w:rsidR="00F86582" w:rsidRPr="00ED0C6A">
        <w:rPr>
          <w:rFonts w:asciiTheme="minorHAnsi" w:hAnsiTheme="minorHAnsi"/>
          <w:sz w:val="24"/>
          <w:lang w:val="pl-PL"/>
        </w:rPr>
        <w:t>rt. 3</w:t>
      </w:r>
      <w:r w:rsidRPr="00ED0C6A">
        <w:rPr>
          <w:rFonts w:asciiTheme="minorHAnsi" w:hAnsiTheme="minorHAnsi"/>
          <w:sz w:val="24"/>
          <w:lang w:val="pl-PL"/>
        </w:rPr>
        <w:t xml:space="preserve"> Konwencji</w:t>
      </w:r>
      <w:r w:rsidR="002C7F6D" w:rsidRPr="00ED0C6A">
        <w:rPr>
          <w:rFonts w:asciiTheme="minorHAnsi" w:hAnsiTheme="minorHAnsi"/>
          <w:sz w:val="24"/>
          <w:lang w:val="pl-PL"/>
        </w:rPr>
        <w:t>,</w:t>
      </w:r>
      <w:r w:rsidRPr="00ED0C6A">
        <w:rPr>
          <w:rFonts w:asciiTheme="minorHAnsi" w:hAnsiTheme="minorHAnsi"/>
          <w:sz w:val="24"/>
          <w:lang w:val="pl-PL"/>
        </w:rPr>
        <w:t xml:space="preserve"> zauważyła, że w</w:t>
      </w:r>
      <w:r w:rsidR="00F86582" w:rsidRPr="00ED0C6A">
        <w:rPr>
          <w:rFonts w:asciiTheme="minorHAnsi" w:hAnsiTheme="minorHAnsi"/>
          <w:sz w:val="24"/>
          <w:lang w:val="pl-PL"/>
        </w:rPr>
        <w:t xml:space="preserve"> orzeczeniu w sprawie </w:t>
      </w:r>
      <w:proofErr w:type="spellStart"/>
      <w:r w:rsidR="00F86582" w:rsidRPr="00ED0C6A">
        <w:rPr>
          <w:rFonts w:asciiTheme="minorHAnsi" w:hAnsiTheme="minorHAnsi"/>
          <w:i/>
          <w:sz w:val="24"/>
          <w:lang w:val="pl-PL"/>
        </w:rPr>
        <w:t>McLoughlin</w:t>
      </w:r>
      <w:proofErr w:type="spellEnd"/>
      <w:r w:rsidR="00F86582" w:rsidRPr="00ED0C6A">
        <w:rPr>
          <w:rFonts w:asciiTheme="minorHAnsi" w:hAnsiTheme="minorHAnsi"/>
          <w:i/>
          <w:sz w:val="24"/>
          <w:lang w:val="pl-PL"/>
        </w:rPr>
        <w:t xml:space="preserve"> </w:t>
      </w:r>
      <w:r w:rsidR="00F86582" w:rsidRPr="00ED0C6A">
        <w:rPr>
          <w:rFonts w:asciiTheme="minorHAnsi" w:hAnsiTheme="minorHAnsi"/>
          <w:sz w:val="24"/>
          <w:lang w:val="pl-PL"/>
        </w:rPr>
        <w:t>Sąd Apelacyjny wyraźnie odpowiedział na</w:t>
      </w:r>
      <w:r w:rsidR="0072154D">
        <w:rPr>
          <w:rFonts w:asciiTheme="minorHAnsi" w:hAnsiTheme="minorHAnsi"/>
          <w:sz w:val="24"/>
          <w:lang w:val="pl-PL"/>
        </w:rPr>
        <w:t> </w:t>
      </w:r>
      <w:r w:rsidR="00F86582" w:rsidRPr="00ED0C6A">
        <w:rPr>
          <w:rFonts w:asciiTheme="minorHAnsi" w:hAnsiTheme="minorHAnsi"/>
          <w:sz w:val="24"/>
          <w:lang w:val="pl-PL"/>
        </w:rPr>
        <w:t xml:space="preserve">krytykę płynącą z wyroku w sprawie </w:t>
      </w:r>
      <w:proofErr w:type="spellStart"/>
      <w:r w:rsidR="00F86582" w:rsidRPr="00ED0C6A">
        <w:rPr>
          <w:rFonts w:asciiTheme="minorHAnsi" w:hAnsiTheme="minorHAnsi"/>
          <w:i/>
          <w:sz w:val="24"/>
          <w:lang w:val="pl-PL"/>
        </w:rPr>
        <w:t>Vinter</w:t>
      </w:r>
      <w:proofErr w:type="spellEnd"/>
      <w:r w:rsidR="00F86582" w:rsidRPr="00ED0C6A">
        <w:rPr>
          <w:rFonts w:asciiTheme="minorHAnsi" w:hAnsiTheme="minorHAnsi"/>
          <w:i/>
          <w:sz w:val="24"/>
          <w:lang w:val="pl-PL"/>
        </w:rPr>
        <w:t xml:space="preserve">. </w:t>
      </w:r>
      <w:r w:rsidR="00F86582" w:rsidRPr="00ED0C6A">
        <w:rPr>
          <w:rFonts w:asciiTheme="minorHAnsi" w:hAnsiTheme="minorHAnsi"/>
          <w:sz w:val="24"/>
          <w:lang w:val="pl-PL"/>
        </w:rPr>
        <w:t>Potwierdził ustawowy obowiązek Sekretarza Stanu wykonywania uprawnienia do zwolnienia w sposób zgodny z art. 3 Konwencji i</w:t>
      </w:r>
      <w:r w:rsidR="0072154D">
        <w:rPr>
          <w:rFonts w:asciiTheme="minorHAnsi" w:hAnsiTheme="minorHAnsi"/>
          <w:sz w:val="24"/>
          <w:lang w:val="pl-PL"/>
        </w:rPr>
        <w:t> </w:t>
      </w:r>
      <w:r w:rsidR="00F86582" w:rsidRPr="00ED0C6A">
        <w:rPr>
          <w:rFonts w:asciiTheme="minorHAnsi" w:hAnsiTheme="minorHAnsi"/>
          <w:sz w:val="24"/>
          <w:lang w:val="pl-PL"/>
        </w:rPr>
        <w:t xml:space="preserve">wyjaśnił, że </w:t>
      </w:r>
      <w:r w:rsidR="00F86582" w:rsidRPr="00ED0C6A">
        <w:rPr>
          <w:rFonts w:asciiTheme="minorHAnsi" w:hAnsiTheme="minorHAnsi"/>
          <w:i/>
          <w:sz w:val="24"/>
          <w:lang w:val="pl-PL"/>
        </w:rPr>
        <w:t xml:space="preserve">Podręcznik </w:t>
      </w:r>
      <w:proofErr w:type="spellStart"/>
      <w:r w:rsidR="00F86582" w:rsidRPr="00ED0C6A">
        <w:rPr>
          <w:rFonts w:asciiTheme="minorHAnsi" w:hAnsiTheme="minorHAnsi"/>
          <w:i/>
          <w:sz w:val="24"/>
          <w:lang w:val="pl-PL"/>
        </w:rPr>
        <w:t>ws</w:t>
      </w:r>
      <w:proofErr w:type="spellEnd"/>
      <w:r w:rsidR="00F86582" w:rsidRPr="00ED0C6A">
        <w:rPr>
          <w:rFonts w:asciiTheme="minorHAnsi" w:hAnsiTheme="minorHAnsi"/>
          <w:i/>
          <w:sz w:val="24"/>
          <w:lang w:val="pl-PL"/>
        </w:rPr>
        <w:t>. kar o nieokreślonej długości</w:t>
      </w:r>
      <w:r w:rsidR="00F86582" w:rsidRPr="00ED0C6A">
        <w:rPr>
          <w:rFonts w:asciiTheme="minorHAnsi" w:hAnsiTheme="minorHAnsi"/>
          <w:sz w:val="24"/>
          <w:lang w:val="pl-PL"/>
        </w:rPr>
        <w:t xml:space="preserve"> nie może ograniczać obowiązku Sekretarza Stanu rozważenia wszystkich istotnych dla zwolnienia okoliczności lub zawężać jego swobody uznania poprzez uwzględnianie jedynie kwestii wymienionych w </w:t>
      </w:r>
      <w:r w:rsidR="00F86582" w:rsidRPr="00ED0C6A">
        <w:rPr>
          <w:rFonts w:asciiTheme="minorHAnsi" w:hAnsiTheme="minorHAnsi"/>
          <w:i/>
          <w:sz w:val="24"/>
          <w:lang w:val="pl-PL"/>
        </w:rPr>
        <w:t xml:space="preserve">Podręczniku </w:t>
      </w:r>
      <w:proofErr w:type="spellStart"/>
      <w:r w:rsidR="00F86582" w:rsidRPr="00ED0C6A">
        <w:rPr>
          <w:rFonts w:asciiTheme="minorHAnsi" w:hAnsiTheme="minorHAnsi"/>
          <w:i/>
          <w:sz w:val="24"/>
          <w:lang w:val="pl-PL"/>
        </w:rPr>
        <w:t>ws</w:t>
      </w:r>
      <w:proofErr w:type="spellEnd"/>
      <w:r w:rsidR="00F86582" w:rsidRPr="00ED0C6A">
        <w:rPr>
          <w:rFonts w:asciiTheme="minorHAnsi" w:hAnsiTheme="minorHAnsi"/>
          <w:i/>
          <w:sz w:val="24"/>
          <w:lang w:val="pl-PL"/>
        </w:rPr>
        <w:t>. kar o nieokreślonej długości</w:t>
      </w:r>
      <w:r w:rsidR="00F86582" w:rsidRPr="00ED0C6A">
        <w:rPr>
          <w:rFonts w:asciiTheme="minorHAnsi" w:hAnsiTheme="minorHAnsi"/>
          <w:sz w:val="24"/>
          <w:lang w:val="pl-PL"/>
        </w:rPr>
        <w:t xml:space="preserve">. Sąd Apelacyjny wyjaśnił zatem treść właściwego prawa krajowego, rozwiązując problem rozbieżności, która została zidentyfikowana w sprawie </w:t>
      </w:r>
      <w:proofErr w:type="spellStart"/>
      <w:r w:rsidR="00F86582" w:rsidRPr="00ED0C6A">
        <w:rPr>
          <w:rFonts w:asciiTheme="minorHAnsi" w:hAnsiTheme="minorHAnsi"/>
          <w:i/>
          <w:sz w:val="24"/>
          <w:lang w:val="pl-PL"/>
        </w:rPr>
        <w:t>Vinter</w:t>
      </w:r>
      <w:proofErr w:type="spellEnd"/>
      <w:r w:rsidR="00F86582" w:rsidRPr="00ED0C6A">
        <w:rPr>
          <w:rFonts w:asciiTheme="minorHAnsi" w:hAnsiTheme="minorHAnsi"/>
          <w:sz w:val="24"/>
          <w:lang w:val="pl-PL"/>
        </w:rPr>
        <w:t xml:space="preserve">. </w:t>
      </w:r>
    </w:p>
    <w:p w:rsidR="00431240" w:rsidRPr="00ED0C6A" w:rsidRDefault="00431240" w:rsidP="00380783">
      <w:pPr>
        <w:pStyle w:val="ClinContent"/>
        <w:spacing w:before="0"/>
        <w:rPr>
          <w:rFonts w:asciiTheme="minorHAnsi" w:hAnsiTheme="minorHAnsi"/>
          <w:sz w:val="24"/>
          <w:lang w:val="pl-PL"/>
        </w:rPr>
      </w:pPr>
    </w:p>
    <w:p w:rsidR="00431240"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Po ustaleniu, że niejasności prawa krajowego zidentyfikowane w sprawie </w:t>
      </w:r>
      <w:proofErr w:type="spellStart"/>
      <w:r w:rsidRPr="00ED0C6A">
        <w:rPr>
          <w:rFonts w:asciiTheme="minorHAnsi" w:hAnsiTheme="minorHAnsi"/>
          <w:i/>
          <w:sz w:val="24"/>
          <w:lang w:val="pl-PL"/>
        </w:rPr>
        <w:t>Vinter</w:t>
      </w:r>
      <w:proofErr w:type="spellEnd"/>
      <w:r w:rsidRPr="00ED0C6A">
        <w:rPr>
          <w:rFonts w:asciiTheme="minorHAnsi" w:hAnsiTheme="minorHAnsi"/>
          <w:i/>
          <w:sz w:val="24"/>
          <w:lang w:val="pl-PL"/>
        </w:rPr>
        <w:t xml:space="preserve"> </w:t>
      </w:r>
      <w:r w:rsidRPr="00ED0C6A">
        <w:rPr>
          <w:rFonts w:asciiTheme="minorHAnsi" w:hAnsiTheme="minorHAnsi"/>
          <w:sz w:val="24"/>
          <w:lang w:val="pl-PL"/>
        </w:rPr>
        <w:t>zostały rozwiane, Wielka Izba przystąpiła do rozważania, czy procedura ponownej oceny kar dożywotniego pozbawienia wolności w Anglii i Walii spełnia</w:t>
      </w:r>
      <w:r w:rsidR="00431240" w:rsidRPr="00ED0C6A">
        <w:rPr>
          <w:rFonts w:asciiTheme="minorHAnsi" w:hAnsiTheme="minorHAnsi"/>
          <w:sz w:val="24"/>
          <w:lang w:val="pl-PL"/>
        </w:rPr>
        <w:t xml:space="preserve"> obecnie</w:t>
      </w:r>
      <w:r w:rsidRPr="00ED0C6A">
        <w:rPr>
          <w:rFonts w:asciiTheme="minorHAnsi" w:hAnsiTheme="minorHAnsi"/>
          <w:sz w:val="24"/>
          <w:lang w:val="pl-PL"/>
        </w:rPr>
        <w:t xml:space="preserve"> wymogi art. 3</w:t>
      </w:r>
      <w:r w:rsidR="00431240" w:rsidRPr="00ED0C6A">
        <w:rPr>
          <w:rFonts w:asciiTheme="minorHAnsi" w:hAnsiTheme="minorHAnsi"/>
          <w:sz w:val="24"/>
          <w:lang w:val="pl-PL"/>
        </w:rPr>
        <w:t xml:space="preserve"> Konwencji, biorąc pod uwagę charakter, zakres, warunki i kryteria, a także ramy </w:t>
      </w:r>
      <w:r w:rsidR="00266E57" w:rsidRPr="00ED0C6A">
        <w:rPr>
          <w:rFonts w:asciiTheme="minorHAnsi" w:hAnsiTheme="minorHAnsi"/>
          <w:sz w:val="24"/>
          <w:lang w:val="pl-PL"/>
        </w:rPr>
        <w:br/>
      </w:r>
      <w:r w:rsidR="00431240" w:rsidRPr="00ED0C6A">
        <w:rPr>
          <w:rFonts w:asciiTheme="minorHAnsi" w:hAnsiTheme="minorHAnsi"/>
          <w:sz w:val="24"/>
          <w:lang w:val="pl-PL"/>
        </w:rPr>
        <w:t>czasowe:</w:t>
      </w:r>
    </w:p>
    <w:p w:rsidR="00431240" w:rsidRPr="00ED0C6A" w:rsidRDefault="00431240" w:rsidP="00380783">
      <w:pPr>
        <w:pStyle w:val="ClinContent"/>
        <w:spacing w:before="0"/>
        <w:rPr>
          <w:rFonts w:asciiTheme="minorHAnsi" w:hAnsiTheme="minorHAnsi"/>
          <w:sz w:val="24"/>
          <w:lang w:val="pl-PL"/>
        </w:rPr>
      </w:pPr>
    </w:p>
    <w:p w:rsidR="00431240" w:rsidRPr="00ED0C6A" w:rsidRDefault="00F86582" w:rsidP="00380783">
      <w:pPr>
        <w:pStyle w:val="ClinContent"/>
        <w:spacing w:before="0"/>
        <w:rPr>
          <w:rFonts w:asciiTheme="minorHAnsi" w:hAnsiTheme="minorHAnsi"/>
          <w:sz w:val="24"/>
          <w:u w:val="single"/>
          <w:lang w:val="pl-PL"/>
        </w:rPr>
      </w:pPr>
      <w:r w:rsidRPr="00ED0C6A">
        <w:rPr>
          <w:rFonts w:asciiTheme="minorHAnsi" w:hAnsiTheme="minorHAnsi"/>
          <w:sz w:val="24"/>
          <w:u w:val="single"/>
          <w:lang w:val="pl-PL"/>
        </w:rPr>
        <w:t xml:space="preserve">(i) </w:t>
      </w:r>
      <w:r w:rsidRPr="00ED0C6A">
        <w:rPr>
          <w:rFonts w:asciiTheme="minorHAnsi" w:hAnsiTheme="minorHAnsi"/>
          <w:i/>
          <w:sz w:val="24"/>
          <w:u w:val="single"/>
          <w:lang w:val="pl-PL"/>
        </w:rPr>
        <w:t xml:space="preserve">Charakter </w:t>
      </w:r>
      <w:r w:rsidR="00431240" w:rsidRPr="00ED0C6A">
        <w:rPr>
          <w:rFonts w:asciiTheme="minorHAnsi" w:hAnsiTheme="minorHAnsi"/>
          <w:i/>
          <w:sz w:val="24"/>
          <w:u w:val="single"/>
          <w:lang w:val="pl-PL"/>
        </w:rPr>
        <w:t xml:space="preserve">procedury </w:t>
      </w:r>
      <w:r w:rsidRPr="00ED0C6A">
        <w:rPr>
          <w:rFonts w:asciiTheme="minorHAnsi" w:hAnsiTheme="minorHAnsi"/>
          <w:i/>
          <w:sz w:val="24"/>
          <w:u w:val="single"/>
          <w:lang w:val="pl-PL"/>
        </w:rPr>
        <w:t>ponownej oceny</w:t>
      </w:r>
      <w:r w:rsidRPr="00ED0C6A">
        <w:rPr>
          <w:rFonts w:asciiTheme="minorHAnsi" w:hAnsiTheme="minorHAnsi"/>
          <w:sz w:val="24"/>
          <w:u w:val="single"/>
          <w:lang w:val="pl-PL"/>
        </w:rPr>
        <w:t xml:space="preserve"> </w:t>
      </w:r>
      <w:r w:rsidR="0003122E" w:rsidRPr="00ED0C6A">
        <w:rPr>
          <w:rFonts w:asciiTheme="minorHAnsi" w:hAnsiTheme="minorHAnsi"/>
          <w:i/>
          <w:sz w:val="24"/>
          <w:u w:val="single"/>
          <w:lang w:val="pl-PL"/>
        </w:rPr>
        <w:t>kary dożywotniego pozbawienia wolności</w:t>
      </w:r>
    </w:p>
    <w:p w:rsidR="00F86582"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Trybunał nie </w:t>
      </w:r>
      <w:r w:rsidR="00431240" w:rsidRPr="00ED0C6A">
        <w:rPr>
          <w:rFonts w:asciiTheme="minorHAnsi" w:hAnsiTheme="minorHAnsi"/>
          <w:sz w:val="24"/>
          <w:lang w:val="pl-PL"/>
        </w:rPr>
        <w:t xml:space="preserve">znalazł </w:t>
      </w:r>
      <w:r w:rsidRPr="00ED0C6A">
        <w:rPr>
          <w:rFonts w:asciiTheme="minorHAnsi" w:hAnsiTheme="minorHAnsi"/>
          <w:sz w:val="24"/>
          <w:lang w:val="pl-PL"/>
        </w:rPr>
        <w:t>powodów do odejścia od swego wcześniejszego orzecznictwa, w świetle którego fakt, że władza wykonawcza (a nie sądowa) dokonuje ponownej oceny kary, sam</w:t>
      </w:r>
      <w:r w:rsidR="0072154D">
        <w:rPr>
          <w:rFonts w:asciiTheme="minorHAnsi" w:hAnsiTheme="minorHAnsi"/>
          <w:sz w:val="24"/>
          <w:lang w:val="pl-PL"/>
        </w:rPr>
        <w:t> </w:t>
      </w:r>
      <w:r w:rsidRPr="00ED0C6A">
        <w:rPr>
          <w:rFonts w:asciiTheme="minorHAnsi" w:hAnsiTheme="minorHAnsi"/>
          <w:sz w:val="24"/>
          <w:lang w:val="pl-PL"/>
        </w:rPr>
        <w:t>w</w:t>
      </w:r>
      <w:r w:rsidR="0072154D">
        <w:rPr>
          <w:rFonts w:asciiTheme="minorHAnsi" w:hAnsiTheme="minorHAnsi"/>
          <w:sz w:val="24"/>
          <w:lang w:val="pl-PL"/>
        </w:rPr>
        <w:t> </w:t>
      </w:r>
      <w:r w:rsidRPr="00ED0C6A">
        <w:rPr>
          <w:rFonts w:asciiTheme="minorHAnsi" w:hAnsiTheme="minorHAnsi"/>
          <w:sz w:val="24"/>
          <w:lang w:val="pl-PL"/>
        </w:rPr>
        <w:t>sobie nie jest sprzeczny z wymogami art. 3. W tym względzie odnotował, że Sekretarz Stanu jest zobowiązany wykonywać uprawnienie do zwolnienia w sposób zgodny z prawami konwencyjnymi, że powinien mieć na względzie właściwe orzecznictwo Trybunału i</w:t>
      </w:r>
      <w:r w:rsidR="0072154D">
        <w:rPr>
          <w:rFonts w:asciiTheme="minorHAnsi" w:hAnsiTheme="minorHAnsi"/>
          <w:sz w:val="24"/>
          <w:lang w:val="pl-PL"/>
        </w:rPr>
        <w:t> </w:t>
      </w:r>
      <w:r w:rsidRPr="00ED0C6A">
        <w:rPr>
          <w:rFonts w:asciiTheme="minorHAnsi" w:hAnsiTheme="minorHAnsi"/>
          <w:sz w:val="24"/>
          <w:lang w:val="pl-PL"/>
        </w:rPr>
        <w:t>przedstawić uzasadnienie każdej decyzji. Ponadto, decyzje Sekretarza Stanu podlegają kontroli sądów krajowych, a Rząd oświadczył, że taka kontrola nie jest ograniczona do</w:t>
      </w:r>
      <w:r w:rsidR="0072154D">
        <w:rPr>
          <w:rFonts w:asciiTheme="minorHAnsi" w:hAnsiTheme="minorHAnsi"/>
          <w:sz w:val="24"/>
          <w:lang w:val="pl-PL"/>
        </w:rPr>
        <w:t> </w:t>
      </w:r>
      <w:r w:rsidRPr="00ED0C6A">
        <w:rPr>
          <w:rFonts w:asciiTheme="minorHAnsi" w:hAnsiTheme="minorHAnsi"/>
          <w:sz w:val="24"/>
          <w:lang w:val="pl-PL"/>
        </w:rPr>
        <w:t xml:space="preserve">kwestii formalnych lub proceduralnych, ale obejmuje również badanie meritum sprawy. </w:t>
      </w:r>
    </w:p>
    <w:p w:rsidR="0003122E" w:rsidRPr="00ED0C6A" w:rsidRDefault="0003122E" w:rsidP="00380783">
      <w:pPr>
        <w:pStyle w:val="ClinContent"/>
        <w:spacing w:before="0"/>
        <w:rPr>
          <w:rFonts w:asciiTheme="minorHAnsi" w:hAnsiTheme="minorHAnsi"/>
          <w:sz w:val="24"/>
          <w:lang w:val="pl-PL"/>
        </w:rPr>
      </w:pPr>
    </w:p>
    <w:p w:rsidR="0003122E"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(ii) </w:t>
      </w:r>
      <w:r w:rsidRPr="00ED0C6A">
        <w:rPr>
          <w:rFonts w:asciiTheme="minorHAnsi" w:hAnsiTheme="minorHAnsi"/>
          <w:i/>
          <w:sz w:val="24"/>
          <w:u w:val="single"/>
          <w:lang w:val="pl-PL"/>
        </w:rPr>
        <w:t>Zakres ponownej oceny</w:t>
      </w:r>
      <w:r w:rsidRPr="00ED0C6A">
        <w:rPr>
          <w:rFonts w:asciiTheme="minorHAnsi" w:hAnsiTheme="minorHAnsi"/>
          <w:sz w:val="24"/>
          <w:lang w:val="pl-PL"/>
        </w:rPr>
        <w:t xml:space="preserve"> </w:t>
      </w:r>
    </w:p>
    <w:p w:rsidR="0003122E" w:rsidRPr="00ED0C6A" w:rsidRDefault="0003122E"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Trybunał zauważył, że </w:t>
      </w:r>
      <w:r w:rsidR="00F86582" w:rsidRPr="00ED0C6A">
        <w:rPr>
          <w:rFonts w:asciiTheme="minorHAnsi" w:hAnsiTheme="minorHAnsi"/>
          <w:sz w:val="24"/>
          <w:lang w:val="pl-PL"/>
        </w:rPr>
        <w:t xml:space="preserve">Sąd Apelacyjny dokonał </w:t>
      </w:r>
      <w:r w:rsidRPr="00ED0C6A">
        <w:rPr>
          <w:rFonts w:asciiTheme="minorHAnsi" w:hAnsiTheme="minorHAnsi"/>
          <w:sz w:val="24"/>
          <w:lang w:val="pl-PL"/>
        </w:rPr>
        <w:t xml:space="preserve">w sprawie </w:t>
      </w:r>
      <w:proofErr w:type="spellStart"/>
      <w:r w:rsidRPr="00ED0C6A">
        <w:rPr>
          <w:rFonts w:asciiTheme="minorHAnsi" w:hAnsiTheme="minorHAnsi"/>
          <w:i/>
          <w:sz w:val="24"/>
          <w:lang w:val="pl-PL"/>
        </w:rPr>
        <w:t>McLoughlin</w:t>
      </w:r>
      <w:proofErr w:type="spellEnd"/>
      <w:r w:rsidRPr="00ED0C6A">
        <w:rPr>
          <w:rFonts w:asciiTheme="minorHAnsi" w:hAnsiTheme="minorHAnsi"/>
          <w:sz w:val="24"/>
          <w:lang w:val="pl-PL"/>
        </w:rPr>
        <w:t xml:space="preserve"> </w:t>
      </w:r>
      <w:r w:rsidR="00F86582" w:rsidRPr="00ED0C6A">
        <w:rPr>
          <w:rFonts w:asciiTheme="minorHAnsi" w:hAnsiTheme="minorHAnsi"/>
          <w:sz w:val="24"/>
          <w:lang w:val="pl-PL"/>
        </w:rPr>
        <w:t>kluczowego doprecyzowania, że „wyjątkowe okoliczności”, o których mowa w art. 30, nie mogą z</w:t>
      </w:r>
      <w:r w:rsidR="0072154D">
        <w:rPr>
          <w:rFonts w:asciiTheme="minorHAnsi" w:hAnsiTheme="minorHAnsi"/>
          <w:sz w:val="24"/>
          <w:lang w:val="pl-PL"/>
        </w:rPr>
        <w:t> </w:t>
      </w:r>
      <w:r w:rsidR="00F86582" w:rsidRPr="00ED0C6A">
        <w:rPr>
          <w:rFonts w:asciiTheme="minorHAnsi" w:hAnsiTheme="minorHAnsi"/>
          <w:sz w:val="24"/>
          <w:lang w:val="pl-PL"/>
        </w:rPr>
        <w:t xml:space="preserve">prawnego punktu widzenia zostać ograniczone jedynie do sytuacji końca życia, jak to przewidziano w </w:t>
      </w:r>
      <w:r w:rsidR="00F86582" w:rsidRPr="00ED0C6A">
        <w:rPr>
          <w:rFonts w:asciiTheme="minorHAnsi" w:hAnsiTheme="minorHAnsi"/>
          <w:i/>
          <w:sz w:val="24"/>
          <w:lang w:val="pl-PL"/>
        </w:rPr>
        <w:t>Podręczniku w sprawie kar o nieokreślonej długości</w:t>
      </w:r>
      <w:r w:rsidR="00F86582" w:rsidRPr="00ED0C6A">
        <w:rPr>
          <w:rFonts w:asciiTheme="minorHAnsi" w:hAnsiTheme="minorHAnsi"/>
          <w:sz w:val="24"/>
          <w:lang w:val="pl-PL"/>
        </w:rPr>
        <w:t>, ale muszą obejmować wszystkie wyjątkowe okoliczności istotne dla zwolnienia ze względów współczucia. Chociaż Sąd Apelacyjny powstrzymał się od dalszego doprecyzowania znaczenia zwrotu „wyjątkowe okoliczności” w tym kontekście bądź od wypracowania kryteriów, przypomniał wcześniejsze orzecznictwo krajowe przewidujące, że należy uwzględnić wyjątkowy postęp osiągnięty przez więźnia w czasie osadzenia. Jest zatem oczywiste, że</w:t>
      </w:r>
      <w:r w:rsidR="0072154D">
        <w:rPr>
          <w:rFonts w:asciiTheme="minorHAnsi" w:hAnsiTheme="minorHAnsi"/>
          <w:sz w:val="24"/>
          <w:lang w:val="pl-PL"/>
        </w:rPr>
        <w:t> </w:t>
      </w:r>
      <w:r w:rsidR="00F86582" w:rsidRPr="00ED0C6A">
        <w:rPr>
          <w:rFonts w:asciiTheme="minorHAnsi" w:hAnsiTheme="minorHAnsi"/>
          <w:sz w:val="24"/>
          <w:lang w:val="pl-PL"/>
        </w:rPr>
        <w:t xml:space="preserve">wyjątkowy postęp w kierunku resocjalizacji wchodzi w zakres znaczeniowy terminologii ustawowej. </w:t>
      </w:r>
    </w:p>
    <w:p w:rsidR="0003122E" w:rsidRPr="00ED0C6A" w:rsidRDefault="0003122E" w:rsidP="00380783">
      <w:pPr>
        <w:pStyle w:val="ClinContent"/>
        <w:spacing w:before="0"/>
        <w:rPr>
          <w:rFonts w:asciiTheme="minorHAnsi" w:hAnsiTheme="minorHAnsi"/>
          <w:sz w:val="24"/>
          <w:lang w:val="pl-PL"/>
        </w:rPr>
      </w:pPr>
    </w:p>
    <w:p w:rsidR="0003122E"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Podobnie</w:t>
      </w:r>
      <w:r w:rsidR="0003122E" w:rsidRPr="00ED0C6A">
        <w:rPr>
          <w:rFonts w:asciiTheme="minorHAnsi" w:hAnsiTheme="minorHAnsi"/>
          <w:sz w:val="24"/>
          <w:lang w:val="pl-PL"/>
        </w:rPr>
        <w:t xml:space="preserve"> też</w:t>
      </w:r>
      <w:r w:rsidRPr="00ED0C6A">
        <w:rPr>
          <w:rFonts w:asciiTheme="minorHAnsi" w:hAnsiTheme="minorHAnsi"/>
          <w:sz w:val="24"/>
          <w:lang w:val="pl-PL"/>
        </w:rPr>
        <w:t xml:space="preserve">, zawężające podejście nadane wyrażeniu „względy współczucia” w </w:t>
      </w:r>
      <w:r w:rsidRPr="00ED0C6A">
        <w:rPr>
          <w:rFonts w:asciiTheme="minorHAnsi" w:hAnsiTheme="minorHAnsi"/>
          <w:i/>
          <w:sz w:val="24"/>
          <w:lang w:val="pl-PL"/>
        </w:rPr>
        <w:t xml:space="preserve">Podręczniku </w:t>
      </w:r>
      <w:proofErr w:type="spellStart"/>
      <w:r w:rsidRPr="00ED0C6A">
        <w:rPr>
          <w:rFonts w:asciiTheme="minorHAnsi" w:hAnsiTheme="minorHAnsi"/>
          <w:i/>
          <w:sz w:val="24"/>
          <w:lang w:val="pl-PL"/>
        </w:rPr>
        <w:t>ws</w:t>
      </w:r>
      <w:proofErr w:type="spellEnd"/>
      <w:r w:rsidRPr="00ED0C6A">
        <w:rPr>
          <w:rFonts w:asciiTheme="minorHAnsi" w:hAnsiTheme="minorHAnsi"/>
          <w:i/>
          <w:sz w:val="24"/>
          <w:lang w:val="pl-PL"/>
        </w:rPr>
        <w:t>. kar o nieokreślonej długości</w:t>
      </w:r>
      <w:r w:rsidRPr="00ED0C6A">
        <w:rPr>
          <w:rFonts w:asciiTheme="minorHAnsi" w:hAnsiTheme="minorHAnsi"/>
          <w:sz w:val="24"/>
          <w:lang w:val="pl-PL"/>
        </w:rPr>
        <w:t xml:space="preserve"> zostało poprawione wyrokiem Sądu Apelacyjnego, który</w:t>
      </w:r>
      <w:r w:rsidR="0072154D">
        <w:rPr>
          <w:rFonts w:asciiTheme="minorHAnsi" w:hAnsiTheme="minorHAnsi"/>
          <w:sz w:val="24"/>
          <w:lang w:val="pl-PL"/>
        </w:rPr>
        <w:t> </w:t>
      </w:r>
      <w:r w:rsidRPr="00ED0C6A">
        <w:rPr>
          <w:rFonts w:asciiTheme="minorHAnsi" w:hAnsiTheme="minorHAnsi"/>
          <w:sz w:val="24"/>
          <w:lang w:val="pl-PL"/>
        </w:rPr>
        <w:t>potwierdził, że nie jest ono ograniczone do względów humanitarnych, ale ma szersze znaczenie, tak by było ono zgodne z art. 3</w:t>
      </w:r>
      <w:r w:rsidR="0003122E" w:rsidRPr="00ED0C6A">
        <w:rPr>
          <w:rFonts w:asciiTheme="minorHAnsi" w:hAnsiTheme="minorHAnsi"/>
          <w:sz w:val="24"/>
          <w:lang w:val="pl-PL"/>
        </w:rPr>
        <w:t xml:space="preserve"> Konwencji</w:t>
      </w:r>
      <w:r w:rsidRPr="00ED0C6A">
        <w:rPr>
          <w:rFonts w:asciiTheme="minorHAnsi" w:hAnsiTheme="minorHAnsi"/>
          <w:sz w:val="24"/>
          <w:lang w:val="pl-PL"/>
        </w:rPr>
        <w:t>.</w:t>
      </w:r>
    </w:p>
    <w:p w:rsidR="00F86582"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03122E"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(iii) </w:t>
      </w:r>
      <w:r w:rsidRPr="00ED0C6A">
        <w:rPr>
          <w:rFonts w:asciiTheme="minorHAnsi" w:hAnsiTheme="minorHAnsi"/>
          <w:i/>
          <w:sz w:val="24"/>
          <w:u w:val="single"/>
          <w:lang w:val="pl-PL"/>
        </w:rPr>
        <w:t>Kryteria i warunki ponownej oceny</w:t>
      </w:r>
      <w:r w:rsidRPr="00ED0C6A">
        <w:rPr>
          <w:rFonts w:asciiTheme="minorHAnsi" w:hAnsiTheme="minorHAnsi"/>
          <w:sz w:val="24"/>
          <w:lang w:val="pl-PL"/>
        </w:rPr>
        <w:t xml:space="preserve"> </w:t>
      </w:r>
    </w:p>
    <w:p w:rsidR="00F86582"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Trybunał potwierdził ponownie, że istotną kwestią jest, czy osoby odbywające karę dożywotniego pozbawienia wolności w systemie krajowym mogą wiedzieć, co muszą zrobić, by być uwzględnione do zwolnienia, i pod jakimi warunkami może zostać przeprowadzona ponowna ocena kary. W tym względzie, </w:t>
      </w:r>
      <w:r w:rsidR="0003122E" w:rsidRPr="00ED0C6A">
        <w:rPr>
          <w:rFonts w:asciiTheme="minorHAnsi" w:hAnsiTheme="minorHAnsi"/>
          <w:sz w:val="24"/>
          <w:lang w:val="pl-PL"/>
        </w:rPr>
        <w:t xml:space="preserve">jego zdaniem </w:t>
      </w:r>
      <w:r w:rsidRPr="00ED0C6A">
        <w:rPr>
          <w:rFonts w:asciiTheme="minorHAnsi" w:hAnsiTheme="minorHAnsi"/>
          <w:sz w:val="24"/>
          <w:lang w:val="pl-PL"/>
        </w:rPr>
        <w:t xml:space="preserve">można uznać, że </w:t>
      </w:r>
      <w:r w:rsidR="0003122E" w:rsidRPr="00ED0C6A">
        <w:rPr>
          <w:rFonts w:asciiTheme="minorHAnsi" w:hAnsiTheme="minorHAnsi"/>
          <w:sz w:val="24"/>
          <w:lang w:val="pl-PL"/>
        </w:rPr>
        <w:t xml:space="preserve">obecnie </w:t>
      </w:r>
      <w:r w:rsidRPr="00ED0C6A">
        <w:rPr>
          <w:rFonts w:asciiTheme="minorHAnsi" w:hAnsiTheme="minorHAnsi"/>
          <w:sz w:val="24"/>
          <w:lang w:val="pl-PL"/>
        </w:rPr>
        <w:t>system krajowy zapewnia wystarczający stopień szczegółowości i precyzji, ponieważ, po pierwsze, wykonywanie uprawnienia z art. 30 powinno się kierować całym właściwym orzecznictwem Trybunału, zarówno obecnym, jak i przyszłym, a także, po drugie, ponieważ konkretne znaczenie terminów używanych w art. 30 będzie w dalszym ciągu rozwijane w praktyce. W</w:t>
      </w:r>
      <w:r w:rsidR="0072154D">
        <w:rPr>
          <w:rFonts w:asciiTheme="minorHAnsi" w:hAnsiTheme="minorHAnsi"/>
          <w:sz w:val="24"/>
          <w:lang w:val="pl-PL"/>
        </w:rPr>
        <w:t> </w:t>
      </w:r>
      <w:r w:rsidRPr="00ED0C6A">
        <w:rPr>
          <w:rFonts w:asciiTheme="minorHAnsi" w:hAnsiTheme="minorHAnsi"/>
          <w:sz w:val="24"/>
          <w:lang w:val="pl-PL"/>
        </w:rPr>
        <w:t xml:space="preserve">tym kontekście, obowiązek uzasadnienia każdej swej decyzji przez Sekretarza Stanu, podlegający kontroli sądowej, stanowi gwarancję spójnego i przejrzystego wykonywania uprawnienia do zwolnienia. </w:t>
      </w:r>
    </w:p>
    <w:p w:rsidR="0003122E" w:rsidRPr="00ED0C6A" w:rsidRDefault="0003122E" w:rsidP="00380783">
      <w:pPr>
        <w:pStyle w:val="ClinContent"/>
        <w:spacing w:before="0"/>
        <w:rPr>
          <w:rFonts w:asciiTheme="minorHAnsi" w:hAnsiTheme="minorHAnsi"/>
          <w:sz w:val="24"/>
          <w:lang w:val="pl-PL"/>
        </w:rPr>
      </w:pPr>
    </w:p>
    <w:p w:rsidR="0003122E" w:rsidRPr="00ED0C6A" w:rsidRDefault="00F86582" w:rsidP="00380783">
      <w:pPr>
        <w:pStyle w:val="ClinContent"/>
        <w:spacing w:before="0"/>
        <w:rPr>
          <w:rFonts w:asciiTheme="minorHAnsi" w:hAnsiTheme="minorHAnsi"/>
          <w:i/>
          <w:sz w:val="24"/>
          <w:lang w:val="pl-PL"/>
        </w:rPr>
      </w:pPr>
      <w:r w:rsidRPr="00ED0C6A">
        <w:rPr>
          <w:rFonts w:asciiTheme="minorHAnsi" w:hAnsiTheme="minorHAnsi"/>
          <w:sz w:val="24"/>
          <w:lang w:val="pl-PL"/>
        </w:rPr>
        <w:t xml:space="preserve">(iv) </w:t>
      </w:r>
      <w:r w:rsidRPr="00ED0C6A">
        <w:rPr>
          <w:rFonts w:asciiTheme="minorHAnsi" w:hAnsiTheme="minorHAnsi"/>
          <w:i/>
          <w:sz w:val="24"/>
          <w:u w:val="single"/>
          <w:lang w:val="pl-PL"/>
        </w:rPr>
        <w:t>Ramy czasowe</w:t>
      </w:r>
      <w:r w:rsidRPr="00ED0C6A">
        <w:rPr>
          <w:rFonts w:asciiTheme="minorHAnsi" w:hAnsiTheme="minorHAnsi"/>
          <w:i/>
          <w:sz w:val="24"/>
          <w:lang w:val="pl-PL"/>
        </w:rPr>
        <w:t xml:space="preserve"> </w:t>
      </w:r>
    </w:p>
    <w:p w:rsidR="0003122E"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sprawie </w:t>
      </w:r>
      <w:proofErr w:type="spellStart"/>
      <w:r w:rsidRPr="00ED0C6A">
        <w:rPr>
          <w:rFonts w:asciiTheme="minorHAnsi" w:hAnsiTheme="minorHAnsi"/>
          <w:i/>
          <w:sz w:val="24"/>
          <w:lang w:val="pl-PL"/>
        </w:rPr>
        <w:t>Vinter</w:t>
      </w:r>
      <w:proofErr w:type="spellEnd"/>
      <w:r w:rsidRPr="00ED0C6A">
        <w:rPr>
          <w:rFonts w:asciiTheme="minorHAnsi" w:hAnsiTheme="minorHAnsi"/>
          <w:i/>
          <w:sz w:val="24"/>
          <w:lang w:val="pl-PL"/>
        </w:rPr>
        <w:t xml:space="preserve"> </w:t>
      </w:r>
      <w:r w:rsidRPr="00ED0C6A">
        <w:rPr>
          <w:rFonts w:asciiTheme="minorHAnsi" w:hAnsiTheme="minorHAnsi"/>
          <w:sz w:val="24"/>
          <w:lang w:val="pl-PL"/>
        </w:rPr>
        <w:t>wyrażone zostały obawy odnośnie do braku określenia ram czasowych – więzień nie powinien być zobowiązany do czekania, aż odbędzie nieokreśloną liczbę lat kary, zanim może podnieść zarzut na podstawie art. 3</w:t>
      </w:r>
      <w:r w:rsidR="0003122E" w:rsidRPr="00ED0C6A">
        <w:rPr>
          <w:rFonts w:asciiTheme="minorHAnsi" w:hAnsiTheme="minorHAnsi"/>
          <w:sz w:val="24"/>
          <w:lang w:val="pl-PL"/>
        </w:rPr>
        <w:t>.</w:t>
      </w:r>
      <w:r w:rsidRPr="00ED0C6A">
        <w:rPr>
          <w:rFonts w:asciiTheme="minorHAnsi" w:hAnsiTheme="minorHAnsi"/>
          <w:sz w:val="24"/>
          <w:lang w:val="pl-PL"/>
        </w:rPr>
        <w:t xml:space="preserve"> </w:t>
      </w:r>
      <w:r w:rsidR="0003122E" w:rsidRPr="00ED0C6A">
        <w:rPr>
          <w:rFonts w:asciiTheme="minorHAnsi" w:hAnsiTheme="minorHAnsi"/>
          <w:sz w:val="24"/>
          <w:lang w:val="pl-PL"/>
        </w:rPr>
        <w:t>N</w:t>
      </w:r>
      <w:r w:rsidRPr="00ED0C6A">
        <w:rPr>
          <w:rFonts w:asciiTheme="minorHAnsi" w:hAnsiTheme="minorHAnsi"/>
          <w:sz w:val="24"/>
          <w:lang w:val="pl-PL"/>
        </w:rPr>
        <w:t xml:space="preserve">ie można </w:t>
      </w:r>
      <w:r w:rsidR="0003122E" w:rsidRPr="00ED0C6A">
        <w:rPr>
          <w:rFonts w:asciiTheme="minorHAnsi" w:hAnsiTheme="minorHAnsi"/>
          <w:sz w:val="24"/>
          <w:lang w:val="pl-PL"/>
        </w:rPr>
        <w:t xml:space="preserve">jednak </w:t>
      </w:r>
      <w:r w:rsidRPr="00ED0C6A">
        <w:rPr>
          <w:rFonts w:asciiTheme="minorHAnsi" w:hAnsiTheme="minorHAnsi"/>
          <w:sz w:val="24"/>
          <w:lang w:val="pl-PL"/>
        </w:rPr>
        <w:t>stwierdzić, że</w:t>
      </w:r>
      <w:r w:rsidR="0072154D">
        <w:rPr>
          <w:rFonts w:asciiTheme="minorHAnsi" w:hAnsiTheme="minorHAnsi"/>
          <w:sz w:val="24"/>
          <w:lang w:val="pl-PL"/>
        </w:rPr>
        <w:t> </w:t>
      </w:r>
      <w:r w:rsidRPr="00ED0C6A">
        <w:rPr>
          <w:rFonts w:asciiTheme="minorHAnsi" w:hAnsiTheme="minorHAnsi"/>
          <w:sz w:val="24"/>
          <w:lang w:val="pl-PL"/>
        </w:rPr>
        <w:t>następstwa takiej sytuacji dla więźnia skazanego na karę dożywotniego pozbawienia wolności mogły już wystąpić w odniesieniu do skarżącego. Procedura ponownej oceny na</w:t>
      </w:r>
      <w:r w:rsidR="0072154D">
        <w:rPr>
          <w:rFonts w:asciiTheme="minorHAnsi" w:hAnsiTheme="minorHAnsi"/>
          <w:sz w:val="24"/>
          <w:lang w:val="pl-PL"/>
        </w:rPr>
        <w:t> </w:t>
      </w:r>
      <w:r w:rsidRPr="00ED0C6A">
        <w:rPr>
          <w:rFonts w:asciiTheme="minorHAnsi" w:hAnsiTheme="minorHAnsi"/>
          <w:sz w:val="24"/>
          <w:lang w:val="pl-PL"/>
        </w:rPr>
        <w:t>podstawie art. 30 może być w każdym czasie zainicjowana przez osadzonego, a skarżący nie twierdził, że uniemożliwiono mu lub powstrzymywano go od złożenia w dowolnym czasie wniosku do Sekretarza Stanu</w:t>
      </w:r>
      <w:r w:rsidR="0003122E" w:rsidRPr="00ED0C6A">
        <w:rPr>
          <w:rFonts w:asciiTheme="minorHAnsi" w:hAnsiTheme="minorHAnsi"/>
          <w:sz w:val="24"/>
          <w:lang w:val="pl-PL"/>
        </w:rPr>
        <w:t xml:space="preserve"> o rozważenie jego zwolnienia. </w:t>
      </w:r>
    </w:p>
    <w:p w:rsidR="0003122E" w:rsidRPr="00ED0C6A" w:rsidRDefault="0003122E" w:rsidP="00380783">
      <w:pPr>
        <w:pStyle w:val="ClinContent"/>
        <w:spacing w:before="0"/>
        <w:rPr>
          <w:rFonts w:asciiTheme="minorHAnsi" w:hAnsiTheme="minorHAnsi"/>
          <w:sz w:val="24"/>
          <w:lang w:val="pl-PL"/>
        </w:rPr>
      </w:pPr>
    </w:p>
    <w:p w:rsidR="00F86582" w:rsidRPr="00ED0C6A" w:rsidRDefault="0003122E" w:rsidP="00380783">
      <w:pPr>
        <w:pStyle w:val="ClinContent"/>
        <w:spacing w:before="0"/>
        <w:rPr>
          <w:rFonts w:asciiTheme="minorHAnsi" w:hAnsiTheme="minorHAnsi"/>
          <w:sz w:val="24"/>
          <w:lang w:val="pl-PL"/>
        </w:rPr>
      </w:pPr>
      <w:r w:rsidRPr="00ED0C6A">
        <w:rPr>
          <w:rFonts w:asciiTheme="minorHAnsi" w:hAnsiTheme="minorHAnsi"/>
          <w:sz w:val="24"/>
          <w:lang w:val="pl-PL"/>
        </w:rPr>
        <w:t>Konk</w:t>
      </w:r>
      <w:r w:rsidR="00F86582" w:rsidRPr="00ED0C6A">
        <w:rPr>
          <w:rFonts w:asciiTheme="minorHAnsi" w:hAnsiTheme="minorHAnsi"/>
          <w:sz w:val="24"/>
          <w:lang w:val="pl-PL"/>
        </w:rPr>
        <w:t xml:space="preserve">ludując, </w:t>
      </w:r>
      <w:r w:rsidRPr="00ED0C6A">
        <w:rPr>
          <w:rFonts w:asciiTheme="minorHAnsi" w:hAnsiTheme="minorHAnsi"/>
          <w:sz w:val="24"/>
          <w:lang w:val="pl-PL"/>
        </w:rPr>
        <w:t xml:space="preserve">Wielka Izba Trybunału podkreśliła, że </w:t>
      </w:r>
      <w:r w:rsidR="00F86582" w:rsidRPr="00ED0C6A">
        <w:rPr>
          <w:rFonts w:asciiTheme="minorHAnsi" w:hAnsiTheme="minorHAnsi"/>
          <w:sz w:val="24"/>
          <w:lang w:val="pl-PL"/>
        </w:rPr>
        <w:t xml:space="preserve">rozstrzygnięcie </w:t>
      </w:r>
      <w:r w:rsidRPr="00ED0C6A">
        <w:rPr>
          <w:rFonts w:asciiTheme="minorHAnsi" w:hAnsiTheme="minorHAnsi"/>
          <w:sz w:val="24"/>
          <w:lang w:val="pl-PL"/>
        </w:rPr>
        <w:t xml:space="preserve">Sądu Apelacyjnego </w:t>
      </w:r>
      <w:r w:rsidR="00F86582" w:rsidRPr="00ED0C6A">
        <w:rPr>
          <w:rFonts w:asciiTheme="minorHAnsi" w:hAnsiTheme="minorHAnsi"/>
          <w:sz w:val="24"/>
          <w:lang w:val="pl-PL"/>
        </w:rPr>
        <w:t>w</w:t>
      </w:r>
      <w:r w:rsidR="0072154D">
        <w:rPr>
          <w:rFonts w:asciiTheme="minorHAnsi" w:hAnsiTheme="minorHAnsi"/>
          <w:sz w:val="24"/>
          <w:lang w:val="pl-PL"/>
        </w:rPr>
        <w:t> </w:t>
      </w:r>
      <w:r w:rsidR="00F86582" w:rsidRPr="00ED0C6A">
        <w:rPr>
          <w:rFonts w:asciiTheme="minorHAnsi" w:hAnsiTheme="minorHAnsi"/>
          <w:sz w:val="24"/>
          <w:lang w:val="pl-PL"/>
        </w:rPr>
        <w:t xml:space="preserve">sprawie </w:t>
      </w:r>
      <w:proofErr w:type="spellStart"/>
      <w:r w:rsidR="00F86582" w:rsidRPr="00ED0C6A">
        <w:rPr>
          <w:rFonts w:asciiTheme="minorHAnsi" w:hAnsiTheme="minorHAnsi"/>
          <w:i/>
          <w:sz w:val="24"/>
          <w:lang w:val="pl-PL"/>
        </w:rPr>
        <w:t>McLoughlin</w:t>
      </w:r>
      <w:proofErr w:type="spellEnd"/>
      <w:r w:rsidR="00F86582" w:rsidRPr="00ED0C6A">
        <w:rPr>
          <w:rFonts w:asciiTheme="minorHAnsi" w:hAnsiTheme="minorHAnsi"/>
          <w:i/>
          <w:sz w:val="24"/>
          <w:lang w:val="pl-PL"/>
        </w:rPr>
        <w:t xml:space="preserve"> </w:t>
      </w:r>
      <w:r w:rsidR="00F86582" w:rsidRPr="00ED0C6A">
        <w:rPr>
          <w:rFonts w:asciiTheme="minorHAnsi" w:hAnsiTheme="minorHAnsi"/>
          <w:sz w:val="24"/>
          <w:lang w:val="pl-PL"/>
        </w:rPr>
        <w:t>pozwoliło</w:t>
      </w:r>
      <w:r w:rsidR="00F86582" w:rsidRPr="00ED0C6A">
        <w:rPr>
          <w:rFonts w:asciiTheme="minorHAnsi" w:hAnsiTheme="minorHAnsi"/>
          <w:i/>
          <w:sz w:val="24"/>
          <w:lang w:val="pl-PL"/>
        </w:rPr>
        <w:t xml:space="preserve"> </w:t>
      </w:r>
      <w:r w:rsidR="00F86582" w:rsidRPr="00ED0C6A">
        <w:rPr>
          <w:rFonts w:asciiTheme="minorHAnsi" w:hAnsiTheme="minorHAnsi"/>
          <w:sz w:val="24"/>
          <w:lang w:val="pl-PL"/>
        </w:rPr>
        <w:t>rozproszyć</w:t>
      </w:r>
      <w:r w:rsidR="00F86582" w:rsidRPr="00ED0C6A">
        <w:rPr>
          <w:rFonts w:asciiTheme="minorHAnsi" w:hAnsiTheme="minorHAnsi"/>
          <w:i/>
          <w:sz w:val="24"/>
          <w:lang w:val="pl-PL"/>
        </w:rPr>
        <w:t xml:space="preserve"> </w:t>
      </w:r>
      <w:r w:rsidR="00F86582" w:rsidRPr="00ED0C6A">
        <w:rPr>
          <w:rFonts w:asciiTheme="minorHAnsi" w:hAnsiTheme="minorHAnsi"/>
          <w:sz w:val="24"/>
          <w:lang w:val="pl-PL"/>
        </w:rPr>
        <w:t xml:space="preserve">niejasności zidentyfikowane </w:t>
      </w:r>
      <w:r w:rsidRPr="00ED0C6A">
        <w:rPr>
          <w:rFonts w:asciiTheme="minorHAnsi" w:hAnsiTheme="minorHAnsi"/>
          <w:sz w:val="24"/>
          <w:lang w:val="pl-PL"/>
        </w:rPr>
        <w:t xml:space="preserve">przez Trybunał </w:t>
      </w:r>
      <w:r w:rsidR="00F86582" w:rsidRPr="00ED0C6A">
        <w:rPr>
          <w:rFonts w:asciiTheme="minorHAnsi" w:hAnsiTheme="minorHAnsi"/>
          <w:sz w:val="24"/>
          <w:lang w:val="pl-PL"/>
        </w:rPr>
        <w:t>w</w:t>
      </w:r>
      <w:r w:rsidR="0072154D">
        <w:rPr>
          <w:rFonts w:asciiTheme="minorHAnsi" w:hAnsiTheme="minorHAnsi"/>
          <w:sz w:val="24"/>
          <w:lang w:val="pl-PL"/>
        </w:rPr>
        <w:t> </w:t>
      </w:r>
      <w:r w:rsidR="00F86582" w:rsidRPr="00ED0C6A">
        <w:rPr>
          <w:rFonts w:asciiTheme="minorHAnsi" w:hAnsiTheme="minorHAnsi"/>
          <w:sz w:val="24"/>
          <w:lang w:val="pl-PL"/>
        </w:rPr>
        <w:t xml:space="preserve">sprawie </w:t>
      </w:r>
      <w:proofErr w:type="spellStart"/>
      <w:r w:rsidR="00F86582" w:rsidRPr="00ED0C6A">
        <w:rPr>
          <w:rFonts w:asciiTheme="minorHAnsi" w:hAnsiTheme="minorHAnsi"/>
          <w:i/>
          <w:sz w:val="24"/>
          <w:lang w:val="pl-PL"/>
        </w:rPr>
        <w:t>Vinter</w:t>
      </w:r>
      <w:proofErr w:type="spellEnd"/>
      <w:r w:rsidRPr="00ED0C6A">
        <w:rPr>
          <w:rFonts w:asciiTheme="minorHAnsi" w:hAnsiTheme="minorHAnsi"/>
          <w:i/>
          <w:sz w:val="24"/>
          <w:lang w:val="pl-PL"/>
        </w:rPr>
        <w:t xml:space="preserve">, </w:t>
      </w:r>
      <w:r w:rsidRPr="00ED0C6A">
        <w:rPr>
          <w:rFonts w:asciiTheme="minorHAnsi" w:hAnsiTheme="minorHAnsi"/>
          <w:sz w:val="24"/>
          <w:lang w:val="pl-PL"/>
        </w:rPr>
        <w:t>które</w:t>
      </w:r>
      <w:r w:rsidR="00F86582" w:rsidRPr="00ED0C6A">
        <w:rPr>
          <w:rFonts w:asciiTheme="minorHAnsi" w:hAnsiTheme="minorHAnsi"/>
          <w:i/>
          <w:sz w:val="24"/>
          <w:lang w:val="pl-PL"/>
        </w:rPr>
        <w:t xml:space="preserve"> </w:t>
      </w:r>
      <w:r w:rsidR="00F86582" w:rsidRPr="00ED0C6A">
        <w:rPr>
          <w:rFonts w:asciiTheme="minorHAnsi" w:hAnsiTheme="minorHAnsi"/>
          <w:sz w:val="24"/>
          <w:lang w:val="pl-PL"/>
        </w:rPr>
        <w:t>wynika</w:t>
      </w:r>
      <w:r w:rsidRPr="00ED0C6A">
        <w:rPr>
          <w:rFonts w:asciiTheme="minorHAnsi" w:hAnsiTheme="minorHAnsi"/>
          <w:sz w:val="24"/>
          <w:lang w:val="pl-PL"/>
        </w:rPr>
        <w:t>ły</w:t>
      </w:r>
      <w:r w:rsidR="00F86582" w:rsidRPr="00ED0C6A">
        <w:rPr>
          <w:rFonts w:asciiTheme="minorHAnsi" w:hAnsiTheme="minorHAnsi"/>
          <w:sz w:val="24"/>
          <w:lang w:val="pl-PL"/>
        </w:rPr>
        <w:t xml:space="preserve"> z rozbieżności w ramach systemu krajowego między mającą zastosowanie ustawą a opublikowanym dokumentem urzędowym dotyczącym stosowanej polityki. Ponadto, Sąd Apelacyjny wyjaśnił zakres oraz podstawy ponownej oceny kary </w:t>
      </w:r>
      <w:r w:rsidRPr="00ED0C6A">
        <w:rPr>
          <w:rFonts w:asciiTheme="minorHAnsi" w:hAnsiTheme="minorHAnsi"/>
          <w:sz w:val="24"/>
          <w:lang w:val="pl-PL"/>
        </w:rPr>
        <w:t xml:space="preserve">dożywotniego pozbawienia wolności </w:t>
      </w:r>
      <w:r w:rsidR="00F86582" w:rsidRPr="00ED0C6A">
        <w:rPr>
          <w:rFonts w:asciiTheme="minorHAnsi" w:hAnsiTheme="minorHAnsi"/>
          <w:sz w:val="24"/>
          <w:lang w:val="pl-PL"/>
        </w:rPr>
        <w:t xml:space="preserve">oraz sposób jej przeprowadzania przez Sekretarza Stanu, </w:t>
      </w:r>
      <w:r w:rsidRPr="00ED0C6A">
        <w:rPr>
          <w:rFonts w:asciiTheme="minorHAnsi" w:hAnsiTheme="minorHAnsi"/>
          <w:sz w:val="24"/>
          <w:lang w:val="pl-PL"/>
        </w:rPr>
        <w:t xml:space="preserve">wyjaśnił </w:t>
      </w:r>
      <w:r w:rsidR="00F86582" w:rsidRPr="00ED0C6A">
        <w:rPr>
          <w:rFonts w:asciiTheme="minorHAnsi" w:hAnsiTheme="minorHAnsi"/>
          <w:sz w:val="24"/>
          <w:lang w:val="pl-PL"/>
        </w:rPr>
        <w:t xml:space="preserve">także obowiązek </w:t>
      </w:r>
      <w:r w:rsidRPr="00ED0C6A">
        <w:rPr>
          <w:rFonts w:asciiTheme="minorHAnsi" w:hAnsiTheme="minorHAnsi"/>
          <w:sz w:val="24"/>
          <w:lang w:val="pl-PL"/>
        </w:rPr>
        <w:t xml:space="preserve">Sekretarza Stanu </w:t>
      </w:r>
      <w:r w:rsidR="00F86582" w:rsidRPr="00ED0C6A">
        <w:rPr>
          <w:rFonts w:asciiTheme="minorHAnsi" w:hAnsiTheme="minorHAnsi"/>
          <w:sz w:val="24"/>
          <w:lang w:val="pl-PL"/>
        </w:rPr>
        <w:t>zwolnienia osoby odbywającej karę dożywotniego pozbawienia wolności, gdy dalsze pozbawienie wolności nie może być już</w:t>
      </w:r>
      <w:r w:rsidR="0072154D">
        <w:rPr>
          <w:rFonts w:asciiTheme="minorHAnsi" w:hAnsiTheme="minorHAnsi"/>
          <w:sz w:val="24"/>
          <w:lang w:val="pl-PL"/>
        </w:rPr>
        <w:t> </w:t>
      </w:r>
      <w:r w:rsidR="00F86582" w:rsidRPr="00ED0C6A">
        <w:rPr>
          <w:rFonts w:asciiTheme="minorHAnsi" w:hAnsiTheme="minorHAnsi"/>
          <w:sz w:val="24"/>
          <w:lang w:val="pl-PL"/>
        </w:rPr>
        <w:t xml:space="preserve">uzasadnione uprawnionymi względami penologicznymi. Dalsze uszczegółowienie okoliczności, w których osoba odbywająca karę dożywotniego pozbawienia wolności może się ubiegać o zwolnienie z odwołaniem do uprawnionych względów penologicznych uzasadniających pozbawienie wolności, może nastąpić poprzez praktykę krajową. </w:t>
      </w:r>
      <w:r w:rsidRPr="00ED0C6A">
        <w:rPr>
          <w:rFonts w:asciiTheme="minorHAnsi" w:hAnsiTheme="minorHAnsi"/>
          <w:sz w:val="24"/>
          <w:lang w:val="pl-PL"/>
        </w:rPr>
        <w:t>Trybunał uznał też, że u</w:t>
      </w:r>
      <w:r w:rsidR="00F86582" w:rsidRPr="00ED0C6A">
        <w:rPr>
          <w:rFonts w:asciiTheme="minorHAnsi" w:hAnsiTheme="minorHAnsi"/>
          <w:sz w:val="24"/>
          <w:lang w:val="pl-PL"/>
        </w:rPr>
        <w:t xml:space="preserve">stawowy obowiązek sądów krajowych uwzględnienia orzecznictwa </w:t>
      </w:r>
      <w:r w:rsidRPr="00ED0C6A">
        <w:rPr>
          <w:rFonts w:asciiTheme="minorHAnsi" w:hAnsiTheme="minorHAnsi"/>
          <w:sz w:val="24"/>
          <w:lang w:val="pl-PL"/>
        </w:rPr>
        <w:t xml:space="preserve">Trybunału </w:t>
      </w:r>
      <w:r w:rsidR="00F86582" w:rsidRPr="00ED0C6A">
        <w:rPr>
          <w:rFonts w:asciiTheme="minorHAnsi" w:hAnsiTheme="minorHAnsi"/>
          <w:sz w:val="24"/>
          <w:lang w:val="pl-PL"/>
        </w:rPr>
        <w:t xml:space="preserve">na gruncie art. 3 w formie, w jakiej może się ono rozwinąć w przyszłości, stanowi dodatkową istotną gwarancję.  </w:t>
      </w:r>
    </w:p>
    <w:p w:rsidR="0003122E" w:rsidRPr="00ED0C6A" w:rsidRDefault="0003122E" w:rsidP="00380783">
      <w:pPr>
        <w:pStyle w:val="ClinContent"/>
        <w:spacing w:before="0"/>
        <w:rPr>
          <w:rFonts w:asciiTheme="minorHAnsi" w:hAnsiTheme="minorHAnsi"/>
          <w:sz w:val="24"/>
          <w:lang w:val="pl-PL"/>
        </w:rPr>
      </w:pPr>
    </w:p>
    <w:p w:rsidR="00F86582" w:rsidRPr="00ED0C6A" w:rsidRDefault="00F8658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świetle powyższego, </w:t>
      </w:r>
      <w:r w:rsidR="0003122E" w:rsidRPr="00ED0C6A">
        <w:rPr>
          <w:rFonts w:asciiTheme="minorHAnsi" w:hAnsiTheme="minorHAnsi"/>
          <w:sz w:val="24"/>
          <w:lang w:val="pl-PL"/>
        </w:rPr>
        <w:t xml:space="preserve">w opinii Trybunału </w:t>
      </w:r>
      <w:r w:rsidRPr="00ED0C6A">
        <w:rPr>
          <w:rFonts w:asciiTheme="minorHAnsi" w:hAnsiTheme="minorHAnsi"/>
          <w:sz w:val="24"/>
          <w:lang w:val="pl-PL"/>
        </w:rPr>
        <w:t>kara dożywotniego pozbawienia wolności może być obecnie uznana za podlegającą możliwości skrócenia, zgodnie z art. 3 Konwencji.</w:t>
      </w:r>
      <w:r w:rsidR="00502C85" w:rsidRPr="00ED0C6A">
        <w:rPr>
          <w:rStyle w:val="Odwoanieprzypisudolnego"/>
          <w:rFonts w:asciiTheme="minorHAnsi" w:hAnsiTheme="minorHAnsi"/>
          <w:sz w:val="24"/>
          <w:lang w:val="pl-PL"/>
        </w:rPr>
        <w:footnoteReference w:id="17"/>
      </w:r>
      <w:r w:rsidRPr="00ED0C6A">
        <w:rPr>
          <w:rFonts w:asciiTheme="minorHAnsi" w:hAnsiTheme="minorHAnsi"/>
          <w:sz w:val="24"/>
          <w:lang w:val="pl-PL"/>
        </w:rPr>
        <w:t xml:space="preserve"> </w:t>
      </w:r>
      <w:r w:rsidR="0003122E" w:rsidRPr="00ED0C6A">
        <w:rPr>
          <w:rFonts w:asciiTheme="minorHAnsi" w:hAnsiTheme="minorHAnsi"/>
          <w:sz w:val="24"/>
          <w:lang w:val="pl-PL"/>
        </w:rPr>
        <w:t>Na</w:t>
      </w:r>
      <w:r w:rsidR="0072154D">
        <w:rPr>
          <w:rFonts w:asciiTheme="minorHAnsi" w:hAnsiTheme="minorHAnsi"/>
          <w:sz w:val="24"/>
          <w:lang w:val="pl-PL"/>
        </w:rPr>
        <w:t> </w:t>
      </w:r>
      <w:r w:rsidR="0003122E" w:rsidRPr="00ED0C6A">
        <w:rPr>
          <w:rFonts w:asciiTheme="minorHAnsi" w:hAnsiTheme="minorHAnsi"/>
          <w:sz w:val="24"/>
          <w:lang w:val="pl-PL"/>
        </w:rPr>
        <w:t>tej</w:t>
      </w:r>
      <w:r w:rsidR="0072154D">
        <w:rPr>
          <w:rFonts w:asciiTheme="minorHAnsi" w:hAnsiTheme="minorHAnsi"/>
          <w:sz w:val="24"/>
          <w:lang w:val="pl-PL"/>
        </w:rPr>
        <w:t> </w:t>
      </w:r>
      <w:r w:rsidR="0003122E" w:rsidRPr="00ED0C6A">
        <w:rPr>
          <w:rFonts w:asciiTheme="minorHAnsi" w:hAnsiTheme="minorHAnsi"/>
          <w:sz w:val="24"/>
          <w:lang w:val="pl-PL"/>
        </w:rPr>
        <w:t>podstawie Trybunał orzekł, czternastoma głosami do trzech, że nie doszło do</w:t>
      </w:r>
      <w:r w:rsidR="0072154D">
        <w:rPr>
          <w:rFonts w:asciiTheme="minorHAnsi" w:hAnsiTheme="minorHAnsi"/>
          <w:sz w:val="24"/>
          <w:lang w:val="pl-PL"/>
        </w:rPr>
        <w:t> </w:t>
      </w:r>
      <w:r w:rsidR="0003122E" w:rsidRPr="00ED0C6A">
        <w:rPr>
          <w:rFonts w:asciiTheme="minorHAnsi" w:hAnsiTheme="minorHAnsi"/>
          <w:sz w:val="24"/>
          <w:lang w:val="pl-PL"/>
        </w:rPr>
        <w:t xml:space="preserve">naruszenia tego artykułu.  </w:t>
      </w:r>
    </w:p>
    <w:p w:rsidR="00A77E26" w:rsidRPr="00ED0C6A" w:rsidRDefault="00A77E26" w:rsidP="00380783">
      <w:pPr>
        <w:pStyle w:val="ClinContent"/>
        <w:spacing w:before="0"/>
        <w:rPr>
          <w:rFonts w:asciiTheme="minorHAnsi" w:hAnsiTheme="minorHAnsi"/>
          <w:sz w:val="24"/>
          <w:lang w:val="pl-PL"/>
        </w:rPr>
      </w:pPr>
    </w:p>
    <w:p w:rsidR="00A77E26" w:rsidRPr="00ED0C6A" w:rsidRDefault="00A77E26" w:rsidP="00380783">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kolejny z wyroków Trybunału dotyczących wymogu skracalności kary dożywotniego pozbawienia wolności</w:t>
      </w:r>
      <w:r w:rsidR="00F870D0" w:rsidRPr="00ED0C6A">
        <w:rPr>
          <w:rFonts w:asciiTheme="minorHAnsi" w:hAnsiTheme="minorHAnsi"/>
          <w:sz w:val="24"/>
          <w:lang w:val="pl-PL"/>
        </w:rPr>
        <w:t>,</w:t>
      </w:r>
      <w:r w:rsidRPr="00ED0C6A">
        <w:rPr>
          <w:rFonts w:asciiTheme="minorHAnsi" w:hAnsiTheme="minorHAnsi"/>
          <w:sz w:val="24"/>
          <w:lang w:val="pl-PL"/>
        </w:rPr>
        <w:t xml:space="preserve"> zapoczątkowanych rozstrzygnięciem w sprawie </w:t>
      </w:r>
      <w:proofErr w:type="spellStart"/>
      <w:r w:rsidRPr="00ED0C6A">
        <w:rPr>
          <w:rFonts w:asciiTheme="minorHAnsi" w:hAnsiTheme="minorHAnsi"/>
          <w:i/>
          <w:sz w:val="24"/>
          <w:lang w:val="pl-PL"/>
        </w:rPr>
        <w:t>Vinter</w:t>
      </w:r>
      <w:proofErr w:type="spellEnd"/>
      <w:r w:rsidRPr="00ED0C6A">
        <w:rPr>
          <w:rFonts w:asciiTheme="minorHAnsi" w:hAnsiTheme="minorHAnsi"/>
          <w:i/>
          <w:sz w:val="24"/>
          <w:lang w:val="pl-PL"/>
        </w:rPr>
        <w:t xml:space="preserve"> i Inni p. Zjednoczonemu Królestwu</w:t>
      </w:r>
      <w:r w:rsidRPr="00ED0C6A">
        <w:rPr>
          <w:rStyle w:val="Odwoanieprzypisudolnego"/>
          <w:rFonts w:asciiTheme="minorHAnsi" w:hAnsiTheme="minorHAnsi"/>
          <w:sz w:val="24"/>
          <w:lang w:val="pl-PL"/>
        </w:rPr>
        <w:footnoteReference w:id="18"/>
      </w:r>
      <w:r w:rsidRPr="00ED0C6A">
        <w:rPr>
          <w:rFonts w:asciiTheme="minorHAnsi" w:hAnsiTheme="minorHAnsi"/>
          <w:sz w:val="24"/>
          <w:lang w:val="pl-PL"/>
        </w:rPr>
        <w:t>. Obecny wyrok stanowi w</w:t>
      </w:r>
      <w:r w:rsidR="0072154D">
        <w:rPr>
          <w:rFonts w:asciiTheme="minorHAnsi" w:hAnsiTheme="minorHAnsi"/>
          <w:sz w:val="24"/>
          <w:lang w:val="pl-PL"/>
        </w:rPr>
        <w:t> </w:t>
      </w:r>
      <w:r w:rsidRPr="00ED0C6A">
        <w:rPr>
          <w:rFonts w:asciiTheme="minorHAnsi" w:hAnsiTheme="minorHAnsi"/>
          <w:sz w:val="24"/>
          <w:lang w:val="pl-PL"/>
        </w:rPr>
        <w:t>szczególności interesujący przykład tzw. dialogu sędziowskiego między Europejskim Trybunałem Praw Człowieka a najwyższymi instancjami sądowymi Państwa-Strony Konwencji. W pierwszym wyroku Trybunał zakwestionował niejasne ustawodawstwo, które</w:t>
      </w:r>
      <w:r w:rsidR="00FF0342">
        <w:rPr>
          <w:rFonts w:asciiTheme="minorHAnsi" w:hAnsiTheme="minorHAnsi"/>
          <w:sz w:val="24"/>
          <w:lang w:val="pl-PL"/>
        </w:rPr>
        <w:t> </w:t>
      </w:r>
      <w:r w:rsidRPr="00ED0C6A">
        <w:rPr>
          <w:rFonts w:asciiTheme="minorHAnsi" w:hAnsiTheme="minorHAnsi"/>
          <w:sz w:val="24"/>
          <w:lang w:val="pl-PL"/>
        </w:rPr>
        <w:t>skutkowało naruszeniem postanowień Konwencji z uwagi na brak wystarczających gwarancji praw skarżących. Po doprecyzowaniu wykładni prawa i praktyki sądowej przez brytyjski sąd, obecnie Trybunał zmienił swą ocenę prawa krajowego, uznając, że niedostatki prawa i jego wykładni zostały usunięte. Wyrok potwierdza zatem znaczenie dla orzecznictwa Trybunału reakcji najwyższych sądów krajowych na stwierdzone przez niego naruszenia. Potwierdza także, że zmiana praktyki orzeczniczej może być wystarczająca dla usunięcia stanu naruszenia w prawie krajowym, a więc, że może być ona istotna również dla</w:t>
      </w:r>
      <w:r w:rsidR="00FF0342">
        <w:rPr>
          <w:rFonts w:asciiTheme="minorHAnsi" w:hAnsiTheme="minorHAnsi"/>
          <w:sz w:val="24"/>
          <w:lang w:val="pl-PL"/>
        </w:rPr>
        <w:t> </w:t>
      </w:r>
      <w:r w:rsidRPr="00ED0C6A">
        <w:rPr>
          <w:rFonts w:asciiTheme="minorHAnsi" w:hAnsiTheme="minorHAnsi"/>
          <w:sz w:val="24"/>
          <w:lang w:val="pl-PL"/>
        </w:rPr>
        <w:t xml:space="preserve">wykonywania wyroków Trybunału. </w:t>
      </w:r>
      <w:r w:rsidR="00F870D0" w:rsidRPr="00ED0C6A">
        <w:rPr>
          <w:rFonts w:asciiTheme="minorHAnsi" w:hAnsiTheme="minorHAnsi"/>
          <w:sz w:val="24"/>
          <w:lang w:val="pl-PL"/>
        </w:rPr>
        <w:t>B</w:t>
      </w:r>
      <w:r w:rsidRPr="00ED0C6A">
        <w:rPr>
          <w:rFonts w:asciiTheme="minorHAnsi" w:hAnsiTheme="minorHAnsi"/>
          <w:sz w:val="24"/>
          <w:lang w:val="pl-PL"/>
        </w:rPr>
        <w:t>rytyjski sąd podkreślił, że w praktyce stosowania prawa uwzględniane ma być orzecznictwo Trybunału w przedmiotowym obszarze, także</w:t>
      </w:r>
      <w:r w:rsidR="00FF0342">
        <w:rPr>
          <w:rFonts w:asciiTheme="minorHAnsi" w:hAnsiTheme="minorHAnsi"/>
          <w:sz w:val="24"/>
          <w:lang w:val="pl-PL"/>
        </w:rPr>
        <w:t> </w:t>
      </w:r>
      <w:r w:rsidRPr="00ED0C6A">
        <w:rPr>
          <w:rFonts w:asciiTheme="minorHAnsi" w:hAnsiTheme="minorHAnsi"/>
          <w:sz w:val="24"/>
          <w:lang w:val="pl-PL"/>
        </w:rPr>
        <w:t>przyszłe. Dodatkowo, w</w:t>
      </w:r>
      <w:r w:rsidR="0072154D">
        <w:rPr>
          <w:rFonts w:asciiTheme="minorHAnsi" w:hAnsiTheme="minorHAnsi"/>
          <w:sz w:val="24"/>
          <w:lang w:val="pl-PL"/>
        </w:rPr>
        <w:t> </w:t>
      </w:r>
      <w:r w:rsidRPr="00ED0C6A">
        <w:rPr>
          <w:rFonts w:asciiTheme="minorHAnsi" w:hAnsiTheme="minorHAnsi"/>
          <w:sz w:val="24"/>
          <w:lang w:val="pl-PL"/>
        </w:rPr>
        <w:t xml:space="preserve">kontekście praktyki stosowania kary dożywotniego pozbawienia wolności i warunkowego zwolnienia znaczenie ma także jakość uzasadnienia rozstrzygnięć krajowych. </w:t>
      </w:r>
    </w:p>
    <w:p w:rsidR="00A77E26" w:rsidRPr="00ED0C6A" w:rsidRDefault="00A77E26" w:rsidP="00380783">
      <w:pPr>
        <w:pStyle w:val="ClinContent"/>
        <w:spacing w:before="0"/>
        <w:rPr>
          <w:rFonts w:asciiTheme="minorHAnsi" w:hAnsiTheme="minorHAnsi"/>
          <w:sz w:val="24"/>
          <w:lang w:val="pl-PL"/>
        </w:rPr>
      </w:pPr>
    </w:p>
    <w:p w:rsidR="00A77E26" w:rsidRPr="00ED0C6A" w:rsidRDefault="00A77E26" w:rsidP="00380783">
      <w:pPr>
        <w:pStyle w:val="ClinContent"/>
        <w:spacing w:before="0"/>
        <w:rPr>
          <w:rFonts w:asciiTheme="minorHAnsi" w:hAnsiTheme="minorHAnsi"/>
          <w:sz w:val="24"/>
          <w:u w:val="single"/>
          <w:lang w:val="pl-PL"/>
        </w:rPr>
      </w:pPr>
      <w:r w:rsidRPr="00ED0C6A">
        <w:rPr>
          <w:rFonts w:asciiTheme="minorHAnsi" w:hAnsiTheme="minorHAnsi"/>
          <w:sz w:val="24"/>
          <w:lang w:val="pl-PL"/>
        </w:rPr>
        <w:t xml:space="preserve">Wyrok może mieć znaczenie </w:t>
      </w:r>
      <w:r w:rsidR="00721A8D" w:rsidRPr="00ED0C6A">
        <w:rPr>
          <w:rFonts w:asciiTheme="minorHAnsi" w:hAnsiTheme="minorHAnsi"/>
          <w:sz w:val="24"/>
          <w:lang w:val="pl-PL"/>
        </w:rPr>
        <w:t xml:space="preserve">ogólne dla sądów jako przykład sposobu skutecznego prowadzenia dialogu z Trybunałem w odniesieniu do różnych spraw objętych zakresem Konwencji </w:t>
      </w:r>
      <w:r w:rsidR="00F870D0" w:rsidRPr="00ED0C6A">
        <w:rPr>
          <w:rFonts w:asciiTheme="minorHAnsi" w:hAnsiTheme="minorHAnsi"/>
          <w:sz w:val="24"/>
          <w:lang w:val="pl-PL"/>
        </w:rPr>
        <w:t xml:space="preserve">i </w:t>
      </w:r>
      <w:r w:rsidR="00721A8D" w:rsidRPr="00ED0C6A">
        <w:rPr>
          <w:rFonts w:asciiTheme="minorHAnsi" w:hAnsiTheme="minorHAnsi"/>
          <w:sz w:val="24"/>
          <w:lang w:val="pl-PL"/>
        </w:rPr>
        <w:t xml:space="preserve">orzecznictwa Trybunału, a </w:t>
      </w:r>
      <w:r w:rsidRPr="00ED0C6A">
        <w:rPr>
          <w:rFonts w:asciiTheme="minorHAnsi" w:hAnsiTheme="minorHAnsi"/>
          <w:sz w:val="24"/>
          <w:lang w:val="pl-PL"/>
        </w:rPr>
        <w:t>zwłaszcza dla Sądu Najwyższego, Naczelnego Sądu Administracyjnego i Trybunału Konstytucyjnego jako najwyższych sądów i trybunałów Polski prowadzących</w:t>
      </w:r>
      <w:r w:rsidR="00721A8D" w:rsidRPr="00ED0C6A">
        <w:rPr>
          <w:rFonts w:asciiTheme="minorHAnsi" w:hAnsiTheme="minorHAnsi"/>
          <w:sz w:val="24"/>
          <w:lang w:val="pl-PL"/>
        </w:rPr>
        <w:t xml:space="preserve"> ten</w:t>
      </w:r>
      <w:r w:rsidRPr="00ED0C6A">
        <w:rPr>
          <w:rFonts w:asciiTheme="minorHAnsi" w:hAnsiTheme="minorHAnsi"/>
          <w:sz w:val="24"/>
          <w:lang w:val="pl-PL"/>
        </w:rPr>
        <w:t xml:space="preserve"> dialog z Europejskim Trybunałem Praw Człowieka. Może mieć też</w:t>
      </w:r>
      <w:r w:rsidR="0040200C">
        <w:rPr>
          <w:rFonts w:asciiTheme="minorHAnsi" w:hAnsiTheme="minorHAnsi"/>
          <w:sz w:val="24"/>
          <w:lang w:val="pl-PL"/>
        </w:rPr>
        <w:t> </w:t>
      </w:r>
      <w:r w:rsidRPr="00ED0C6A">
        <w:rPr>
          <w:rFonts w:asciiTheme="minorHAnsi" w:hAnsiTheme="minorHAnsi"/>
          <w:sz w:val="24"/>
          <w:lang w:val="pl-PL"/>
        </w:rPr>
        <w:t>znaczenie w kontekście wykonywania wyroków Trybunału przez Polskę w drodze zmiany praktyki orzeczniczej sądów. Dodatkowo</w:t>
      </w:r>
      <w:r w:rsidR="00DD3BCB" w:rsidRPr="00ED0C6A">
        <w:rPr>
          <w:rFonts w:asciiTheme="minorHAnsi" w:hAnsiTheme="minorHAnsi"/>
          <w:sz w:val="24"/>
          <w:lang w:val="pl-PL"/>
        </w:rPr>
        <w:t>,</w:t>
      </w:r>
      <w:r w:rsidRPr="00ED0C6A">
        <w:rPr>
          <w:rFonts w:asciiTheme="minorHAnsi" w:hAnsiTheme="minorHAnsi"/>
          <w:sz w:val="24"/>
          <w:lang w:val="pl-PL"/>
        </w:rPr>
        <w:t xml:space="preserve"> </w:t>
      </w:r>
      <w:r w:rsidR="00DD3BCB" w:rsidRPr="00ED0C6A">
        <w:rPr>
          <w:rFonts w:asciiTheme="minorHAnsi" w:hAnsiTheme="minorHAnsi"/>
          <w:sz w:val="24"/>
          <w:lang w:val="pl-PL"/>
        </w:rPr>
        <w:t xml:space="preserve">w zakresie </w:t>
      </w:r>
      <w:r w:rsidRPr="00ED0C6A">
        <w:rPr>
          <w:rFonts w:asciiTheme="minorHAnsi" w:hAnsiTheme="minorHAnsi"/>
          <w:sz w:val="24"/>
          <w:lang w:val="pl-PL"/>
        </w:rPr>
        <w:t>wym</w:t>
      </w:r>
      <w:r w:rsidR="00DD3BCB" w:rsidRPr="00ED0C6A">
        <w:rPr>
          <w:rFonts w:asciiTheme="minorHAnsi" w:hAnsiTheme="minorHAnsi"/>
          <w:sz w:val="24"/>
          <w:lang w:val="pl-PL"/>
        </w:rPr>
        <w:t>ogu</w:t>
      </w:r>
      <w:r w:rsidRPr="00ED0C6A">
        <w:rPr>
          <w:rFonts w:asciiTheme="minorHAnsi" w:hAnsiTheme="minorHAnsi"/>
          <w:sz w:val="24"/>
          <w:lang w:val="pl-PL"/>
        </w:rPr>
        <w:t xml:space="preserve"> odpowiedniego uzasadnienia</w:t>
      </w:r>
      <w:r w:rsidR="00F870D0" w:rsidRPr="00ED0C6A">
        <w:rPr>
          <w:rFonts w:asciiTheme="minorHAnsi" w:hAnsiTheme="minorHAnsi"/>
          <w:sz w:val="24"/>
          <w:lang w:val="pl-PL"/>
        </w:rPr>
        <w:t xml:space="preserve"> wyrok</w:t>
      </w:r>
      <w:r w:rsidRPr="00ED0C6A">
        <w:rPr>
          <w:rFonts w:asciiTheme="minorHAnsi" w:hAnsiTheme="minorHAnsi"/>
          <w:sz w:val="24"/>
          <w:lang w:val="pl-PL"/>
        </w:rPr>
        <w:t xml:space="preserve"> ma znaczenie dla sądów i innych organów właściwych </w:t>
      </w:r>
      <w:proofErr w:type="spellStart"/>
      <w:r w:rsidR="00F870D0" w:rsidRPr="00ED0C6A">
        <w:rPr>
          <w:rFonts w:asciiTheme="minorHAnsi" w:hAnsiTheme="minorHAnsi"/>
          <w:sz w:val="24"/>
          <w:lang w:val="pl-PL"/>
        </w:rPr>
        <w:t>ws</w:t>
      </w:r>
      <w:proofErr w:type="spellEnd"/>
      <w:r w:rsidR="00F870D0" w:rsidRPr="00ED0C6A">
        <w:rPr>
          <w:rFonts w:asciiTheme="minorHAnsi" w:hAnsiTheme="minorHAnsi"/>
          <w:sz w:val="24"/>
          <w:lang w:val="pl-PL"/>
        </w:rPr>
        <w:t>.</w:t>
      </w:r>
      <w:r w:rsidRPr="00ED0C6A">
        <w:rPr>
          <w:rFonts w:asciiTheme="minorHAnsi" w:hAnsiTheme="minorHAnsi"/>
          <w:sz w:val="24"/>
          <w:lang w:val="pl-PL"/>
        </w:rPr>
        <w:t xml:space="preserve"> problematyki warunkowego zwolnienia w przypadku kary dożywotniego pozbawienia wolności.</w:t>
      </w:r>
    </w:p>
    <w:p w:rsidR="00846D69" w:rsidRPr="00ED0C6A" w:rsidRDefault="00846D69" w:rsidP="009333A7">
      <w:pPr>
        <w:pStyle w:val="Nagwek2"/>
        <w:spacing w:before="480"/>
        <w:rPr>
          <w:rFonts w:asciiTheme="minorHAnsi" w:hAnsiTheme="minorHAnsi"/>
          <w:color w:val="auto"/>
          <w:sz w:val="24"/>
          <w:szCs w:val="24"/>
        </w:rPr>
      </w:pPr>
      <w:bookmarkStart w:id="14" w:name="_Ref509820143"/>
      <w:bookmarkStart w:id="15" w:name="_Toc524696732"/>
      <w:r w:rsidRPr="00ED0C6A">
        <w:rPr>
          <w:rFonts w:asciiTheme="minorHAnsi" w:hAnsiTheme="minorHAnsi"/>
          <w:color w:val="auto"/>
          <w:sz w:val="24"/>
          <w:szCs w:val="24"/>
        </w:rPr>
        <w:t>J. i Inni p. Austrii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58216/12</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E80C9C" w:rsidRPr="00ED0C6A">
        <w:rPr>
          <w:rFonts w:asciiTheme="minorHAnsi" w:hAnsiTheme="minorHAnsi"/>
          <w:color w:val="auto"/>
          <w:sz w:val="24"/>
          <w:szCs w:val="24"/>
        </w:rPr>
        <w:t xml:space="preserve">Izby </w:t>
      </w:r>
      <w:r w:rsidRPr="00ED0C6A">
        <w:rPr>
          <w:rFonts w:asciiTheme="minorHAnsi" w:hAnsiTheme="minorHAnsi"/>
          <w:color w:val="auto"/>
          <w:sz w:val="24"/>
          <w:szCs w:val="24"/>
        </w:rPr>
        <w:t>z 17</w:t>
      </w:r>
      <w:r w:rsidR="00B4260D" w:rsidRPr="00ED0C6A">
        <w:rPr>
          <w:rFonts w:asciiTheme="minorHAnsi" w:hAnsiTheme="minorHAnsi"/>
          <w:color w:val="auto"/>
          <w:sz w:val="24"/>
          <w:szCs w:val="24"/>
        </w:rPr>
        <w:t xml:space="preserve"> stycznia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14"/>
      <w:bookmarkEnd w:id="15"/>
    </w:p>
    <w:p w:rsidR="00846D69" w:rsidRPr="00ED0C6A" w:rsidRDefault="00846D69" w:rsidP="00513DA6">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513DA6" w:rsidRPr="00ED0C6A">
        <w:rPr>
          <w:b/>
          <w:color w:val="000000" w:themeColor="text1"/>
          <w:sz w:val="24"/>
          <w:szCs w:val="24"/>
          <w:lang w:val="pl-PL"/>
        </w:rPr>
        <w:t xml:space="preserve"> art. 4 Konwencji (zakaz niewolnictwa i pracy przymusowej – aspekt handlu ludźmi)</w:t>
      </w:r>
      <w:r w:rsidR="00A0699E" w:rsidRPr="00ED0C6A">
        <w:rPr>
          <w:b/>
          <w:color w:val="000000" w:themeColor="text1"/>
          <w:sz w:val="24"/>
          <w:szCs w:val="24"/>
          <w:lang w:val="pl-PL"/>
        </w:rPr>
        <w:t xml:space="preserve"> i art. 3 Konwencji (zakaz tortur </w:t>
      </w:r>
      <w:r w:rsidR="003C1850" w:rsidRPr="00ED0C6A">
        <w:rPr>
          <w:b/>
          <w:color w:val="000000" w:themeColor="text1"/>
          <w:sz w:val="24"/>
          <w:szCs w:val="24"/>
          <w:lang w:val="pl-PL"/>
        </w:rPr>
        <w:t xml:space="preserve">oraz nieludzkiego lub poniżającego traktowania </w:t>
      </w:r>
      <w:r w:rsidR="00A0699E" w:rsidRPr="00ED0C6A">
        <w:rPr>
          <w:b/>
          <w:color w:val="000000" w:themeColor="text1"/>
          <w:sz w:val="24"/>
          <w:szCs w:val="24"/>
          <w:lang w:val="pl-PL"/>
        </w:rPr>
        <w:t>–</w:t>
      </w:r>
      <w:r w:rsidR="003C1850" w:rsidRPr="00ED0C6A">
        <w:rPr>
          <w:b/>
          <w:color w:val="000000" w:themeColor="text1"/>
          <w:sz w:val="24"/>
          <w:szCs w:val="24"/>
          <w:lang w:val="pl-PL"/>
        </w:rPr>
        <w:t xml:space="preserve"> aspekt </w:t>
      </w:r>
      <w:r w:rsidR="00A0699E" w:rsidRPr="00ED0C6A">
        <w:rPr>
          <w:b/>
          <w:color w:val="000000" w:themeColor="text1"/>
          <w:sz w:val="24"/>
          <w:szCs w:val="24"/>
          <w:lang w:val="pl-PL"/>
        </w:rPr>
        <w:t>skutecznego śledztwa)</w:t>
      </w:r>
      <w:r w:rsidR="00513DA6" w:rsidRPr="00ED0C6A">
        <w:rPr>
          <w:b/>
          <w:color w:val="000000" w:themeColor="text1"/>
          <w:sz w:val="24"/>
          <w:szCs w:val="24"/>
          <w:lang w:val="pl-PL"/>
        </w:rPr>
        <w:t xml:space="preserve"> w odniesieniu do decyzji prokuratora o</w:t>
      </w:r>
      <w:r w:rsidR="0072154D">
        <w:rPr>
          <w:b/>
          <w:color w:val="000000" w:themeColor="text1"/>
          <w:sz w:val="24"/>
          <w:szCs w:val="24"/>
          <w:lang w:val="pl-PL"/>
        </w:rPr>
        <w:t> </w:t>
      </w:r>
      <w:r w:rsidR="00513DA6" w:rsidRPr="00ED0C6A">
        <w:rPr>
          <w:b/>
          <w:color w:val="000000" w:themeColor="text1"/>
          <w:sz w:val="24"/>
          <w:szCs w:val="24"/>
          <w:lang w:val="pl-PL"/>
        </w:rPr>
        <w:t xml:space="preserve">nieprowadzeniu dalszego śledztwa </w:t>
      </w:r>
      <w:proofErr w:type="spellStart"/>
      <w:r w:rsidR="00513DA6" w:rsidRPr="00ED0C6A">
        <w:rPr>
          <w:b/>
          <w:color w:val="000000" w:themeColor="text1"/>
          <w:sz w:val="24"/>
          <w:szCs w:val="24"/>
          <w:lang w:val="pl-PL"/>
        </w:rPr>
        <w:t>ws</w:t>
      </w:r>
      <w:proofErr w:type="spellEnd"/>
      <w:r w:rsidR="00513DA6" w:rsidRPr="00ED0C6A">
        <w:rPr>
          <w:b/>
          <w:color w:val="000000" w:themeColor="text1"/>
          <w:sz w:val="24"/>
          <w:szCs w:val="24"/>
          <w:lang w:val="pl-PL"/>
        </w:rPr>
        <w:t>. zarzutów popełnienia przestępstw handlu ludźmi za granicą przez cudzoziemców</w:t>
      </w:r>
    </w:p>
    <w:p w:rsidR="00846D69" w:rsidRPr="00ED0C6A" w:rsidRDefault="00846D69" w:rsidP="00380783">
      <w:pPr>
        <w:pStyle w:val="ClinContent"/>
        <w:spacing w:before="0"/>
        <w:rPr>
          <w:rFonts w:asciiTheme="minorHAnsi" w:hAnsiTheme="minorHAnsi"/>
          <w:i/>
          <w:sz w:val="24"/>
          <w:lang w:val="pl-PL"/>
        </w:rPr>
      </w:pPr>
      <w:r w:rsidRPr="00ED0C6A">
        <w:rPr>
          <w:rFonts w:asciiTheme="minorHAnsi" w:hAnsiTheme="minorHAnsi"/>
          <w:sz w:val="24"/>
          <w:lang w:val="pl-PL"/>
        </w:rPr>
        <w:t>Skarżące, obywatelki filipińskie, rekrutowane na Filipinach, pracowały jako pokojówki i</w:t>
      </w:r>
      <w:r w:rsidR="0072154D">
        <w:rPr>
          <w:rFonts w:asciiTheme="minorHAnsi" w:hAnsiTheme="minorHAnsi"/>
          <w:sz w:val="24"/>
          <w:lang w:val="pl-PL"/>
        </w:rPr>
        <w:t> </w:t>
      </w:r>
      <w:r w:rsidRPr="00ED0C6A">
        <w:rPr>
          <w:rFonts w:asciiTheme="minorHAnsi" w:hAnsiTheme="minorHAnsi"/>
          <w:sz w:val="24"/>
          <w:lang w:val="pl-PL"/>
        </w:rPr>
        <w:t>opiekunki do dzieci dla różnych rodzin w Dubaju. W lipcu 2010 r. towarzyszyły swym pracodawcom podczas wyjazdu do Austrii. Podczas pobytu tam skarżące opuściły rodziny i</w:t>
      </w:r>
      <w:r w:rsidR="0072154D">
        <w:rPr>
          <w:rFonts w:asciiTheme="minorHAnsi" w:hAnsiTheme="minorHAnsi"/>
          <w:sz w:val="24"/>
          <w:lang w:val="pl-PL"/>
        </w:rPr>
        <w:t> </w:t>
      </w:r>
      <w:r w:rsidRPr="00ED0C6A">
        <w:rPr>
          <w:rFonts w:asciiTheme="minorHAnsi" w:hAnsiTheme="minorHAnsi"/>
          <w:sz w:val="24"/>
          <w:lang w:val="pl-PL"/>
        </w:rPr>
        <w:t xml:space="preserve">zgłosiły się na policję austriacką, zarzucając, że podlegały handlowi ludźmi i pracy przymusowej. Prokurator umorzył następnie śledztwa, wskazując na fakt, że przestępstwa zostały popełnione za granicą przez cudzoziemców. Żadne przestępstwo nie zostało popełnione w Austrii. Decyzję prokuratora utrzymał w mocy okręgowy sąd karny. </w:t>
      </w:r>
    </w:p>
    <w:p w:rsidR="00846D69" w:rsidRPr="00ED0C6A" w:rsidRDefault="00A7680C" w:rsidP="00380783">
      <w:pPr>
        <w:pStyle w:val="ClinContent"/>
        <w:spacing w:before="0"/>
        <w:rPr>
          <w:rFonts w:asciiTheme="minorHAnsi" w:hAnsiTheme="minorHAnsi"/>
          <w:sz w:val="24"/>
          <w:lang w:val="pl-PL"/>
        </w:rPr>
      </w:pPr>
      <w:r w:rsidRPr="00ED0C6A">
        <w:rPr>
          <w:rFonts w:asciiTheme="minorHAnsi" w:hAnsiTheme="minorHAnsi"/>
          <w:sz w:val="24"/>
          <w:lang w:val="pl-PL"/>
        </w:rPr>
        <w:t>Przed Trybunałem</w:t>
      </w:r>
      <w:r w:rsidR="0032431E" w:rsidRPr="00ED0C6A">
        <w:rPr>
          <w:rFonts w:asciiTheme="minorHAnsi" w:hAnsiTheme="minorHAnsi"/>
          <w:sz w:val="24"/>
          <w:lang w:val="pl-PL"/>
        </w:rPr>
        <w:t xml:space="preserve"> </w:t>
      </w:r>
      <w:r w:rsidR="00846D69" w:rsidRPr="00ED0C6A">
        <w:rPr>
          <w:rFonts w:asciiTheme="minorHAnsi" w:hAnsiTheme="minorHAnsi"/>
          <w:sz w:val="24"/>
          <w:lang w:val="pl-PL"/>
        </w:rPr>
        <w:t>skarżące zarzucały, że władze austriackie nie wypełniły wobec nich – jako</w:t>
      </w:r>
      <w:r w:rsidR="0072154D">
        <w:rPr>
          <w:rFonts w:asciiTheme="minorHAnsi" w:hAnsiTheme="minorHAnsi"/>
          <w:sz w:val="24"/>
          <w:lang w:val="pl-PL"/>
        </w:rPr>
        <w:t> </w:t>
      </w:r>
      <w:r w:rsidR="00846D69" w:rsidRPr="00ED0C6A">
        <w:rPr>
          <w:rFonts w:asciiTheme="minorHAnsi" w:hAnsiTheme="minorHAnsi"/>
          <w:sz w:val="24"/>
          <w:lang w:val="pl-PL"/>
        </w:rPr>
        <w:t>ofiar handlu ludźmi – obowiązków pozytywnych na podstawie proceduralnego aspektu art. 4</w:t>
      </w:r>
      <w:r w:rsidR="0032431E" w:rsidRPr="00ED0C6A">
        <w:rPr>
          <w:rFonts w:asciiTheme="minorHAnsi" w:hAnsiTheme="minorHAnsi"/>
          <w:sz w:val="24"/>
          <w:lang w:val="pl-PL"/>
        </w:rPr>
        <w:t xml:space="preserve"> Konwencji zakazującego niewolnictwa i pracy przymusowej</w:t>
      </w:r>
      <w:r w:rsidR="00846D69" w:rsidRPr="00ED0C6A">
        <w:rPr>
          <w:rFonts w:asciiTheme="minorHAnsi" w:hAnsiTheme="minorHAnsi"/>
          <w:sz w:val="24"/>
          <w:lang w:val="pl-PL"/>
        </w:rPr>
        <w:t>.</w:t>
      </w:r>
    </w:p>
    <w:p w:rsidR="0032431E" w:rsidRPr="00ED0C6A" w:rsidRDefault="0032431E" w:rsidP="00380783">
      <w:pPr>
        <w:pStyle w:val="ClinContent"/>
        <w:spacing w:before="0"/>
        <w:rPr>
          <w:rFonts w:asciiTheme="minorHAnsi" w:hAnsiTheme="minorHAnsi"/>
          <w:i/>
          <w:sz w:val="24"/>
          <w:lang w:val="pl-PL"/>
        </w:rPr>
      </w:pPr>
    </w:p>
    <w:p w:rsidR="00846D69" w:rsidRPr="00ED0C6A" w:rsidRDefault="0032431E" w:rsidP="00380783">
      <w:pPr>
        <w:pStyle w:val="ClinContent"/>
        <w:spacing w:before="0"/>
        <w:rPr>
          <w:rFonts w:asciiTheme="minorHAnsi" w:hAnsiTheme="minorHAnsi"/>
          <w:sz w:val="24"/>
          <w:lang w:val="pl-PL"/>
        </w:rPr>
      </w:pPr>
      <w:r w:rsidRPr="00ED0C6A">
        <w:rPr>
          <w:rFonts w:asciiTheme="minorHAnsi" w:hAnsiTheme="minorHAnsi"/>
          <w:sz w:val="24"/>
          <w:lang w:val="pl-PL"/>
        </w:rPr>
        <w:t>Trybunał badał wypełnienie przez władze pozwanego Państwa</w:t>
      </w:r>
      <w:r w:rsidRPr="00ED0C6A">
        <w:rPr>
          <w:rFonts w:asciiTheme="minorHAnsi" w:hAnsiTheme="minorHAnsi"/>
          <w:i/>
          <w:sz w:val="24"/>
          <w:lang w:val="pl-PL"/>
        </w:rPr>
        <w:t xml:space="preserve"> </w:t>
      </w:r>
      <w:r w:rsidRPr="00ED0C6A">
        <w:rPr>
          <w:rFonts w:asciiTheme="minorHAnsi" w:hAnsiTheme="minorHAnsi"/>
          <w:sz w:val="24"/>
          <w:lang w:val="pl-PL"/>
        </w:rPr>
        <w:t xml:space="preserve">dwóch rodzajów obowiązków pozytywnych. </w:t>
      </w:r>
      <w:r w:rsidR="00846D69" w:rsidRPr="00ED0C6A">
        <w:rPr>
          <w:rFonts w:asciiTheme="minorHAnsi" w:hAnsiTheme="minorHAnsi"/>
          <w:sz w:val="24"/>
          <w:lang w:val="pl-PL"/>
        </w:rPr>
        <w:t>Po pierwsze, czy władze austriackie wypełniły swój obowiązek pozytywny zidentyfikowania skarżących jako potencjalnych ofiar handlu ludźmi i udzielenia im wsparcia oraz, po drugie, czy wypełniły swój obowiązek pozytywny przeprowadzenia śledztwa w</w:t>
      </w:r>
      <w:r w:rsidR="0072154D">
        <w:rPr>
          <w:rFonts w:asciiTheme="minorHAnsi" w:hAnsiTheme="minorHAnsi"/>
          <w:sz w:val="24"/>
          <w:lang w:val="pl-PL"/>
        </w:rPr>
        <w:t> </w:t>
      </w:r>
      <w:r w:rsidR="00846D69" w:rsidRPr="00ED0C6A">
        <w:rPr>
          <w:rFonts w:asciiTheme="minorHAnsi" w:hAnsiTheme="minorHAnsi"/>
          <w:sz w:val="24"/>
          <w:lang w:val="pl-PL"/>
        </w:rPr>
        <w:t xml:space="preserve">odniesieniu do zarzucanych przestępstw. </w:t>
      </w:r>
    </w:p>
    <w:p w:rsidR="0032431E" w:rsidRPr="00ED0C6A" w:rsidRDefault="0032431E" w:rsidP="00380783">
      <w:pPr>
        <w:pStyle w:val="ClinContent"/>
        <w:spacing w:before="0"/>
        <w:rPr>
          <w:rFonts w:asciiTheme="minorHAnsi" w:hAnsiTheme="minorHAnsi"/>
          <w:sz w:val="24"/>
          <w:lang w:val="pl-PL"/>
        </w:rPr>
      </w:pPr>
    </w:p>
    <w:p w:rsidR="0032431E" w:rsidRPr="00ED0C6A" w:rsidRDefault="00846D69" w:rsidP="00380783">
      <w:pPr>
        <w:pStyle w:val="ClinContent"/>
        <w:spacing w:before="0"/>
        <w:rPr>
          <w:rFonts w:asciiTheme="minorHAnsi" w:hAnsiTheme="minorHAnsi"/>
          <w:i/>
          <w:sz w:val="24"/>
          <w:lang w:val="pl-PL"/>
        </w:rPr>
      </w:pPr>
      <w:r w:rsidRPr="00ED0C6A">
        <w:rPr>
          <w:rFonts w:asciiTheme="minorHAnsi" w:hAnsiTheme="minorHAnsi"/>
          <w:sz w:val="24"/>
          <w:lang w:val="pl-PL"/>
        </w:rPr>
        <w:t xml:space="preserve">(a) </w:t>
      </w:r>
      <w:r w:rsidRPr="00ED0C6A">
        <w:rPr>
          <w:rFonts w:asciiTheme="minorHAnsi" w:hAnsiTheme="minorHAnsi"/>
          <w:i/>
          <w:sz w:val="24"/>
          <w:u w:val="single"/>
          <w:lang w:val="pl-PL"/>
        </w:rPr>
        <w:t>Obowiązek pozytywny zidentyfikowania skarżących jako potencjalnych ofiar handlu ludźmi i udzielenia im wsparcia</w:t>
      </w:r>
    </w:p>
    <w:p w:rsidR="0032431E" w:rsidRPr="00ED0C6A" w:rsidRDefault="0032431E" w:rsidP="00380783">
      <w:pPr>
        <w:pStyle w:val="ClinContent"/>
        <w:spacing w:before="0"/>
        <w:rPr>
          <w:rFonts w:asciiTheme="minorHAnsi" w:hAnsiTheme="minorHAnsi"/>
          <w:sz w:val="24"/>
          <w:lang w:val="pl-PL"/>
        </w:rPr>
      </w:pPr>
      <w:r w:rsidRPr="00ED0C6A">
        <w:rPr>
          <w:rFonts w:asciiTheme="minorHAnsi" w:hAnsiTheme="minorHAnsi"/>
          <w:sz w:val="24"/>
          <w:lang w:val="pl-PL"/>
        </w:rPr>
        <w:t>Trybunał zauważył, że o</w:t>
      </w:r>
      <w:r w:rsidR="00846D69" w:rsidRPr="00ED0C6A">
        <w:rPr>
          <w:rFonts w:asciiTheme="minorHAnsi" w:hAnsiTheme="minorHAnsi"/>
          <w:sz w:val="24"/>
          <w:lang w:val="pl-PL"/>
        </w:rPr>
        <w:t>d chwili, gdy skarżące zwróciły się do policji, były od razu traktowane jako potencjalne ofiary handlu ludźmi. Zostały przesłuchane przez specjalnie przeszkolonych funkcjonariuszy policji, udzielono im zezwoleń na pobyt i pracę w celu uregulowania ich</w:t>
      </w:r>
      <w:r w:rsidR="0072154D">
        <w:rPr>
          <w:rFonts w:asciiTheme="minorHAnsi" w:hAnsiTheme="minorHAnsi"/>
          <w:sz w:val="24"/>
          <w:lang w:val="pl-PL"/>
        </w:rPr>
        <w:t> </w:t>
      </w:r>
      <w:r w:rsidR="00846D69" w:rsidRPr="00ED0C6A">
        <w:rPr>
          <w:rFonts w:asciiTheme="minorHAnsi" w:hAnsiTheme="minorHAnsi"/>
          <w:sz w:val="24"/>
          <w:lang w:val="pl-PL"/>
        </w:rPr>
        <w:t>pobytu w Austrii, a także nałożono na rejestr centralny zakaz ujawniania ich danych osobistych, tak by miejsce ich pobytu nie mogło być ustalone przez osoby prywatne. Podczas</w:t>
      </w:r>
      <w:r w:rsidR="0072154D">
        <w:rPr>
          <w:rFonts w:asciiTheme="minorHAnsi" w:hAnsiTheme="minorHAnsi"/>
          <w:sz w:val="24"/>
          <w:lang w:val="pl-PL"/>
        </w:rPr>
        <w:t> </w:t>
      </w:r>
      <w:r w:rsidR="00846D69" w:rsidRPr="00ED0C6A">
        <w:rPr>
          <w:rFonts w:asciiTheme="minorHAnsi" w:hAnsiTheme="minorHAnsi"/>
          <w:sz w:val="24"/>
          <w:lang w:val="pl-PL"/>
        </w:rPr>
        <w:t>postępowań krajowych skarżące były wspierane przez organizacje pozarządowe, finansowane przez rząd w celu udzielania wsparcia ofiarom handlu ludźmi. Skarżącym przyznano również pomoc prawną, udzielono wskazówek proceduralnych oraz pomocy w</w:t>
      </w:r>
      <w:r w:rsidR="0072154D">
        <w:rPr>
          <w:rFonts w:asciiTheme="minorHAnsi" w:hAnsiTheme="minorHAnsi"/>
          <w:sz w:val="24"/>
          <w:lang w:val="pl-PL"/>
        </w:rPr>
        <w:t> </w:t>
      </w:r>
      <w:r w:rsidR="00846D69" w:rsidRPr="00ED0C6A">
        <w:rPr>
          <w:rFonts w:asciiTheme="minorHAnsi" w:hAnsiTheme="minorHAnsi"/>
          <w:sz w:val="24"/>
          <w:lang w:val="pl-PL"/>
        </w:rPr>
        <w:t xml:space="preserve">celu ułatwienia ich integracji w Austrii. </w:t>
      </w:r>
    </w:p>
    <w:p w:rsidR="0032431E" w:rsidRPr="00ED0C6A" w:rsidRDefault="0032431E" w:rsidP="00380783">
      <w:pPr>
        <w:pStyle w:val="ClinContent"/>
        <w:spacing w:before="0"/>
        <w:rPr>
          <w:rFonts w:asciiTheme="minorHAnsi" w:hAnsiTheme="minorHAnsi"/>
          <w:sz w:val="24"/>
          <w:lang w:val="pl-PL"/>
        </w:rPr>
      </w:pPr>
    </w:p>
    <w:p w:rsidR="00846D69" w:rsidRPr="00ED0C6A" w:rsidRDefault="0032431E" w:rsidP="00380783">
      <w:pPr>
        <w:pStyle w:val="ClinContent"/>
        <w:spacing w:before="0"/>
        <w:rPr>
          <w:rFonts w:asciiTheme="minorHAnsi" w:hAnsiTheme="minorHAnsi"/>
          <w:sz w:val="24"/>
          <w:lang w:val="pl-PL"/>
        </w:rPr>
      </w:pPr>
      <w:r w:rsidRPr="00ED0C6A">
        <w:rPr>
          <w:rFonts w:asciiTheme="minorHAnsi" w:hAnsiTheme="minorHAnsi"/>
          <w:sz w:val="24"/>
          <w:lang w:val="pl-PL"/>
        </w:rPr>
        <w:t>A zatem, w</w:t>
      </w:r>
      <w:r w:rsidR="00846D69" w:rsidRPr="00ED0C6A">
        <w:rPr>
          <w:rFonts w:asciiTheme="minorHAnsi" w:hAnsiTheme="minorHAnsi"/>
          <w:sz w:val="24"/>
          <w:lang w:val="pl-PL"/>
        </w:rPr>
        <w:t xml:space="preserve">drożone w Austrii ramy prawne i administracyjne dotyczące ochrony potencjalnych ofiar handlu ludźmi </w:t>
      </w:r>
      <w:r w:rsidRPr="00ED0C6A">
        <w:rPr>
          <w:rFonts w:asciiTheme="minorHAnsi" w:hAnsiTheme="minorHAnsi"/>
          <w:sz w:val="24"/>
          <w:lang w:val="pl-PL"/>
        </w:rPr>
        <w:t xml:space="preserve">Trybunał uzna </w:t>
      </w:r>
      <w:r w:rsidR="00846D69" w:rsidRPr="00ED0C6A">
        <w:rPr>
          <w:rFonts w:asciiTheme="minorHAnsi" w:hAnsiTheme="minorHAnsi"/>
          <w:sz w:val="24"/>
          <w:lang w:val="pl-PL"/>
        </w:rPr>
        <w:t>za</w:t>
      </w:r>
      <w:r w:rsidRPr="00ED0C6A">
        <w:rPr>
          <w:rFonts w:asciiTheme="minorHAnsi" w:hAnsiTheme="minorHAnsi"/>
          <w:sz w:val="24"/>
          <w:lang w:val="pl-PL"/>
        </w:rPr>
        <w:t xml:space="preserve"> </w:t>
      </w:r>
      <w:r w:rsidR="00846D69" w:rsidRPr="00ED0C6A">
        <w:rPr>
          <w:rFonts w:asciiTheme="minorHAnsi" w:hAnsiTheme="minorHAnsi"/>
          <w:sz w:val="24"/>
          <w:lang w:val="pl-PL"/>
        </w:rPr>
        <w:t xml:space="preserve">wystarczające, </w:t>
      </w:r>
      <w:r w:rsidRPr="00ED0C6A">
        <w:rPr>
          <w:rFonts w:asciiTheme="minorHAnsi" w:hAnsiTheme="minorHAnsi"/>
          <w:sz w:val="24"/>
          <w:lang w:val="pl-PL"/>
        </w:rPr>
        <w:t>stwierdził też, że</w:t>
      </w:r>
      <w:r w:rsidR="00846D69" w:rsidRPr="00ED0C6A">
        <w:rPr>
          <w:rFonts w:asciiTheme="minorHAnsi" w:hAnsiTheme="minorHAnsi"/>
          <w:sz w:val="24"/>
          <w:lang w:val="pl-PL"/>
        </w:rPr>
        <w:t xml:space="preserve"> władze podjęły wszystkie kroki, jakich można było od nich rozsądnie oczekiwać w danej sytuacji. </w:t>
      </w:r>
    </w:p>
    <w:p w:rsidR="0032431E" w:rsidRPr="00ED0C6A" w:rsidRDefault="0032431E" w:rsidP="00380783">
      <w:pPr>
        <w:pStyle w:val="ClinContent"/>
        <w:spacing w:before="0"/>
        <w:rPr>
          <w:rFonts w:asciiTheme="minorHAnsi" w:hAnsiTheme="minorHAnsi"/>
          <w:i/>
          <w:sz w:val="24"/>
          <w:lang w:val="pl-PL"/>
        </w:rPr>
      </w:pPr>
    </w:p>
    <w:p w:rsidR="0032431E" w:rsidRPr="00ED0C6A" w:rsidRDefault="00846D69" w:rsidP="00380783">
      <w:pPr>
        <w:pStyle w:val="ClinContent"/>
        <w:spacing w:before="0"/>
        <w:rPr>
          <w:rFonts w:asciiTheme="minorHAnsi" w:hAnsiTheme="minorHAnsi"/>
          <w:i/>
          <w:sz w:val="24"/>
          <w:lang w:val="pl-PL"/>
        </w:rPr>
      </w:pPr>
      <w:r w:rsidRPr="00ED0C6A">
        <w:rPr>
          <w:rFonts w:asciiTheme="minorHAnsi" w:hAnsiTheme="minorHAnsi"/>
          <w:sz w:val="24"/>
          <w:lang w:val="pl-PL"/>
        </w:rPr>
        <w:t xml:space="preserve">(b) </w:t>
      </w:r>
      <w:r w:rsidRPr="00ED0C6A">
        <w:rPr>
          <w:rFonts w:asciiTheme="minorHAnsi" w:hAnsiTheme="minorHAnsi"/>
          <w:i/>
          <w:sz w:val="24"/>
          <w:u w:val="single"/>
          <w:lang w:val="pl-PL"/>
        </w:rPr>
        <w:t>Obowiązek pozytywny przeprowadzenia śledztwa w odniesieniu do zarzutów handlu ludźmi</w:t>
      </w:r>
      <w:r w:rsidRPr="00ED0C6A">
        <w:rPr>
          <w:rFonts w:asciiTheme="minorHAnsi" w:hAnsiTheme="minorHAnsi"/>
          <w:i/>
          <w:sz w:val="24"/>
          <w:lang w:val="pl-PL"/>
        </w:rPr>
        <w:t xml:space="preserve"> </w:t>
      </w:r>
    </w:p>
    <w:p w:rsidR="0032431E" w:rsidRPr="00ED0C6A" w:rsidRDefault="0032431E" w:rsidP="00380783">
      <w:pPr>
        <w:pStyle w:val="ClinContent"/>
        <w:spacing w:before="0"/>
        <w:rPr>
          <w:rFonts w:asciiTheme="minorHAnsi" w:hAnsiTheme="minorHAnsi"/>
          <w:sz w:val="24"/>
          <w:lang w:val="pl-PL"/>
        </w:rPr>
      </w:pPr>
      <w:r w:rsidRPr="00ED0C6A">
        <w:rPr>
          <w:rFonts w:asciiTheme="minorHAnsi" w:hAnsiTheme="minorHAnsi"/>
          <w:sz w:val="24"/>
          <w:lang w:val="pl-PL"/>
        </w:rPr>
        <w:t>Trybunał odnotował, że p</w:t>
      </w:r>
      <w:r w:rsidR="00846D69" w:rsidRPr="00ED0C6A">
        <w:rPr>
          <w:rFonts w:asciiTheme="minorHAnsi" w:hAnsiTheme="minorHAnsi"/>
          <w:sz w:val="24"/>
          <w:lang w:val="pl-PL"/>
        </w:rPr>
        <w:t>rokuratura wszczęła śledztwo po złożeniu przez skarżące zeznań na</w:t>
      </w:r>
      <w:r w:rsidR="0072154D">
        <w:rPr>
          <w:rFonts w:asciiTheme="minorHAnsi" w:hAnsiTheme="minorHAnsi"/>
          <w:sz w:val="24"/>
          <w:lang w:val="pl-PL"/>
        </w:rPr>
        <w:t> </w:t>
      </w:r>
      <w:r w:rsidR="00846D69" w:rsidRPr="00ED0C6A">
        <w:rPr>
          <w:rFonts w:asciiTheme="minorHAnsi" w:hAnsiTheme="minorHAnsi"/>
          <w:sz w:val="24"/>
          <w:lang w:val="pl-PL"/>
        </w:rPr>
        <w:t>policji. Śledztwo zostało</w:t>
      </w:r>
      <w:r w:rsidRPr="00ED0C6A">
        <w:rPr>
          <w:rFonts w:asciiTheme="minorHAnsi" w:hAnsiTheme="minorHAnsi"/>
          <w:sz w:val="24"/>
          <w:lang w:val="pl-PL"/>
        </w:rPr>
        <w:t xml:space="preserve"> jednak</w:t>
      </w:r>
      <w:r w:rsidR="00846D69" w:rsidRPr="00ED0C6A">
        <w:rPr>
          <w:rFonts w:asciiTheme="minorHAnsi" w:hAnsiTheme="minorHAnsi"/>
          <w:sz w:val="24"/>
          <w:lang w:val="pl-PL"/>
        </w:rPr>
        <w:t xml:space="preserve"> umorzone, </w:t>
      </w:r>
      <w:r w:rsidRPr="00ED0C6A">
        <w:rPr>
          <w:rFonts w:asciiTheme="minorHAnsi" w:hAnsiTheme="minorHAnsi"/>
          <w:sz w:val="24"/>
          <w:lang w:val="pl-PL"/>
        </w:rPr>
        <w:t xml:space="preserve">gdyż </w:t>
      </w:r>
      <w:r w:rsidR="00846D69" w:rsidRPr="00ED0C6A">
        <w:rPr>
          <w:rFonts w:asciiTheme="minorHAnsi" w:hAnsiTheme="minorHAnsi"/>
          <w:sz w:val="24"/>
          <w:lang w:val="pl-PL"/>
        </w:rPr>
        <w:t xml:space="preserve">prokuratura była zdania, że zarzucane zachowanie pracodawców skarżących na terytorium Austrii nie wchodziło w zakres właściwych przepisów. </w:t>
      </w:r>
      <w:r w:rsidRPr="00ED0C6A">
        <w:rPr>
          <w:rFonts w:asciiTheme="minorHAnsi" w:hAnsiTheme="minorHAnsi"/>
          <w:sz w:val="24"/>
          <w:lang w:val="pl-PL"/>
        </w:rPr>
        <w:t xml:space="preserve">Natomiast </w:t>
      </w:r>
      <w:r w:rsidR="00846D69" w:rsidRPr="00ED0C6A">
        <w:rPr>
          <w:rFonts w:asciiTheme="minorHAnsi" w:hAnsiTheme="minorHAnsi"/>
          <w:sz w:val="24"/>
          <w:lang w:val="pl-PL"/>
        </w:rPr>
        <w:t xml:space="preserve">zarzucane przestępstwo handlu ludźmi zostało popełnione za granicą, oskarżeni byli cudzoziemcami, a w grę nie wchodziły interesy Austrii. </w:t>
      </w:r>
    </w:p>
    <w:p w:rsidR="0032431E" w:rsidRPr="00ED0C6A" w:rsidRDefault="0032431E" w:rsidP="00380783">
      <w:pPr>
        <w:pStyle w:val="ClinContent"/>
        <w:spacing w:before="0"/>
        <w:rPr>
          <w:rFonts w:asciiTheme="minorHAnsi" w:hAnsiTheme="minorHAnsi"/>
          <w:sz w:val="24"/>
          <w:lang w:val="pl-PL"/>
        </w:rPr>
      </w:pPr>
    </w:p>
    <w:p w:rsidR="0032431E"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Postanowienie o umorzeniu postępowania zostało potwierdzone przez okręgowy sąd karny, który dodał, że brak jest powodu ścigania, jeśli w świetle wyników śledztwa skazanie nie jest bardziej prawdopodobne niż uniewinnienie. W jego opinii, także w świetle prawa międzynarodowego nie było obowiązku prowadzenia śledztwa w odniesieniu do wydarzeń rzekomo popełnionych za granicą.</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32431E"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W ko</w:t>
      </w:r>
      <w:r w:rsidR="0032431E" w:rsidRPr="00ED0C6A">
        <w:rPr>
          <w:rFonts w:asciiTheme="minorHAnsi" w:hAnsiTheme="minorHAnsi"/>
          <w:sz w:val="24"/>
          <w:lang w:val="pl-PL"/>
        </w:rPr>
        <w:t>ntekście obowiązków pozytywnych Austrii w aspekcie proceduralnym Trybunał dostrzegł zatem dwie pojawiające</w:t>
      </w:r>
      <w:r w:rsidRPr="00ED0C6A">
        <w:rPr>
          <w:rFonts w:asciiTheme="minorHAnsi" w:hAnsiTheme="minorHAnsi"/>
          <w:sz w:val="24"/>
          <w:lang w:val="pl-PL"/>
        </w:rPr>
        <w:t xml:space="preserve"> się kwestie</w:t>
      </w:r>
      <w:r w:rsidR="0032431E" w:rsidRPr="00ED0C6A">
        <w:rPr>
          <w:rFonts w:asciiTheme="minorHAnsi" w:hAnsiTheme="minorHAnsi"/>
          <w:sz w:val="24"/>
          <w:lang w:val="pl-PL"/>
        </w:rPr>
        <w:t>:</w:t>
      </w:r>
    </w:p>
    <w:p w:rsidR="0032431E" w:rsidRPr="00ED0C6A" w:rsidRDefault="00846D69" w:rsidP="00A60F92">
      <w:pPr>
        <w:pStyle w:val="ClinContent"/>
        <w:numPr>
          <w:ilvl w:val="0"/>
          <w:numId w:val="15"/>
        </w:numPr>
        <w:spacing w:before="0"/>
        <w:rPr>
          <w:rFonts w:asciiTheme="minorHAnsi" w:hAnsiTheme="minorHAnsi"/>
          <w:sz w:val="24"/>
          <w:lang w:val="pl-PL"/>
        </w:rPr>
      </w:pPr>
      <w:r w:rsidRPr="00ED0C6A">
        <w:rPr>
          <w:rFonts w:asciiTheme="minorHAnsi" w:hAnsiTheme="minorHAnsi"/>
          <w:sz w:val="24"/>
          <w:lang w:val="pl-PL"/>
        </w:rPr>
        <w:t>czy Austria miała obowiązek przeprowadzenia śledztwa w odniesieniu do przestępstw rzekom</w:t>
      </w:r>
      <w:r w:rsidR="0032431E" w:rsidRPr="00ED0C6A">
        <w:rPr>
          <w:rFonts w:asciiTheme="minorHAnsi" w:hAnsiTheme="minorHAnsi"/>
          <w:sz w:val="24"/>
          <w:lang w:val="pl-PL"/>
        </w:rPr>
        <w:t>o popełnionych za granicą, oraz</w:t>
      </w:r>
    </w:p>
    <w:p w:rsidR="0032431E" w:rsidRPr="00ED0C6A" w:rsidRDefault="00846D69" w:rsidP="00A60F92">
      <w:pPr>
        <w:pStyle w:val="ClinContent"/>
        <w:numPr>
          <w:ilvl w:val="0"/>
          <w:numId w:val="15"/>
        </w:numPr>
        <w:spacing w:before="0"/>
        <w:rPr>
          <w:rFonts w:asciiTheme="minorHAnsi" w:hAnsiTheme="minorHAnsi"/>
          <w:sz w:val="24"/>
          <w:lang w:val="pl-PL"/>
        </w:rPr>
      </w:pPr>
      <w:r w:rsidRPr="00ED0C6A">
        <w:rPr>
          <w:rFonts w:asciiTheme="minorHAnsi" w:hAnsiTheme="minorHAnsi"/>
          <w:sz w:val="24"/>
          <w:lang w:val="pl-PL"/>
        </w:rPr>
        <w:t xml:space="preserve">czy śledztwo w sprawie wydarzeń w Austrii było wystarczające. </w:t>
      </w:r>
    </w:p>
    <w:p w:rsidR="0032431E" w:rsidRPr="00ED0C6A" w:rsidRDefault="0032431E" w:rsidP="00380783">
      <w:pPr>
        <w:pStyle w:val="ClinContent"/>
        <w:spacing w:before="0"/>
        <w:rPr>
          <w:rFonts w:asciiTheme="minorHAnsi" w:hAnsiTheme="minorHAnsi"/>
          <w:sz w:val="24"/>
          <w:lang w:val="pl-PL"/>
        </w:rPr>
      </w:pPr>
    </w:p>
    <w:p w:rsidR="0032431E" w:rsidRPr="00ED0C6A" w:rsidRDefault="00E1370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odniesieniu do zarzucanych </w:t>
      </w:r>
      <w:r w:rsidR="00A60F92" w:rsidRPr="00ED0C6A">
        <w:rPr>
          <w:rFonts w:asciiTheme="minorHAnsi" w:hAnsiTheme="minorHAnsi"/>
          <w:sz w:val="24"/>
          <w:lang w:val="pl-PL"/>
        </w:rPr>
        <w:t>wydarzeń</w:t>
      </w:r>
      <w:r w:rsidRPr="00ED0C6A">
        <w:rPr>
          <w:rFonts w:asciiTheme="minorHAnsi" w:hAnsiTheme="minorHAnsi"/>
          <w:sz w:val="24"/>
          <w:lang w:val="pl-PL"/>
        </w:rPr>
        <w:t xml:space="preserve"> za granicą </w:t>
      </w:r>
      <w:r w:rsidR="0032431E" w:rsidRPr="00ED0C6A">
        <w:rPr>
          <w:rFonts w:asciiTheme="minorHAnsi" w:hAnsiTheme="minorHAnsi"/>
          <w:sz w:val="24"/>
          <w:lang w:val="pl-PL"/>
        </w:rPr>
        <w:t>Trybunał przypomniał, że w</w:t>
      </w:r>
      <w:r w:rsidR="00846D69" w:rsidRPr="00ED0C6A">
        <w:rPr>
          <w:rFonts w:asciiTheme="minorHAnsi" w:hAnsiTheme="minorHAnsi"/>
          <w:sz w:val="24"/>
          <w:lang w:val="pl-PL"/>
        </w:rPr>
        <w:t xml:space="preserve"> swoim aspekcie proceduralnym art. 4 </w:t>
      </w:r>
      <w:r w:rsidR="0032431E" w:rsidRPr="00ED0C6A">
        <w:rPr>
          <w:rFonts w:asciiTheme="minorHAnsi" w:hAnsiTheme="minorHAnsi"/>
          <w:sz w:val="24"/>
          <w:lang w:val="pl-PL"/>
        </w:rPr>
        <w:t xml:space="preserve">Konwencji </w:t>
      </w:r>
      <w:r w:rsidR="00846D69" w:rsidRPr="00ED0C6A">
        <w:rPr>
          <w:rFonts w:asciiTheme="minorHAnsi" w:hAnsiTheme="minorHAnsi"/>
          <w:sz w:val="24"/>
          <w:lang w:val="pl-PL"/>
        </w:rPr>
        <w:t xml:space="preserve">nie wymaga od </w:t>
      </w:r>
      <w:r w:rsidR="00721A8D" w:rsidRPr="00ED0C6A">
        <w:rPr>
          <w:rFonts w:asciiTheme="minorHAnsi" w:hAnsiTheme="minorHAnsi"/>
          <w:sz w:val="24"/>
          <w:lang w:val="pl-PL"/>
        </w:rPr>
        <w:t xml:space="preserve">Państw </w:t>
      </w:r>
      <w:r w:rsidR="00846D69" w:rsidRPr="00ED0C6A">
        <w:rPr>
          <w:rFonts w:asciiTheme="minorHAnsi" w:hAnsiTheme="minorHAnsi"/>
          <w:sz w:val="24"/>
          <w:lang w:val="pl-PL"/>
        </w:rPr>
        <w:t xml:space="preserve">ustanowienia jurysdykcji uniwersalnej w odniesieniu do przestępstw handlu ludźmi popełnionych za granicą. </w:t>
      </w:r>
      <w:r w:rsidR="00846D69" w:rsidRPr="00ED0C6A">
        <w:rPr>
          <w:rFonts w:asciiTheme="minorHAnsi" w:hAnsiTheme="minorHAnsi"/>
          <w:i/>
          <w:sz w:val="24"/>
          <w:lang w:val="pl-PL"/>
        </w:rPr>
        <w:t>Protokół Narodów Zjednoczonych o zapobieganiu, zwalczaniu oraz karaniu za handel ludźmi w</w:t>
      </w:r>
      <w:r w:rsidR="0072154D">
        <w:rPr>
          <w:rFonts w:asciiTheme="minorHAnsi" w:hAnsiTheme="minorHAnsi"/>
          <w:i/>
          <w:sz w:val="24"/>
          <w:lang w:val="pl-PL"/>
        </w:rPr>
        <w:t> </w:t>
      </w:r>
      <w:r w:rsidR="00846D69" w:rsidRPr="00ED0C6A">
        <w:rPr>
          <w:rFonts w:asciiTheme="minorHAnsi" w:hAnsiTheme="minorHAnsi"/>
          <w:i/>
          <w:sz w:val="24"/>
          <w:lang w:val="pl-PL"/>
        </w:rPr>
        <w:t>szczególności kobietami i dziećmi, uzupełniający Konwencję Narodów Zjednoczonych przeciwko międzynarodowej przestępczości zorganizowanej</w:t>
      </w:r>
      <w:r w:rsidR="0032431E" w:rsidRPr="00ED0C6A">
        <w:rPr>
          <w:rFonts w:asciiTheme="minorHAnsi" w:hAnsiTheme="minorHAnsi"/>
          <w:i/>
          <w:sz w:val="24"/>
          <w:lang w:val="pl-PL"/>
        </w:rPr>
        <w:t xml:space="preserve"> </w:t>
      </w:r>
      <w:r w:rsidR="0032431E" w:rsidRPr="00ED0C6A">
        <w:rPr>
          <w:rFonts w:asciiTheme="minorHAnsi" w:hAnsiTheme="minorHAnsi"/>
          <w:sz w:val="24"/>
          <w:lang w:val="pl-PL"/>
        </w:rPr>
        <w:t>(tzw.</w:t>
      </w:r>
      <w:r w:rsidR="0032431E" w:rsidRPr="00ED0C6A">
        <w:rPr>
          <w:rFonts w:asciiTheme="minorHAnsi" w:hAnsiTheme="minorHAnsi"/>
          <w:i/>
          <w:sz w:val="24"/>
          <w:lang w:val="pl-PL"/>
        </w:rPr>
        <w:t xml:space="preserve"> Protokół z Palermo</w:t>
      </w:r>
      <w:r w:rsidR="0032431E" w:rsidRPr="00ED0C6A">
        <w:rPr>
          <w:rFonts w:asciiTheme="minorHAnsi" w:hAnsiTheme="minorHAnsi"/>
          <w:sz w:val="24"/>
          <w:lang w:val="pl-PL"/>
        </w:rPr>
        <w:t>)</w:t>
      </w:r>
      <w:r w:rsidR="00382BA1" w:rsidRPr="00ED0C6A">
        <w:rPr>
          <w:rStyle w:val="Odwoanieprzypisudolnego"/>
          <w:rFonts w:asciiTheme="minorHAnsi" w:hAnsiTheme="minorHAnsi"/>
          <w:sz w:val="24"/>
          <w:lang w:val="pl-PL"/>
        </w:rPr>
        <w:footnoteReference w:id="19"/>
      </w:r>
      <w:r w:rsidR="00846D69" w:rsidRPr="00ED0C6A">
        <w:rPr>
          <w:rFonts w:asciiTheme="minorHAnsi" w:hAnsiTheme="minorHAnsi"/>
          <w:sz w:val="24"/>
          <w:lang w:val="pl-PL"/>
        </w:rPr>
        <w:t xml:space="preserve"> nie</w:t>
      </w:r>
      <w:r w:rsidR="0072154D">
        <w:rPr>
          <w:rFonts w:asciiTheme="minorHAnsi" w:hAnsiTheme="minorHAnsi"/>
          <w:sz w:val="24"/>
          <w:lang w:val="pl-PL"/>
        </w:rPr>
        <w:t> </w:t>
      </w:r>
      <w:r w:rsidR="00846D69" w:rsidRPr="00ED0C6A">
        <w:rPr>
          <w:rFonts w:asciiTheme="minorHAnsi" w:hAnsiTheme="minorHAnsi"/>
          <w:sz w:val="24"/>
          <w:lang w:val="pl-PL"/>
        </w:rPr>
        <w:t xml:space="preserve">odnosi się do kwestii jurysdykcji, natomiast </w:t>
      </w:r>
      <w:r w:rsidR="00846D69" w:rsidRPr="00ED0C6A">
        <w:rPr>
          <w:rFonts w:asciiTheme="minorHAnsi" w:hAnsiTheme="minorHAnsi"/>
          <w:i/>
          <w:sz w:val="24"/>
          <w:lang w:val="pl-PL"/>
        </w:rPr>
        <w:t>Konwencja Rady Europy w sprawie działań przeciwko handlowi ludźmi</w:t>
      </w:r>
      <w:r w:rsidR="00382BA1" w:rsidRPr="00ED0C6A">
        <w:rPr>
          <w:rStyle w:val="Odwoanieprzypisudolnego"/>
          <w:rFonts w:asciiTheme="minorHAnsi" w:hAnsiTheme="minorHAnsi"/>
          <w:sz w:val="24"/>
          <w:lang w:val="pl-PL"/>
        </w:rPr>
        <w:footnoteReference w:id="20"/>
      </w:r>
      <w:r w:rsidR="00846D69" w:rsidRPr="00ED0C6A">
        <w:rPr>
          <w:rFonts w:asciiTheme="minorHAnsi" w:hAnsiTheme="minorHAnsi"/>
          <w:sz w:val="24"/>
          <w:lang w:val="pl-PL"/>
        </w:rPr>
        <w:t xml:space="preserve"> wymaga od Państw Stron jedynie ustanowienia jurysdykcji wobec przestępstw handlu ludźmi popełnionych na ich własnym terytorium lub przez jednego z ich obywateli albo przeciwko jednemu z ich obywateli. </w:t>
      </w:r>
    </w:p>
    <w:p w:rsidR="0032431E" w:rsidRPr="00ED0C6A" w:rsidRDefault="0032431E" w:rsidP="00380783">
      <w:pPr>
        <w:pStyle w:val="ClinContent"/>
        <w:spacing w:before="0"/>
        <w:rPr>
          <w:rFonts w:asciiTheme="minorHAnsi" w:hAnsiTheme="minorHAnsi"/>
          <w:sz w:val="24"/>
          <w:lang w:val="pl-PL"/>
        </w:rPr>
      </w:pPr>
    </w:p>
    <w:p w:rsidR="00846D69" w:rsidRPr="00ED0C6A" w:rsidRDefault="0032431E" w:rsidP="00380783">
      <w:pPr>
        <w:pStyle w:val="ClinContent"/>
        <w:spacing w:before="0"/>
        <w:rPr>
          <w:rFonts w:asciiTheme="minorHAnsi" w:hAnsiTheme="minorHAnsi"/>
          <w:sz w:val="24"/>
          <w:lang w:val="pl-PL"/>
        </w:rPr>
      </w:pPr>
      <w:r w:rsidRPr="00ED0C6A">
        <w:rPr>
          <w:rFonts w:asciiTheme="minorHAnsi" w:hAnsiTheme="minorHAnsi"/>
          <w:sz w:val="24"/>
          <w:lang w:val="pl-PL"/>
        </w:rPr>
        <w:t>Trybunał zatem uznał, że w</w:t>
      </w:r>
      <w:r w:rsidR="00846D69" w:rsidRPr="00ED0C6A">
        <w:rPr>
          <w:rFonts w:asciiTheme="minorHAnsi" w:hAnsiTheme="minorHAnsi"/>
          <w:sz w:val="24"/>
          <w:lang w:val="pl-PL"/>
        </w:rPr>
        <w:t xml:space="preserve"> obecnej sprawie na Austrii nie ciążył obowiązek przeprowadzenia śledztwa w sprawie rekrutacji skarżących na Filipinach ani też w sprawie zarzucanego wykorzystywania ich w Zjednoczonych Emiratach Arabskich. </w:t>
      </w:r>
    </w:p>
    <w:p w:rsidR="0032431E" w:rsidRPr="00ED0C6A" w:rsidRDefault="0032431E" w:rsidP="00380783">
      <w:pPr>
        <w:pStyle w:val="ClinContent"/>
        <w:spacing w:before="0"/>
        <w:rPr>
          <w:rFonts w:asciiTheme="minorHAnsi" w:hAnsiTheme="minorHAnsi"/>
          <w:sz w:val="24"/>
          <w:lang w:val="pl-PL"/>
        </w:rPr>
      </w:pPr>
    </w:p>
    <w:p w:rsidR="00D83856" w:rsidRPr="00ED0C6A" w:rsidRDefault="00E13702" w:rsidP="00380783">
      <w:pPr>
        <w:pStyle w:val="ClinContent"/>
        <w:spacing w:before="0"/>
        <w:rPr>
          <w:rFonts w:asciiTheme="minorHAnsi" w:hAnsiTheme="minorHAnsi"/>
          <w:sz w:val="24"/>
          <w:lang w:val="pl-PL"/>
        </w:rPr>
      </w:pPr>
      <w:r w:rsidRPr="00ED0C6A">
        <w:rPr>
          <w:rFonts w:asciiTheme="minorHAnsi" w:hAnsiTheme="minorHAnsi"/>
          <w:sz w:val="24"/>
          <w:lang w:val="pl-PL"/>
        </w:rPr>
        <w:t>W odniesieniu do zarzucanych wydarzeń w Austrii Trybunał podkreślił, że</w:t>
      </w:r>
      <w:r w:rsidR="0032431E" w:rsidRPr="00ED0C6A">
        <w:rPr>
          <w:rFonts w:asciiTheme="minorHAnsi" w:hAnsiTheme="minorHAnsi"/>
          <w:sz w:val="24"/>
          <w:lang w:val="pl-PL"/>
        </w:rPr>
        <w:t xml:space="preserve"> s</w:t>
      </w:r>
      <w:r w:rsidR="00846D69" w:rsidRPr="00ED0C6A">
        <w:rPr>
          <w:rFonts w:asciiTheme="minorHAnsi" w:hAnsiTheme="minorHAnsi"/>
          <w:sz w:val="24"/>
          <w:lang w:val="pl-PL"/>
        </w:rPr>
        <w:t>karżącym dano</w:t>
      </w:r>
      <w:r w:rsidR="0072154D">
        <w:rPr>
          <w:rFonts w:asciiTheme="minorHAnsi" w:hAnsiTheme="minorHAnsi"/>
          <w:sz w:val="24"/>
          <w:lang w:val="pl-PL"/>
        </w:rPr>
        <w:t> </w:t>
      </w:r>
      <w:r w:rsidR="00846D69" w:rsidRPr="00ED0C6A">
        <w:rPr>
          <w:rFonts w:asciiTheme="minorHAnsi" w:hAnsiTheme="minorHAnsi"/>
          <w:sz w:val="24"/>
          <w:lang w:val="pl-PL"/>
        </w:rPr>
        <w:t xml:space="preserve">możliwość przedstawienia </w:t>
      </w:r>
      <w:r w:rsidR="00D83856" w:rsidRPr="00ED0C6A">
        <w:rPr>
          <w:rFonts w:asciiTheme="minorHAnsi" w:hAnsiTheme="minorHAnsi"/>
          <w:sz w:val="24"/>
          <w:lang w:val="pl-PL"/>
        </w:rPr>
        <w:t xml:space="preserve">– </w:t>
      </w:r>
      <w:r w:rsidR="0032431E" w:rsidRPr="00ED0C6A">
        <w:rPr>
          <w:rFonts w:asciiTheme="minorHAnsi" w:hAnsiTheme="minorHAnsi"/>
          <w:sz w:val="24"/>
          <w:lang w:val="pl-PL"/>
        </w:rPr>
        <w:t>wobec specjalnie przeszkolonych funkcjonariuszy</w:t>
      </w:r>
      <w:r w:rsidR="00846D69" w:rsidRPr="00ED0C6A">
        <w:rPr>
          <w:rFonts w:asciiTheme="minorHAnsi" w:hAnsiTheme="minorHAnsi"/>
          <w:sz w:val="24"/>
          <w:lang w:val="pl-PL"/>
        </w:rPr>
        <w:t xml:space="preserve"> policji </w:t>
      </w:r>
      <w:r w:rsidR="00D83856" w:rsidRPr="00ED0C6A">
        <w:rPr>
          <w:rFonts w:asciiTheme="minorHAnsi" w:hAnsiTheme="minorHAnsi"/>
          <w:sz w:val="24"/>
          <w:lang w:val="pl-PL"/>
        </w:rPr>
        <w:t xml:space="preserve">– </w:t>
      </w:r>
      <w:r w:rsidR="00846D69" w:rsidRPr="00ED0C6A">
        <w:rPr>
          <w:rFonts w:asciiTheme="minorHAnsi" w:hAnsiTheme="minorHAnsi"/>
          <w:sz w:val="24"/>
          <w:lang w:val="pl-PL"/>
        </w:rPr>
        <w:t>szczegółowej relacji na temat wydarzeń</w:t>
      </w:r>
      <w:r w:rsidR="00D83856" w:rsidRPr="00ED0C6A">
        <w:rPr>
          <w:rFonts w:asciiTheme="minorHAnsi" w:hAnsiTheme="minorHAnsi"/>
          <w:sz w:val="24"/>
          <w:lang w:val="pl-PL"/>
        </w:rPr>
        <w:t>.</w:t>
      </w:r>
      <w:r w:rsidR="00846D69" w:rsidRPr="00ED0C6A">
        <w:rPr>
          <w:rFonts w:asciiTheme="minorHAnsi" w:hAnsiTheme="minorHAnsi"/>
          <w:sz w:val="24"/>
          <w:lang w:val="pl-PL"/>
        </w:rPr>
        <w:t xml:space="preserve"> </w:t>
      </w:r>
      <w:r w:rsidR="00D83856" w:rsidRPr="00ED0C6A">
        <w:rPr>
          <w:rFonts w:asciiTheme="minorHAnsi" w:hAnsiTheme="minorHAnsi"/>
          <w:sz w:val="24"/>
          <w:lang w:val="pl-PL"/>
        </w:rPr>
        <w:t>S</w:t>
      </w:r>
      <w:r w:rsidR="00846D69" w:rsidRPr="00ED0C6A">
        <w:rPr>
          <w:rFonts w:asciiTheme="minorHAnsi" w:hAnsiTheme="minorHAnsi"/>
          <w:sz w:val="24"/>
          <w:lang w:val="pl-PL"/>
        </w:rPr>
        <w:t>porządzono ponad 30 stron zeznań. W oparciu o</w:t>
      </w:r>
      <w:r w:rsidR="0072154D">
        <w:rPr>
          <w:rFonts w:asciiTheme="minorHAnsi" w:hAnsiTheme="minorHAnsi"/>
          <w:sz w:val="24"/>
          <w:lang w:val="pl-PL"/>
        </w:rPr>
        <w:t> </w:t>
      </w:r>
      <w:r w:rsidR="00846D69" w:rsidRPr="00ED0C6A">
        <w:rPr>
          <w:rFonts w:asciiTheme="minorHAnsi" w:hAnsiTheme="minorHAnsi"/>
          <w:sz w:val="24"/>
          <w:lang w:val="pl-PL"/>
        </w:rPr>
        <w:t xml:space="preserve">uzyskane relacje władze uznały, że wydarzenia </w:t>
      </w:r>
      <w:r w:rsidRPr="00ED0C6A">
        <w:rPr>
          <w:rFonts w:asciiTheme="minorHAnsi" w:hAnsiTheme="minorHAnsi"/>
          <w:sz w:val="24"/>
          <w:lang w:val="pl-PL"/>
        </w:rPr>
        <w:t>na terenie Austrii</w:t>
      </w:r>
      <w:r w:rsidR="00D83856" w:rsidRPr="00ED0C6A">
        <w:rPr>
          <w:rFonts w:asciiTheme="minorHAnsi" w:hAnsiTheme="minorHAnsi"/>
          <w:sz w:val="24"/>
          <w:lang w:val="pl-PL"/>
        </w:rPr>
        <w:t xml:space="preserve"> </w:t>
      </w:r>
      <w:r w:rsidR="00846D69" w:rsidRPr="00ED0C6A">
        <w:rPr>
          <w:rFonts w:asciiTheme="minorHAnsi" w:hAnsiTheme="minorHAnsi"/>
          <w:sz w:val="24"/>
          <w:lang w:val="pl-PL"/>
        </w:rPr>
        <w:t>– w formie przedstawionej przez skarżące – nie stanowiły przestępstwa</w:t>
      </w:r>
      <w:r w:rsidRPr="00ED0C6A">
        <w:rPr>
          <w:rFonts w:asciiTheme="minorHAnsi" w:hAnsiTheme="minorHAnsi"/>
          <w:sz w:val="24"/>
          <w:lang w:val="pl-PL"/>
        </w:rPr>
        <w:t xml:space="preserve"> w świetle prawa krajowego</w:t>
      </w:r>
      <w:r w:rsidR="00846D69" w:rsidRPr="00ED0C6A">
        <w:rPr>
          <w:rFonts w:asciiTheme="minorHAnsi" w:hAnsiTheme="minorHAnsi"/>
          <w:sz w:val="24"/>
          <w:lang w:val="pl-PL"/>
        </w:rPr>
        <w:t>. W</w:t>
      </w:r>
      <w:r w:rsidR="0072154D">
        <w:rPr>
          <w:rFonts w:asciiTheme="minorHAnsi" w:hAnsiTheme="minorHAnsi"/>
          <w:sz w:val="24"/>
          <w:lang w:val="pl-PL"/>
        </w:rPr>
        <w:t> </w:t>
      </w:r>
      <w:r w:rsidR="00846D69" w:rsidRPr="00ED0C6A">
        <w:rPr>
          <w:rFonts w:asciiTheme="minorHAnsi" w:hAnsiTheme="minorHAnsi"/>
          <w:sz w:val="24"/>
          <w:lang w:val="pl-PL"/>
        </w:rPr>
        <w:t xml:space="preserve">świetle faktów sprawy i dowodów, którymi dysponowały władze, ocena, że znamiona właściwego przestępstwa nie zostały wypełnione, nie wydaje się nieuzasadniona. </w:t>
      </w:r>
    </w:p>
    <w:p w:rsidR="00D83856" w:rsidRPr="00ED0C6A" w:rsidRDefault="00D83856" w:rsidP="00380783">
      <w:pPr>
        <w:pStyle w:val="ClinContent"/>
        <w:spacing w:before="0"/>
        <w:rPr>
          <w:rFonts w:asciiTheme="minorHAnsi" w:hAnsiTheme="minorHAnsi"/>
          <w:sz w:val="24"/>
          <w:lang w:val="pl-PL"/>
        </w:rPr>
      </w:pPr>
    </w:p>
    <w:p w:rsidR="00452392" w:rsidRPr="00ED0C6A" w:rsidRDefault="00E13702" w:rsidP="00380783">
      <w:pPr>
        <w:pStyle w:val="ClinContent"/>
        <w:spacing w:before="0"/>
        <w:rPr>
          <w:rFonts w:asciiTheme="minorHAnsi" w:hAnsiTheme="minorHAnsi"/>
          <w:sz w:val="24"/>
          <w:lang w:val="pl-PL"/>
        </w:rPr>
      </w:pPr>
      <w:r w:rsidRPr="00ED0C6A">
        <w:rPr>
          <w:rFonts w:asciiTheme="minorHAnsi" w:hAnsiTheme="minorHAnsi"/>
          <w:sz w:val="24"/>
          <w:lang w:val="pl-PL"/>
        </w:rPr>
        <w:t>W odniesieniu zaś do twierdzenia skar</w:t>
      </w:r>
      <w:r w:rsidR="00452392" w:rsidRPr="00ED0C6A">
        <w:rPr>
          <w:rFonts w:asciiTheme="minorHAnsi" w:hAnsiTheme="minorHAnsi"/>
          <w:sz w:val="24"/>
          <w:lang w:val="pl-PL"/>
        </w:rPr>
        <w:t xml:space="preserve">żących, że wydarzenia w Austrii </w:t>
      </w:r>
      <w:r w:rsidRPr="00ED0C6A">
        <w:rPr>
          <w:rFonts w:asciiTheme="minorHAnsi" w:hAnsiTheme="minorHAnsi"/>
          <w:sz w:val="24"/>
          <w:lang w:val="pl-PL"/>
        </w:rPr>
        <w:t>były powiązane z</w:t>
      </w:r>
      <w:r w:rsidR="0072154D">
        <w:rPr>
          <w:rFonts w:asciiTheme="minorHAnsi" w:hAnsiTheme="minorHAnsi"/>
          <w:sz w:val="24"/>
          <w:lang w:val="pl-PL"/>
        </w:rPr>
        <w:t> </w:t>
      </w:r>
      <w:r w:rsidRPr="00ED0C6A">
        <w:rPr>
          <w:rFonts w:asciiTheme="minorHAnsi" w:hAnsiTheme="minorHAnsi"/>
          <w:sz w:val="24"/>
          <w:lang w:val="pl-PL"/>
        </w:rPr>
        <w:t>wydarzeniami na Filipinach i w Dubaju</w:t>
      </w:r>
      <w:r w:rsidR="00452392" w:rsidRPr="00ED0C6A">
        <w:rPr>
          <w:rFonts w:asciiTheme="minorHAnsi" w:hAnsiTheme="minorHAnsi"/>
          <w:sz w:val="24"/>
          <w:lang w:val="pl-PL"/>
        </w:rPr>
        <w:t xml:space="preserve"> i nie powinny być rozpatrywane w izolacji</w:t>
      </w:r>
      <w:r w:rsidRPr="00ED0C6A">
        <w:rPr>
          <w:rFonts w:asciiTheme="minorHAnsi" w:hAnsiTheme="minorHAnsi"/>
          <w:sz w:val="24"/>
          <w:lang w:val="pl-PL"/>
        </w:rPr>
        <w:t>, Trybunał podkreślił, że w</w:t>
      </w:r>
      <w:r w:rsidR="00846D69" w:rsidRPr="00ED0C6A">
        <w:rPr>
          <w:rFonts w:asciiTheme="minorHAnsi" w:hAnsiTheme="minorHAnsi"/>
          <w:sz w:val="24"/>
          <w:lang w:val="pl-PL"/>
        </w:rPr>
        <w:t>ładze zostały poinformowane dopiero po upływie około roku od wydarzeń, które miały miejsce w Austrii, gdy pracodawcy skarżących już dawno wyjechali z Austrii i</w:t>
      </w:r>
      <w:r w:rsidR="0072154D">
        <w:rPr>
          <w:rFonts w:asciiTheme="minorHAnsi" w:hAnsiTheme="minorHAnsi"/>
          <w:sz w:val="24"/>
          <w:lang w:val="pl-PL"/>
        </w:rPr>
        <w:t> </w:t>
      </w:r>
      <w:r w:rsidR="00846D69" w:rsidRPr="00ED0C6A">
        <w:rPr>
          <w:rFonts w:asciiTheme="minorHAnsi" w:hAnsiTheme="minorHAnsi"/>
          <w:sz w:val="24"/>
          <w:lang w:val="pl-PL"/>
        </w:rPr>
        <w:t xml:space="preserve">prawdopodobnie powrócili do Dubaju. Jedynymi dalszymi krokami, które władze mogły ewentualnie podjąć, było zwrócenie się do Zjednoczonych Emiratów Arabskich o pomoc prawną, podejmując próbę przesłuchania pracodawców skarżących poprzez skierowanie pism z takim wnioskiem lub wydanie zarządzenia w celu określenia ich miejsca pobytu. Jednakże, władze nie mogły rozsądnie oczekiwać, że będą w stanie skonfrontować pracodawców skarżących ze stawianymi im zarzutami, jako że nie było żadnego porozumienia o wzajemnej pomocy prawnej między Austrią a Zjednoczonymi Emiratami Arabskimi. Nie wydaje się, by te działania, choć teoretycznie możliwe, zapewniały jakiekolwiek rozsądne perspektywy powodzenia, a zatem by były wymagane. </w:t>
      </w:r>
    </w:p>
    <w:p w:rsidR="00452392" w:rsidRPr="00ED0C6A" w:rsidRDefault="00452392" w:rsidP="00380783">
      <w:pPr>
        <w:pStyle w:val="ClinContent"/>
        <w:spacing w:before="0"/>
        <w:rPr>
          <w:rFonts w:asciiTheme="minorHAnsi" w:hAnsiTheme="minorHAnsi"/>
          <w:sz w:val="24"/>
          <w:lang w:val="pl-PL"/>
        </w:rPr>
      </w:pPr>
    </w:p>
    <w:p w:rsidR="00D83856" w:rsidRPr="00ED0C6A" w:rsidRDefault="00452392" w:rsidP="00380783">
      <w:pPr>
        <w:pStyle w:val="ClinContent"/>
        <w:spacing w:before="0"/>
        <w:rPr>
          <w:rFonts w:asciiTheme="minorHAnsi" w:hAnsiTheme="minorHAnsi"/>
          <w:sz w:val="24"/>
          <w:lang w:val="pl-PL"/>
        </w:rPr>
      </w:pPr>
      <w:r w:rsidRPr="00ED0C6A">
        <w:rPr>
          <w:rFonts w:asciiTheme="minorHAnsi" w:hAnsiTheme="minorHAnsi"/>
          <w:sz w:val="24"/>
          <w:lang w:val="pl-PL"/>
        </w:rPr>
        <w:t>A zatem ś</w:t>
      </w:r>
      <w:r w:rsidR="00846D69" w:rsidRPr="00ED0C6A">
        <w:rPr>
          <w:rFonts w:asciiTheme="minorHAnsi" w:hAnsiTheme="minorHAnsi"/>
          <w:sz w:val="24"/>
          <w:lang w:val="pl-PL"/>
        </w:rPr>
        <w:t xml:space="preserve">ledztwo w formie przeprowadzonej przez władze austriackie w sprawie skarżących było wystarczające na potrzeby art. 4 Konwencji. </w:t>
      </w:r>
    </w:p>
    <w:p w:rsidR="00D83856" w:rsidRPr="00ED0C6A" w:rsidRDefault="00D83856" w:rsidP="00380783">
      <w:pPr>
        <w:pStyle w:val="ClinContent"/>
        <w:spacing w:before="0"/>
        <w:rPr>
          <w:rFonts w:asciiTheme="minorHAnsi" w:hAnsiTheme="minorHAnsi"/>
          <w:sz w:val="24"/>
          <w:lang w:val="pl-PL"/>
        </w:rPr>
      </w:pPr>
    </w:p>
    <w:p w:rsidR="00846D69" w:rsidRPr="00ED0C6A" w:rsidRDefault="007A0331"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odniesieniu zatem do </w:t>
      </w:r>
      <w:r w:rsidR="00452392" w:rsidRPr="00ED0C6A">
        <w:rPr>
          <w:rFonts w:asciiTheme="minorHAnsi" w:hAnsiTheme="minorHAnsi"/>
          <w:sz w:val="24"/>
          <w:lang w:val="pl-PL"/>
        </w:rPr>
        <w:t xml:space="preserve">realizacji przez Austrię </w:t>
      </w:r>
      <w:r w:rsidRPr="00ED0C6A">
        <w:rPr>
          <w:rFonts w:asciiTheme="minorHAnsi" w:hAnsiTheme="minorHAnsi"/>
          <w:sz w:val="24"/>
          <w:lang w:val="pl-PL"/>
        </w:rPr>
        <w:t xml:space="preserve">obowiązków pozytywnych </w:t>
      </w:r>
      <w:r w:rsidR="00452392" w:rsidRPr="00ED0C6A">
        <w:rPr>
          <w:rFonts w:asciiTheme="minorHAnsi" w:hAnsiTheme="minorHAnsi"/>
          <w:sz w:val="24"/>
          <w:lang w:val="pl-PL"/>
        </w:rPr>
        <w:t>wobec ofiar handlu ludźmi T</w:t>
      </w:r>
      <w:r w:rsidR="00D83856" w:rsidRPr="00ED0C6A">
        <w:rPr>
          <w:rFonts w:asciiTheme="minorHAnsi" w:hAnsiTheme="minorHAnsi"/>
          <w:sz w:val="24"/>
          <w:lang w:val="pl-PL"/>
        </w:rPr>
        <w:t xml:space="preserve">rybunał orzekł jednomyślnie, że nie doszło do naruszenia </w:t>
      </w:r>
      <w:r w:rsidR="00EC7596" w:rsidRPr="00ED0C6A">
        <w:rPr>
          <w:rFonts w:asciiTheme="minorHAnsi" w:hAnsiTheme="minorHAnsi"/>
          <w:sz w:val="24"/>
          <w:lang w:val="pl-PL"/>
        </w:rPr>
        <w:t>art. 4 Konwe</w:t>
      </w:r>
      <w:r w:rsidR="00E13702" w:rsidRPr="00ED0C6A">
        <w:rPr>
          <w:rFonts w:asciiTheme="minorHAnsi" w:hAnsiTheme="minorHAnsi"/>
          <w:sz w:val="24"/>
          <w:lang w:val="pl-PL"/>
        </w:rPr>
        <w:t>n</w:t>
      </w:r>
      <w:r w:rsidR="00EC7596" w:rsidRPr="00ED0C6A">
        <w:rPr>
          <w:rFonts w:asciiTheme="minorHAnsi" w:hAnsiTheme="minorHAnsi"/>
          <w:sz w:val="24"/>
          <w:lang w:val="pl-PL"/>
        </w:rPr>
        <w:t>cji</w:t>
      </w:r>
      <w:r w:rsidR="00D83856" w:rsidRPr="00ED0C6A">
        <w:rPr>
          <w:rFonts w:asciiTheme="minorHAnsi" w:hAnsiTheme="minorHAnsi"/>
          <w:sz w:val="24"/>
          <w:lang w:val="pl-PL"/>
        </w:rPr>
        <w:t xml:space="preserve">. </w:t>
      </w:r>
    </w:p>
    <w:p w:rsidR="00846D69" w:rsidRPr="00ED0C6A" w:rsidRDefault="00D83856" w:rsidP="00380783">
      <w:pPr>
        <w:pStyle w:val="ClinContent"/>
        <w:spacing w:before="0"/>
        <w:rPr>
          <w:rFonts w:asciiTheme="minorHAnsi" w:hAnsiTheme="minorHAnsi"/>
          <w:i/>
          <w:sz w:val="24"/>
          <w:lang w:val="pl-PL"/>
        </w:rPr>
      </w:pPr>
      <w:r w:rsidRPr="00ED0C6A">
        <w:rPr>
          <w:rFonts w:asciiTheme="minorHAnsi" w:hAnsiTheme="minorHAnsi"/>
          <w:i/>
          <w:sz w:val="24"/>
          <w:lang w:val="pl-PL"/>
        </w:rPr>
        <w:t xml:space="preserve"> </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Trybunał również orzekł (jednomyślnie), że nie doszło do naruszenia art. 3 Konwencji</w:t>
      </w:r>
      <w:r w:rsidR="00D83856" w:rsidRPr="00ED0C6A">
        <w:rPr>
          <w:rFonts w:asciiTheme="minorHAnsi" w:hAnsiTheme="minorHAnsi"/>
          <w:sz w:val="24"/>
          <w:lang w:val="pl-PL"/>
        </w:rPr>
        <w:t xml:space="preserve"> (zakaz</w:t>
      </w:r>
      <w:r w:rsidR="0072154D">
        <w:rPr>
          <w:rFonts w:asciiTheme="minorHAnsi" w:hAnsiTheme="minorHAnsi"/>
          <w:sz w:val="24"/>
          <w:lang w:val="pl-PL"/>
        </w:rPr>
        <w:t> </w:t>
      </w:r>
      <w:r w:rsidR="00D83856" w:rsidRPr="00ED0C6A">
        <w:rPr>
          <w:rFonts w:asciiTheme="minorHAnsi" w:hAnsiTheme="minorHAnsi"/>
          <w:sz w:val="24"/>
          <w:lang w:val="pl-PL"/>
        </w:rPr>
        <w:t>tortur oraz nieludzkiego lub poniżającego traktowania lub karania)</w:t>
      </w:r>
      <w:r w:rsidRPr="00ED0C6A">
        <w:rPr>
          <w:rFonts w:asciiTheme="minorHAnsi" w:hAnsiTheme="minorHAnsi"/>
          <w:sz w:val="24"/>
          <w:lang w:val="pl-PL"/>
        </w:rPr>
        <w:t xml:space="preserve">, gdyż test dotyczący przestrzegania pozytywnych obowiązków </w:t>
      </w:r>
      <w:r w:rsidR="00721A8D" w:rsidRPr="00ED0C6A">
        <w:rPr>
          <w:rFonts w:asciiTheme="minorHAnsi" w:hAnsiTheme="minorHAnsi"/>
          <w:sz w:val="24"/>
          <w:lang w:val="pl-PL"/>
        </w:rPr>
        <w:t xml:space="preserve">Państwa </w:t>
      </w:r>
      <w:r w:rsidRPr="00ED0C6A">
        <w:rPr>
          <w:rFonts w:asciiTheme="minorHAnsi" w:hAnsiTheme="minorHAnsi"/>
          <w:sz w:val="24"/>
          <w:lang w:val="pl-PL"/>
        </w:rPr>
        <w:t>przeprowadzany na podstawie proceduralnego aspektu art. 3 jest bardzo podobny do testu przeprowadzanego na</w:t>
      </w:r>
      <w:r w:rsidR="0072154D">
        <w:rPr>
          <w:rFonts w:asciiTheme="minorHAnsi" w:hAnsiTheme="minorHAnsi"/>
          <w:sz w:val="24"/>
          <w:lang w:val="pl-PL"/>
        </w:rPr>
        <w:t> </w:t>
      </w:r>
      <w:r w:rsidRPr="00ED0C6A">
        <w:rPr>
          <w:rFonts w:asciiTheme="minorHAnsi" w:hAnsiTheme="minorHAnsi"/>
          <w:sz w:val="24"/>
          <w:lang w:val="pl-PL"/>
        </w:rPr>
        <w:t>podstawie art. 4, a w tym zakresie sprawa została całościowo zbadana i nie stwierdzono naruszenia</w:t>
      </w:r>
      <w:r w:rsidR="00683C1B" w:rsidRPr="00ED0C6A">
        <w:rPr>
          <w:rStyle w:val="Odwoanieprzypisudolnego"/>
          <w:rFonts w:asciiTheme="minorHAnsi" w:hAnsiTheme="minorHAnsi"/>
          <w:sz w:val="24"/>
          <w:lang w:val="pl-PL"/>
        </w:rPr>
        <w:footnoteReference w:id="21"/>
      </w:r>
      <w:r w:rsidRPr="00ED0C6A">
        <w:rPr>
          <w:rFonts w:asciiTheme="minorHAnsi" w:hAnsiTheme="minorHAnsi"/>
          <w:sz w:val="24"/>
          <w:lang w:val="pl-PL"/>
        </w:rPr>
        <w:t xml:space="preserve">. </w:t>
      </w:r>
    </w:p>
    <w:p w:rsidR="00181293" w:rsidRPr="00ED0C6A" w:rsidRDefault="00181293" w:rsidP="00181293">
      <w:pPr>
        <w:pStyle w:val="ClinContent"/>
        <w:spacing w:before="0"/>
        <w:rPr>
          <w:rFonts w:asciiTheme="minorHAnsi" w:hAnsiTheme="minorHAnsi"/>
          <w:sz w:val="24"/>
          <w:u w:val="single"/>
          <w:lang w:val="pl-PL"/>
        </w:rPr>
      </w:pPr>
    </w:p>
    <w:p w:rsidR="00E04357" w:rsidRPr="00ED0C6A" w:rsidRDefault="00181293" w:rsidP="00181293">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w:t>
      </w:r>
      <w:r w:rsidR="00BD537A" w:rsidRPr="00ED0C6A">
        <w:rPr>
          <w:rFonts w:asciiTheme="minorHAnsi" w:hAnsiTheme="minorHAnsi"/>
          <w:sz w:val="24"/>
          <w:lang w:val="pl-PL"/>
        </w:rPr>
        <w:t>–</w:t>
      </w:r>
      <w:r w:rsidRPr="00ED0C6A">
        <w:rPr>
          <w:rFonts w:asciiTheme="minorHAnsi" w:hAnsiTheme="minorHAnsi"/>
          <w:sz w:val="24"/>
          <w:lang w:val="pl-PL"/>
        </w:rPr>
        <w:t xml:space="preserve"> kolejny w ostatnim czasie wyrok Trybunału dotyczący pozytywnych obowiązków </w:t>
      </w:r>
      <w:r w:rsidR="00721A8D" w:rsidRPr="00ED0C6A">
        <w:rPr>
          <w:rFonts w:asciiTheme="minorHAnsi" w:hAnsiTheme="minorHAnsi"/>
          <w:sz w:val="24"/>
          <w:lang w:val="pl-PL"/>
        </w:rPr>
        <w:t xml:space="preserve">Państw </w:t>
      </w:r>
      <w:r w:rsidRPr="00ED0C6A">
        <w:rPr>
          <w:rFonts w:asciiTheme="minorHAnsi" w:hAnsiTheme="minorHAnsi"/>
          <w:sz w:val="24"/>
          <w:lang w:val="pl-PL"/>
        </w:rPr>
        <w:t>w odpowiedzi na zjawisko handlu ludźmi i</w:t>
      </w:r>
      <w:r w:rsidR="0072154D">
        <w:rPr>
          <w:rFonts w:asciiTheme="minorHAnsi" w:hAnsiTheme="minorHAnsi"/>
          <w:sz w:val="24"/>
          <w:lang w:val="pl-PL"/>
        </w:rPr>
        <w:t> </w:t>
      </w:r>
      <w:r w:rsidRPr="00ED0C6A">
        <w:rPr>
          <w:rFonts w:asciiTheme="minorHAnsi" w:hAnsiTheme="minorHAnsi"/>
          <w:sz w:val="24"/>
          <w:lang w:val="pl-PL"/>
        </w:rPr>
        <w:t>wykorzystywania pracy przymusowej</w:t>
      </w:r>
      <w:r w:rsidR="00792EF1" w:rsidRPr="00ED0C6A">
        <w:rPr>
          <w:rFonts w:asciiTheme="minorHAnsi" w:hAnsiTheme="minorHAnsi"/>
          <w:sz w:val="24"/>
          <w:lang w:val="pl-PL"/>
        </w:rPr>
        <w:t xml:space="preserve">. Tym razem Trybunał wskazuje na granice obowiązków pozytywnych </w:t>
      </w:r>
      <w:r w:rsidR="00721A8D" w:rsidRPr="00ED0C6A">
        <w:rPr>
          <w:rFonts w:asciiTheme="minorHAnsi" w:hAnsiTheme="minorHAnsi"/>
          <w:sz w:val="24"/>
          <w:lang w:val="pl-PL"/>
        </w:rPr>
        <w:t xml:space="preserve">Państwa </w:t>
      </w:r>
      <w:r w:rsidR="00792EF1" w:rsidRPr="00ED0C6A">
        <w:rPr>
          <w:rFonts w:asciiTheme="minorHAnsi" w:hAnsiTheme="minorHAnsi"/>
          <w:sz w:val="24"/>
          <w:lang w:val="pl-PL"/>
        </w:rPr>
        <w:t>w zakresie ustanawiania tzw. jurysdykcji uniwersalnej w</w:t>
      </w:r>
      <w:r w:rsidR="0072154D">
        <w:rPr>
          <w:rFonts w:asciiTheme="minorHAnsi" w:hAnsiTheme="minorHAnsi"/>
          <w:sz w:val="24"/>
          <w:lang w:val="pl-PL"/>
        </w:rPr>
        <w:t> </w:t>
      </w:r>
      <w:r w:rsidR="00792EF1" w:rsidRPr="00ED0C6A">
        <w:rPr>
          <w:rFonts w:asciiTheme="minorHAnsi" w:hAnsiTheme="minorHAnsi"/>
          <w:sz w:val="24"/>
          <w:lang w:val="pl-PL"/>
        </w:rPr>
        <w:t>celu ścigania przestępstw handlu ludźmi popełnionych za granicą</w:t>
      </w:r>
      <w:r w:rsidR="00F870D0" w:rsidRPr="00ED0C6A">
        <w:rPr>
          <w:rFonts w:asciiTheme="minorHAnsi" w:hAnsiTheme="minorHAnsi"/>
          <w:sz w:val="24"/>
          <w:lang w:val="pl-PL"/>
        </w:rPr>
        <w:t xml:space="preserve"> –</w:t>
      </w:r>
      <w:r w:rsidR="00792EF1" w:rsidRPr="00ED0C6A">
        <w:rPr>
          <w:rFonts w:asciiTheme="minorHAnsi" w:hAnsiTheme="minorHAnsi"/>
          <w:sz w:val="24"/>
          <w:lang w:val="pl-PL"/>
        </w:rPr>
        <w:t xml:space="preserve"> w</w:t>
      </w:r>
      <w:r w:rsidR="00F870D0" w:rsidRPr="00ED0C6A">
        <w:rPr>
          <w:rFonts w:asciiTheme="minorHAnsi" w:hAnsiTheme="minorHAnsi"/>
          <w:sz w:val="24"/>
          <w:lang w:val="pl-PL"/>
        </w:rPr>
        <w:t xml:space="preserve"> </w:t>
      </w:r>
      <w:r w:rsidR="00792EF1" w:rsidRPr="00ED0C6A">
        <w:rPr>
          <w:rFonts w:asciiTheme="minorHAnsi" w:hAnsiTheme="minorHAnsi"/>
          <w:sz w:val="24"/>
          <w:lang w:val="pl-PL"/>
        </w:rPr>
        <w:t xml:space="preserve">przypadku braku związku i interesów </w:t>
      </w:r>
      <w:r w:rsidR="00721A8D" w:rsidRPr="00ED0C6A">
        <w:rPr>
          <w:rFonts w:asciiTheme="minorHAnsi" w:hAnsiTheme="minorHAnsi"/>
          <w:sz w:val="24"/>
          <w:lang w:val="pl-PL"/>
        </w:rPr>
        <w:t>Państwa</w:t>
      </w:r>
      <w:r w:rsidR="00792EF1" w:rsidRPr="00ED0C6A">
        <w:rPr>
          <w:rFonts w:asciiTheme="minorHAnsi" w:hAnsiTheme="minorHAnsi"/>
          <w:sz w:val="24"/>
          <w:lang w:val="pl-PL"/>
        </w:rPr>
        <w:t xml:space="preserve">, w którym zgłaszane jest zawiadomienie ofiar. Jednocześnie Trybunał przypomina wcześniejsze kryteria, według których ocenia obowiązki pozytywne </w:t>
      </w:r>
      <w:r w:rsidR="00721A8D" w:rsidRPr="00ED0C6A">
        <w:rPr>
          <w:rFonts w:asciiTheme="minorHAnsi" w:hAnsiTheme="minorHAnsi"/>
          <w:sz w:val="24"/>
          <w:lang w:val="pl-PL"/>
        </w:rPr>
        <w:t xml:space="preserve">Państw </w:t>
      </w:r>
      <w:r w:rsidR="00F870D0" w:rsidRPr="00ED0C6A">
        <w:rPr>
          <w:rFonts w:asciiTheme="minorHAnsi" w:hAnsiTheme="minorHAnsi"/>
          <w:sz w:val="24"/>
          <w:lang w:val="pl-PL"/>
        </w:rPr>
        <w:t>wobec ofiar handlu ludźmi</w:t>
      </w:r>
      <w:r w:rsidR="00792EF1" w:rsidRPr="00ED0C6A">
        <w:rPr>
          <w:rFonts w:asciiTheme="minorHAnsi" w:hAnsiTheme="minorHAnsi"/>
          <w:sz w:val="24"/>
          <w:lang w:val="pl-PL"/>
        </w:rPr>
        <w:t>, w tym szczególnie pozytywnie ocenia działania podjęte przez</w:t>
      </w:r>
      <w:r w:rsidR="00F870D0" w:rsidRPr="00ED0C6A">
        <w:rPr>
          <w:rFonts w:asciiTheme="minorHAnsi" w:hAnsiTheme="minorHAnsi"/>
          <w:sz w:val="24"/>
          <w:lang w:val="pl-PL"/>
        </w:rPr>
        <w:t xml:space="preserve"> </w:t>
      </w:r>
      <w:r w:rsidR="00721A8D" w:rsidRPr="00ED0C6A">
        <w:rPr>
          <w:rFonts w:asciiTheme="minorHAnsi" w:hAnsiTheme="minorHAnsi"/>
          <w:sz w:val="24"/>
          <w:lang w:val="pl-PL"/>
        </w:rPr>
        <w:t xml:space="preserve">Państwo </w:t>
      </w:r>
      <w:r w:rsidR="00792EF1" w:rsidRPr="00ED0C6A">
        <w:rPr>
          <w:rFonts w:asciiTheme="minorHAnsi" w:hAnsiTheme="minorHAnsi"/>
          <w:sz w:val="24"/>
          <w:lang w:val="pl-PL"/>
        </w:rPr>
        <w:t>w celu zidentyfikowania skarżących jako potencjalnych ofiar handlu ludźmi i</w:t>
      </w:r>
      <w:r w:rsidR="0072154D">
        <w:rPr>
          <w:rFonts w:asciiTheme="minorHAnsi" w:hAnsiTheme="minorHAnsi"/>
          <w:sz w:val="24"/>
          <w:lang w:val="pl-PL"/>
        </w:rPr>
        <w:t> </w:t>
      </w:r>
      <w:r w:rsidR="00792EF1" w:rsidRPr="00ED0C6A">
        <w:rPr>
          <w:rFonts w:asciiTheme="minorHAnsi" w:hAnsiTheme="minorHAnsi"/>
          <w:sz w:val="24"/>
          <w:lang w:val="pl-PL"/>
        </w:rPr>
        <w:t xml:space="preserve">udzielenia im wsparcia, a także </w:t>
      </w:r>
      <w:r w:rsidR="00F870D0" w:rsidRPr="00ED0C6A">
        <w:rPr>
          <w:rFonts w:asciiTheme="minorHAnsi" w:hAnsiTheme="minorHAnsi"/>
          <w:sz w:val="24"/>
          <w:lang w:val="pl-PL"/>
        </w:rPr>
        <w:t xml:space="preserve">przeprowadzenie </w:t>
      </w:r>
      <w:r w:rsidR="00792EF1" w:rsidRPr="00ED0C6A">
        <w:rPr>
          <w:rFonts w:asciiTheme="minorHAnsi" w:hAnsiTheme="minorHAnsi"/>
          <w:sz w:val="24"/>
          <w:lang w:val="pl-PL"/>
        </w:rPr>
        <w:t>w</w:t>
      </w:r>
      <w:r w:rsidR="00A90DA3" w:rsidRPr="00ED0C6A">
        <w:rPr>
          <w:rFonts w:asciiTheme="minorHAnsi" w:hAnsiTheme="minorHAnsi"/>
          <w:sz w:val="24"/>
          <w:lang w:val="pl-PL"/>
        </w:rPr>
        <w:t>yspecjalizowanego przesłuchania</w:t>
      </w:r>
      <w:r w:rsidR="00792EF1" w:rsidRPr="00ED0C6A">
        <w:rPr>
          <w:rFonts w:asciiTheme="minorHAnsi" w:hAnsiTheme="minorHAnsi"/>
          <w:sz w:val="24"/>
          <w:lang w:val="pl-PL"/>
        </w:rPr>
        <w:t xml:space="preserve"> </w:t>
      </w:r>
      <w:r w:rsidR="00A90DA3" w:rsidRPr="00ED0C6A">
        <w:rPr>
          <w:rFonts w:asciiTheme="minorHAnsi" w:hAnsiTheme="minorHAnsi"/>
          <w:sz w:val="24"/>
          <w:lang w:val="pl-PL"/>
        </w:rPr>
        <w:t>(warto</w:t>
      </w:r>
      <w:r w:rsidR="0072154D">
        <w:rPr>
          <w:rFonts w:asciiTheme="minorHAnsi" w:hAnsiTheme="minorHAnsi"/>
          <w:sz w:val="24"/>
          <w:lang w:val="pl-PL"/>
        </w:rPr>
        <w:t> </w:t>
      </w:r>
      <w:r w:rsidR="00A90DA3" w:rsidRPr="00ED0C6A">
        <w:rPr>
          <w:rFonts w:asciiTheme="minorHAnsi" w:hAnsiTheme="minorHAnsi"/>
          <w:sz w:val="24"/>
          <w:lang w:val="pl-PL"/>
        </w:rPr>
        <w:t>uwzględniać te kryteria w prowadzonych działaniach szkoleniowych).</w:t>
      </w:r>
    </w:p>
    <w:p w:rsidR="00792EF1" w:rsidRPr="00ED0C6A" w:rsidRDefault="00792EF1" w:rsidP="00181293">
      <w:pPr>
        <w:pStyle w:val="ClinContent"/>
        <w:spacing w:before="0"/>
        <w:rPr>
          <w:rFonts w:asciiTheme="minorHAnsi" w:hAnsiTheme="minorHAnsi"/>
          <w:sz w:val="24"/>
          <w:lang w:val="pl-PL"/>
        </w:rPr>
      </w:pPr>
    </w:p>
    <w:p w:rsidR="00792EF1" w:rsidRPr="00ED0C6A" w:rsidRDefault="00837491" w:rsidP="00792EF1">
      <w:pPr>
        <w:pStyle w:val="ClinContent"/>
        <w:spacing w:before="0"/>
        <w:rPr>
          <w:rFonts w:asciiTheme="minorHAnsi" w:hAnsiTheme="minorHAnsi"/>
          <w:sz w:val="24"/>
          <w:lang w:val="pl-PL"/>
        </w:rPr>
      </w:pPr>
      <w:r w:rsidRPr="00ED0C6A">
        <w:rPr>
          <w:rFonts w:asciiTheme="minorHAnsi" w:hAnsiTheme="minorHAnsi"/>
          <w:sz w:val="24"/>
          <w:lang w:val="pl-PL"/>
        </w:rPr>
        <w:t>Wyrok może mieć</w:t>
      </w:r>
      <w:r w:rsidR="00792EF1" w:rsidRPr="00ED0C6A">
        <w:rPr>
          <w:rFonts w:asciiTheme="minorHAnsi" w:hAnsiTheme="minorHAnsi"/>
          <w:sz w:val="24"/>
          <w:lang w:val="pl-PL"/>
        </w:rPr>
        <w:t xml:space="preserve"> znaczenie dla policji, prokuratury, sądów, organów inspekcji pracy, a</w:t>
      </w:r>
      <w:r w:rsidR="0072154D">
        <w:rPr>
          <w:rFonts w:asciiTheme="minorHAnsi" w:hAnsiTheme="minorHAnsi"/>
          <w:sz w:val="24"/>
          <w:lang w:val="pl-PL"/>
        </w:rPr>
        <w:t> </w:t>
      </w:r>
      <w:r w:rsidR="00792EF1" w:rsidRPr="00ED0C6A">
        <w:rPr>
          <w:rFonts w:asciiTheme="minorHAnsi" w:hAnsiTheme="minorHAnsi"/>
          <w:sz w:val="24"/>
          <w:lang w:val="pl-PL"/>
        </w:rPr>
        <w:t>także</w:t>
      </w:r>
      <w:r w:rsidR="0072154D">
        <w:rPr>
          <w:rFonts w:asciiTheme="minorHAnsi" w:hAnsiTheme="minorHAnsi"/>
          <w:sz w:val="24"/>
          <w:lang w:val="pl-PL"/>
        </w:rPr>
        <w:t> </w:t>
      </w:r>
      <w:r w:rsidR="00792EF1" w:rsidRPr="00ED0C6A">
        <w:rPr>
          <w:rFonts w:asciiTheme="minorHAnsi" w:hAnsiTheme="minorHAnsi"/>
          <w:sz w:val="24"/>
          <w:lang w:val="pl-PL"/>
        </w:rPr>
        <w:t>innych organów oraz organizacji pozarządowych zaangażowanych w zwalczanie handlu ludźmi i pracy przymusowej oraz wspieranie ofiar. M</w:t>
      </w:r>
      <w:r w:rsidRPr="00ED0C6A">
        <w:rPr>
          <w:rFonts w:asciiTheme="minorHAnsi" w:hAnsiTheme="minorHAnsi"/>
          <w:sz w:val="24"/>
          <w:lang w:val="pl-PL"/>
        </w:rPr>
        <w:t>oże</w:t>
      </w:r>
      <w:r w:rsidR="00792EF1" w:rsidRPr="00ED0C6A">
        <w:rPr>
          <w:rFonts w:asciiTheme="minorHAnsi" w:hAnsiTheme="minorHAnsi"/>
          <w:sz w:val="24"/>
          <w:lang w:val="pl-PL"/>
        </w:rPr>
        <w:t xml:space="preserve"> też </w:t>
      </w:r>
      <w:r w:rsidRPr="00ED0C6A">
        <w:rPr>
          <w:rFonts w:asciiTheme="minorHAnsi" w:hAnsiTheme="minorHAnsi"/>
          <w:sz w:val="24"/>
          <w:lang w:val="pl-PL"/>
        </w:rPr>
        <w:t xml:space="preserve">mieć </w:t>
      </w:r>
      <w:r w:rsidR="00792EF1" w:rsidRPr="00ED0C6A">
        <w:rPr>
          <w:rFonts w:asciiTheme="minorHAnsi" w:hAnsiTheme="minorHAnsi"/>
          <w:sz w:val="24"/>
          <w:lang w:val="pl-PL"/>
        </w:rPr>
        <w:t>znaczenie dla</w:t>
      </w:r>
      <w:r w:rsidR="0072154D">
        <w:rPr>
          <w:rFonts w:asciiTheme="minorHAnsi" w:hAnsiTheme="minorHAnsi"/>
          <w:sz w:val="24"/>
          <w:lang w:val="pl-PL"/>
        </w:rPr>
        <w:t> </w:t>
      </w:r>
      <w:r w:rsidR="00792EF1" w:rsidRPr="00ED0C6A">
        <w:rPr>
          <w:rFonts w:asciiTheme="minorHAnsi" w:hAnsiTheme="minorHAnsi"/>
          <w:sz w:val="24"/>
          <w:lang w:val="pl-PL"/>
        </w:rPr>
        <w:t>organów zajmujących się tworzeniem uregulowań dotyczących zwalczania handlu ludźmi.</w:t>
      </w:r>
    </w:p>
    <w:p w:rsidR="00846D69" w:rsidRPr="00ED0C6A" w:rsidRDefault="00846D69" w:rsidP="009333A7">
      <w:pPr>
        <w:pStyle w:val="Nagwek2"/>
        <w:spacing w:before="480"/>
        <w:rPr>
          <w:rFonts w:asciiTheme="minorHAnsi" w:hAnsiTheme="minorHAnsi"/>
          <w:color w:val="auto"/>
          <w:sz w:val="24"/>
          <w:szCs w:val="24"/>
        </w:rPr>
      </w:pPr>
      <w:bookmarkStart w:id="16" w:name="_Toc524696733"/>
      <w:proofErr w:type="spellStart"/>
      <w:r w:rsidRPr="00ED0C6A">
        <w:rPr>
          <w:rFonts w:asciiTheme="minorHAnsi" w:hAnsiTheme="minorHAnsi"/>
          <w:color w:val="auto"/>
          <w:sz w:val="24"/>
          <w:szCs w:val="24"/>
        </w:rPr>
        <w:t>Károly</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Nagy</w:t>
      </w:r>
      <w:proofErr w:type="spellEnd"/>
      <w:r w:rsidRPr="00ED0C6A">
        <w:rPr>
          <w:rFonts w:asciiTheme="minorHAnsi" w:hAnsiTheme="minorHAnsi"/>
          <w:color w:val="auto"/>
          <w:sz w:val="24"/>
          <w:szCs w:val="24"/>
        </w:rPr>
        <w:t xml:space="preserve"> p. Węgrom</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56665/09</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4570DC"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 14</w:t>
      </w:r>
      <w:r w:rsidR="00B4260D" w:rsidRPr="00ED0C6A">
        <w:rPr>
          <w:rFonts w:asciiTheme="minorHAnsi" w:hAnsiTheme="minorHAnsi"/>
          <w:color w:val="auto"/>
          <w:sz w:val="24"/>
          <w:szCs w:val="24"/>
        </w:rPr>
        <w:t xml:space="preserve"> września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16"/>
    </w:p>
    <w:p w:rsidR="00846D69" w:rsidRPr="00ED0C6A" w:rsidRDefault="003C1850"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brak zastosowalności </w:t>
      </w:r>
      <w:r w:rsidR="00846D69" w:rsidRPr="00ED0C6A">
        <w:rPr>
          <w:b/>
          <w:color w:val="000000" w:themeColor="text1"/>
          <w:sz w:val="24"/>
          <w:szCs w:val="24"/>
          <w:lang w:val="pl-PL"/>
        </w:rPr>
        <w:t xml:space="preserve">art. 6 </w:t>
      </w:r>
      <w:r w:rsidRPr="00ED0C6A">
        <w:rPr>
          <w:b/>
          <w:color w:val="000000" w:themeColor="text1"/>
          <w:sz w:val="24"/>
          <w:szCs w:val="24"/>
          <w:lang w:val="pl-PL"/>
        </w:rPr>
        <w:t>Konwencji (prawo do rzetelnego procesu sądowego – aspekt dostępu do sądu) a skarga niedopuszczalna w odniesieniu do stwierdzenia przez</w:t>
      </w:r>
      <w:r w:rsidR="0072154D">
        <w:rPr>
          <w:b/>
          <w:color w:val="000000" w:themeColor="text1"/>
          <w:sz w:val="24"/>
          <w:szCs w:val="24"/>
          <w:lang w:val="pl-PL"/>
        </w:rPr>
        <w:t> </w:t>
      </w:r>
      <w:r w:rsidRPr="00ED0C6A">
        <w:rPr>
          <w:b/>
          <w:color w:val="000000" w:themeColor="text1"/>
          <w:sz w:val="24"/>
          <w:szCs w:val="24"/>
          <w:lang w:val="pl-PL"/>
        </w:rPr>
        <w:t xml:space="preserve">Sąd Najwyższy, że sądy cywilne nie mają jurysdykcji do rozpoznania roszczenia pastora z tytułu niesłusznego zwolnienia przez kościół  </w:t>
      </w:r>
    </w:p>
    <w:p w:rsidR="009A1BDD"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Skarżący był pastorem zatrudnionym przez Węgierski Kościół Reformowany. W 2005 r. został zwolniony za komentarz, który wygłosił w lokalnej gazecie. Wniósł do sądu pracy powództwo o odszkodowanie przeciwko Kościołowi, ale postępowanie zostało umorzone z uwagi na brak jurysdykcji, ponieważ stosunek skarżącego z pracodawcą był uregulowany prawem kościelnym. Skarżący skierował następnie powództwo do sądów cywilnych, ale</w:t>
      </w:r>
      <w:r w:rsidR="0072154D">
        <w:rPr>
          <w:rFonts w:asciiTheme="minorHAnsi" w:hAnsiTheme="minorHAnsi"/>
          <w:sz w:val="24"/>
          <w:lang w:val="pl-PL"/>
        </w:rPr>
        <w:t> </w:t>
      </w:r>
      <w:r w:rsidRPr="00ED0C6A">
        <w:rPr>
          <w:rFonts w:asciiTheme="minorHAnsi" w:hAnsiTheme="minorHAnsi"/>
          <w:sz w:val="24"/>
          <w:lang w:val="pl-PL"/>
        </w:rPr>
        <w:t>to</w:t>
      </w:r>
      <w:r w:rsidR="0072154D">
        <w:rPr>
          <w:rFonts w:asciiTheme="minorHAnsi" w:hAnsiTheme="minorHAnsi"/>
          <w:sz w:val="24"/>
          <w:lang w:val="pl-PL"/>
        </w:rPr>
        <w:t> </w:t>
      </w:r>
      <w:r w:rsidRPr="00ED0C6A">
        <w:rPr>
          <w:rFonts w:asciiTheme="minorHAnsi" w:hAnsiTheme="minorHAnsi"/>
          <w:sz w:val="24"/>
          <w:lang w:val="pl-PL"/>
        </w:rPr>
        <w:t>postępowanie również zostało ostatecznie umorzone – po tym jak Sąd Najwyższy, po</w:t>
      </w:r>
      <w:r w:rsidR="0072154D">
        <w:rPr>
          <w:rFonts w:asciiTheme="minorHAnsi" w:hAnsiTheme="minorHAnsi"/>
          <w:sz w:val="24"/>
          <w:lang w:val="pl-PL"/>
        </w:rPr>
        <w:t> </w:t>
      </w:r>
      <w:r w:rsidRPr="00ED0C6A">
        <w:rPr>
          <w:rFonts w:asciiTheme="minorHAnsi" w:hAnsiTheme="minorHAnsi"/>
          <w:sz w:val="24"/>
          <w:lang w:val="pl-PL"/>
        </w:rPr>
        <w:t xml:space="preserve">przeanalizowaniu stosunku umownego, orzekł, że sądy cywilne również nie mają jurysdykcji. </w:t>
      </w:r>
    </w:p>
    <w:p w:rsidR="009A1BDD" w:rsidRPr="00ED0C6A" w:rsidRDefault="009A1BDD" w:rsidP="00380783">
      <w:pPr>
        <w:pStyle w:val="ClinContent"/>
        <w:spacing w:before="0"/>
        <w:rPr>
          <w:rFonts w:asciiTheme="minorHAnsi" w:hAnsiTheme="minorHAnsi"/>
          <w:sz w:val="24"/>
          <w:lang w:val="pl-PL"/>
        </w:rPr>
      </w:pPr>
    </w:p>
    <w:p w:rsidR="009A1BDD"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Skarżący twierdził przed Trybunałem, że orzeczenie Sądu Najwyższego stwierdzające, że sądy państwowe nie mają jurysdykcji, pozbawiło go dostępu do sądu z naruszeniem art. 6 ust. 1 Konwencji.</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Wyrokiem z dnia 1 grudnia 2015 r. Izba Trybunału orzekła, czterema głosami do trzech, że</w:t>
      </w:r>
      <w:r w:rsidR="0072154D">
        <w:rPr>
          <w:rFonts w:asciiTheme="minorHAnsi" w:hAnsiTheme="minorHAnsi"/>
          <w:sz w:val="24"/>
          <w:lang w:val="pl-PL"/>
        </w:rPr>
        <w:t> </w:t>
      </w:r>
      <w:r w:rsidRPr="00ED0C6A">
        <w:rPr>
          <w:rFonts w:asciiTheme="minorHAnsi" w:hAnsiTheme="minorHAnsi"/>
          <w:sz w:val="24"/>
          <w:lang w:val="pl-PL"/>
        </w:rPr>
        <w:t>nie doszło do naruszenia art. 6 ust. 1. Izba Trybunału stwierdziła, że – chociaż Sąd</w:t>
      </w:r>
      <w:r w:rsidR="0072154D">
        <w:rPr>
          <w:rFonts w:asciiTheme="minorHAnsi" w:hAnsiTheme="minorHAnsi"/>
          <w:sz w:val="24"/>
          <w:lang w:val="pl-PL"/>
        </w:rPr>
        <w:t> </w:t>
      </w:r>
      <w:r w:rsidRPr="00ED0C6A">
        <w:rPr>
          <w:rFonts w:asciiTheme="minorHAnsi" w:hAnsiTheme="minorHAnsi"/>
          <w:sz w:val="24"/>
          <w:lang w:val="pl-PL"/>
        </w:rPr>
        <w:t>Najwyższy orzekł, że sądy państwowe nie mają jurysdykcji do rozpoznania roszczenia skarżącego – faktycznie zbadał on roszczenie w świetle właściwych zasad prawnych krajowego prawa kontraktowego. Skarżący nie może zatem twierdzić, że został pozbawiony prawa do rozpatrzenia istoty swego roszczenia. W dniu 2 maja 2016 r. sprawa została przekazana do Wielkiej Izby na wniosek skarżącego.</w:t>
      </w:r>
    </w:p>
    <w:p w:rsidR="009A1BDD" w:rsidRPr="00ED0C6A" w:rsidRDefault="009A1BDD" w:rsidP="00380783">
      <w:pPr>
        <w:pStyle w:val="ClinContent"/>
        <w:spacing w:before="0"/>
        <w:rPr>
          <w:rFonts w:asciiTheme="minorHAnsi" w:hAnsiTheme="minorHAnsi"/>
          <w:i/>
          <w:sz w:val="24"/>
          <w:lang w:val="pl-PL"/>
        </w:rPr>
      </w:pPr>
    </w:p>
    <w:p w:rsidR="00AF1E9A" w:rsidRPr="00ED0C6A" w:rsidRDefault="009A1BDD" w:rsidP="00380783">
      <w:pPr>
        <w:pStyle w:val="ClinContent"/>
        <w:spacing w:before="0"/>
        <w:rPr>
          <w:rFonts w:asciiTheme="minorHAnsi" w:hAnsiTheme="minorHAnsi"/>
          <w:sz w:val="24"/>
          <w:lang w:val="pl-PL"/>
        </w:rPr>
      </w:pPr>
      <w:r w:rsidRPr="00ED0C6A">
        <w:rPr>
          <w:rFonts w:asciiTheme="minorHAnsi" w:hAnsiTheme="minorHAnsi"/>
          <w:sz w:val="24"/>
          <w:lang w:val="pl-PL"/>
        </w:rPr>
        <w:t>Trybunał przypomniał, że aby a</w:t>
      </w:r>
      <w:r w:rsidR="00846D69" w:rsidRPr="00ED0C6A">
        <w:rPr>
          <w:rFonts w:asciiTheme="minorHAnsi" w:hAnsiTheme="minorHAnsi"/>
          <w:sz w:val="24"/>
          <w:lang w:val="pl-PL"/>
        </w:rPr>
        <w:t>rt. 6 ust. 1</w:t>
      </w:r>
      <w:r w:rsidRPr="00ED0C6A">
        <w:rPr>
          <w:rFonts w:asciiTheme="minorHAnsi" w:hAnsiTheme="minorHAnsi"/>
          <w:sz w:val="24"/>
          <w:lang w:val="pl-PL"/>
        </w:rPr>
        <w:t xml:space="preserve"> Konwencji (prawo do rzetelnego procesu sądowego) </w:t>
      </w:r>
      <w:r w:rsidR="00846D69" w:rsidRPr="00ED0C6A">
        <w:rPr>
          <w:rFonts w:asciiTheme="minorHAnsi" w:hAnsiTheme="minorHAnsi"/>
          <w:sz w:val="24"/>
          <w:lang w:val="pl-PL"/>
        </w:rPr>
        <w:t>miał zastosowanie</w:t>
      </w:r>
      <w:r w:rsidRPr="00ED0C6A">
        <w:rPr>
          <w:rFonts w:asciiTheme="minorHAnsi" w:hAnsiTheme="minorHAnsi"/>
          <w:sz w:val="24"/>
          <w:lang w:val="pl-PL"/>
        </w:rPr>
        <w:t xml:space="preserve"> w swym aspekcie cywilnym</w:t>
      </w:r>
      <w:r w:rsidR="00846D69" w:rsidRPr="00ED0C6A">
        <w:rPr>
          <w:rFonts w:asciiTheme="minorHAnsi" w:hAnsiTheme="minorHAnsi"/>
          <w:sz w:val="24"/>
          <w:lang w:val="pl-PL"/>
        </w:rPr>
        <w:t xml:space="preserve">, musi istnieć spór </w:t>
      </w:r>
      <w:proofErr w:type="spellStart"/>
      <w:r w:rsidR="00846D69" w:rsidRPr="00ED0C6A">
        <w:rPr>
          <w:rFonts w:asciiTheme="minorHAnsi" w:hAnsiTheme="minorHAnsi"/>
          <w:sz w:val="24"/>
          <w:lang w:val="pl-PL"/>
        </w:rPr>
        <w:t>ws</w:t>
      </w:r>
      <w:proofErr w:type="spellEnd"/>
      <w:r w:rsidR="00846D69" w:rsidRPr="00ED0C6A">
        <w:rPr>
          <w:rFonts w:asciiTheme="minorHAnsi" w:hAnsiTheme="minorHAnsi"/>
          <w:sz w:val="24"/>
          <w:lang w:val="pl-PL"/>
        </w:rPr>
        <w:t>. „prawa”, o</w:t>
      </w:r>
      <w:r w:rsidR="0072154D">
        <w:rPr>
          <w:rFonts w:asciiTheme="minorHAnsi" w:hAnsiTheme="minorHAnsi"/>
          <w:sz w:val="24"/>
          <w:lang w:val="pl-PL"/>
        </w:rPr>
        <w:t> </w:t>
      </w:r>
      <w:r w:rsidR="00846D69" w:rsidRPr="00ED0C6A">
        <w:rPr>
          <w:rFonts w:asciiTheme="minorHAnsi" w:hAnsiTheme="minorHAnsi"/>
          <w:sz w:val="24"/>
          <w:lang w:val="pl-PL"/>
        </w:rPr>
        <w:t xml:space="preserve">którym można powiedzieć, przynajmniej na zasadzie spornej, że jest ono uznane w prawie krajowym, niezależnie od tego, czy prawo to jest chronione Konwencją. </w:t>
      </w:r>
    </w:p>
    <w:p w:rsidR="00AF1E9A" w:rsidRPr="00ED0C6A" w:rsidRDefault="00AF1E9A" w:rsidP="00380783">
      <w:pPr>
        <w:pStyle w:val="ClinContent"/>
        <w:spacing w:before="0"/>
        <w:rPr>
          <w:rFonts w:asciiTheme="minorHAnsi" w:hAnsiTheme="minorHAnsi"/>
          <w:sz w:val="24"/>
          <w:lang w:val="pl-PL"/>
        </w:rPr>
      </w:pPr>
    </w:p>
    <w:p w:rsidR="00AF1E9A"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Punktem wyjścia dla rozstrzygnięcia, czy przedmiotowe „prawo” ma rzeczywiście podstawę w prawie krajowym, muszą być postanowienia właściwego prawa krajowego i ich wykładnia przez sądy krajowe. Poza przypadkami oczywistej arbitralności do Trybunału nie należy kwestionowanie wykładni prawa krajowego dokonywanej przez sądy krajowe. Aby ocenić, czy art. 6 ust. 1 ma zastosowanie, należy wziąć pod uwagę to prawo, które było dochodzone przez powoda w postępowaniu krajowym. W przypadku istnienia rzeczywistego i poważnego sporu co do istnienia prawa dochodzonego przez powoda na podstawie prawa krajowego, rozstrzygnięcie sądów krajowych, że prawo takie nie istnieje, nie usuwa z mocną wsteczną sporności roszczenia.</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2724DB" w:rsidRPr="00ED0C6A" w:rsidRDefault="00AF1E9A" w:rsidP="00380783">
      <w:pPr>
        <w:pStyle w:val="ClinContent"/>
        <w:spacing w:before="0"/>
        <w:rPr>
          <w:rFonts w:asciiTheme="minorHAnsi" w:hAnsiTheme="minorHAnsi"/>
          <w:sz w:val="24"/>
          <w:lang w:val="pl-PL"/>
        </w:rPr>
      </w:pPr>
      <w:r w:rsidRPr="00ED0C6A">
        <w:rPr>
          <w:rFonts w:asciiTheme="minorHAnsi" w:hAnsiTheme="minorHAnsi"/>
          <w:sz w:val="24"/>
          <w:lang w:val="pl-PL"/>
        </w:rPr>
        <w:t>Trybunał zauważył, że w obecnej sprawie k</w:t>
      </w:r>
      <w:r w:rsidR="00846D69" w:rsidRPr="00ED0C6A">
        <w:rPr>
          <w:rFonts w:asciiTheme="minorHAnsi" w:hAnsiTheme="minorHAnsi"/>
          <w:sz w:val="24"/>
          <w:lang w:val="pl-PL"/>
        </w:rPr>
        <w:t>westią bezsporną był fakt, że zgodnie z prawem krajowym roszczenia dotyczące wewnętrznych przepisów kościelnych nie mogą być</w:t>
      </w:r>
      <w:r w:rsidR="0072154D">
        <w:rPr>
          <w:rFonts w:asciiTheme="minorHAnsi" w:hAnsiTheme="minorHAnsi"/>
          <w:sz w:val="24"/>
          <w:lang w:val="pl-PL"/>
        </w:rPr>
        <w:t> </w:t>
      </w:r>
      <w:r w:rsidR="00846D69" w:rsidRPr="00ED0C6A">
        <w:rPr>
          <w:rFonts w:asciiTheme="minorHAnsi" w:hAnsiTheme="minorHAnsi"/>
          <w:sz w:val="24"/>
          <w:lang w:val="pl-PL"/>
        </w:rPr>
        <w:t xml:space="preserve">egzekwowane przez organy państwowe. Nie było ponadto kwestionowane, że w razie ustalenia przez sądy, że zawisły spór dotyczy roszczeń natury kościelnej nie podlegających egzekwowaniu przez organy krajowe, muszą one zakończyć postępowanie. </w:t>
      </w:r>
    </w:p>
    <w:p w:rsidR="002724DB" w:rsidRPr="00ED0C6A" w:rsidRDefault="002724DB" w:rsidP="00380783">
      <w:pPr>
        <w:pStyle w:val="ClinContent"/>
        <w:spacing w:before="0"/>
        <w:rPr>
          <w:rFonts w:asciiTheme="minorHAnsi" w:hAnsiTheme="minorHAnsi"/>
          <w:sz w:val="24"/>
          <w:lang w:val="pl-PL"/>
        </w:rPr>
      </w:pP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Główna kwestia, która pojawiła się przed sądami krajowymi, dotyczyła zatem tego, jaki</w:t>
      </w:r>
      <w:r w:rsidR="0072154D">
        <w:rPr>
          <w:rFonts w:asciiTheme="minorHAnsi" w:hAnsiTheme="minorHAnsi"/>
          <w:sz w:val="24"/>
          <w:lang w:val="pl-PL"/>
        </w:rPr>
        <w:t> </w:t>
      </w:r>
      <w:r w:rsidRPr="00ED0C6A">
        <w:rPr>
          <w:rFonts w:asciiTheme="minorHAnsi" w:hAnsiTheme="minorHAnsi"/>
          <w:sz w:val="24"/>
          <w:lang w:val="pl-PL"/>
        </w:rPr>
        <w:t xml:space="preserve">dokładnie charakter miał stosunek istniejący między skarżącym a Kościołem Reformowanym.  </w:t>
      </w:r>
    </w:p>
    <w:p w:rsidR="002724DB" w:rsidRPr="00ED0C6A" w:rsidRDefault="002724DB" w:rsidP="00380783">
      <w:pPr>
        <w:pStyle w:val="ClinContent"/>
        <w:spacing w:before="0"/>
        <w:rPr>
          <w:rFonts w:asciiTheme="minorHAnsi" w:hAnsiTheme="minorHAnsi"/>
          <w:sz w:val="24"/>
          <w:lang w:val="pl-PL"/>
        </w:rPr>
      </w:pPr>
    </w:p>
    <w:p w:rsidR="00846D69" w:rsidRPr="00ED0C6A" w:rsidRDefault="002724DB" w:rsidP="00380783">
      <w:pPr>
        <w:pStyle w:val="ClinContent"/>
        <w:spacing w:before="0"/>
        <w:rPr>
          <w:rFonts w:asciiTheme="minorHAnsi" w:hAnsiTheme="minorHAnsi"/>
          <w:sz w:val="24"/>
          <w:lang w:val="pl-PL"/>
        </w:rPr>
      </w:pPr>
      <w:r w:rsidRPr="00ED0C6A">
        <w:rPr>
          <w:rFonts w:asciiTheme="minorHAnsi" w:hAnsiTheme="minorHAnsi"/>
          <w:sz w:val="24"/>
          <w:lang w:val="pl-PL"/>
        </w:rPr>
        <w:t>Trybunał odnotował, że p</w:t>
      </w:r>
      <w:r w:rsidR="00846D69" w:rsidRPr="00ED0C6A">
        <w:rPr>
          <w:rFonts w:asciiTheme="minorHAnsi" w:hAnsiTheme="minorHAnsi"/>
          <w:sz w:val="24"/>
          <w:lang w:val="pl-PL"/>
        </w:rPr>
        <w:t>osługa skarżącego na rzecz Kościoła miała swą podstawę w akcie powołania wydanym przez probostwo parafii, którym przydzielono mu stanowisko pastora Węgierskiego Kościoła Reformowanego. Zgodnie z brzmieniem aktu powołania skarżącemu powierzono wykonywanie zadań „określonych przez przepisy kościelne”. Zamiast jednak zwrócić się ze swymi roszczeniami majątkowymi do sądów kościelnych, wszczął on</w:t>
      </w:r>
      <w:r w:rsidR="0072154D">
        <w:rPr>
          <w:rFonts w:asciiTheme="minorHAnsi" w:hAnsiTheme="minorHAnsi"/>
          <w:sz w:val="24"/>
          <w:lang w:val="pl-PL"/>
        </w:rPr>
        <w:t> </w:t>
      </w:r>
      <w:r w:rsidR="00846D69" w:rsidRPr="00ED0C6A">
        <w:rPr>
          <w:rFonts w:asciiTheme="minorHAnsi" w:hAnsiTheme="minorHAnsi"/>
          <w:sz w:val="24"/>
          <w:lang w:val="pl-PL"/>
        </w:rPr>
        <w:t>postępowanie przed sądem pracy. Gdy postępowanie to zostało umorzone, zwrócił się do</w:t>
      </w:r>
      <w:r w:rsidR="0072154D">
        <w:rPr>
          <w:rFonts w:asciiTheme="minorHAnsi" w:hAnsiTheme="minorHAnsi"/>
          <w:sz w:val="24"/>
          <w:lang w:val="pl-PL"/>
        </w:rPr>
        <w:t> </w:t>
      </w:r>
      <w:r w:rsidR="00846D69" w:rsidRPr="00ED0C6A">
        <w:rPr>
          <w:rFonts w:asciiTheme="minorHAnsi" w:hAnsiTheme="minorHAnsi"/>
          <w:sz w:val="24"/>
          <w:lang w:val="pl-PL"/>
        </w:rPr>
        <w:t>sądów cywilnych. Po szczegółowym zbadaniu kwestii jurysdykcji sądów państwowych oraz prawa dostępu do sądu osób pełniących posługę na rzecz Kościoła, wszystkie sądy krajowe umorzyły postępowania, uznając, że roszczenie skarżącego nie może być</w:t>
      </w:r>
      <w:r w:rsidR="0072154D">
        <w:rPr>
          <w:rFonts w:asciiTheme="minorHAnsi" w:hAnsiTheme="minorHAnsi"/>
          <w:sz w:val="24"/>
          <w:lang w:val="pl-PL"/>
        </w:rPr>
        <w:t> </w:t>
      </w:r>
      <w:r w:rsidR="00846D69" w:rsidRPr="00ED0C6A">
        <w:rPr>
          <w:rFonts w:asciiTheme="minorHAnsi" w:hAnsiTheme="minorHAnsi"/>
          <w:sz w:val="24"/>
          <w:lang w:val="pl-PL"/>
        </w:rPr>
        <w:t>egzekwowane przed sądami krajowymi, ponieważ jego posługa duszpasterska i</w:t>
      </w:r>
      <w:r w:rsidR="0072154D">
        <w:rPr>
          <w:rFonts w:asciiTheme="minorHAnsi" w:hAnsiTheme="minorHAnsi"/>
          <w:sz w:val="24"/>
          <w:lang w:val="pl-PL"/>
        </w:rPr>
        <w:t> </w:t>
      </w:r>
      <w:r w:rsidR="00846D69" w:rsidRPr="00ED0C6A">
        <w:rPr>
          <w:rFonts w:asciiTheme="minorHAnsi" w:hAnsiTheme="minorHAnsi"/>
          <w:sz w:val="24"/>
          <w:lang w:val="pl-PL"/>
        </w:rPr>
        <w:t>akt</w:t>
      </w:r>
      <w:r w:rsidR="0072154D">
        <w:rPr>
          <w:rFonts w:asciiTheme="minorHAnsi" w:hAnsiTheme="minorHAnsi"/>
          <w:sz w:val="24"/>
          <w:lang w:val="pl-PL"/>
        </w:rPr>
        <w:t> </w:t>
      </w:r>
      <w:r w:rsidR="00846D69" w:rsidRPr="00ED0C6A">
        <w:rPr>
          <w:rFonts w:asciiTheme="minorHAnsi" w:hAnsiTheme="minorHAnsi"/>
          <w:sz w:val="24"/>
          <w:lang w:val="pl-PL"/>
        </w:rPr>
        <w:t>powołania, który był jej podstawą, podlegały prawu kościelnemu a nie państwowemu. Sąd Najwyższy potwierdził, że stosunek istniejący między skarżącym a Kościołem miał charakter kościelny.</w:t>
      </w:r>
    </w:p>
    <w:p w:rsidR="00D315FA" w:rsidRPr="00ED0C6A" w:rsidRDefault="00D315FA" w:rsidP="00380783">
      <w:pPr>
        <w:pStyle w:val="ClinContent"/>
        <w:spacing w:before="0"/>
        <w:rPr>
          <w:rFonts w:asciiTheme="minorHAnsi" w:hAnsiTheme="minorHAnsi"/>
          <w:sz w:val="24"/>
          <w:lang w:val="pl-PL"/>
        </w:rPr>
      </w:pP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Ustawodawstwo krajowe nie zapewniało kościołom ani ich przedstawicielom nieskrępowanego immunitetu chroniącego przed wszystkimi możliwymi roszczeniami cywilnymi. Roszczenie skarżącego nie dotyczyło uprawnienia ustawowego. Dotyczyło natomiast twierdzenia, że roszczenie finansowe wynikające z jego posługi na rzecz Kościoła, regulowanej prawem kościelnym, należało uważać za podlegające w rzeczywistości prawu cywilnemu. Po dokładnym zbadaniu charakteru jego roszczenia sądy krajowe, w zakresie, w</w:t>
      </w:r>
      <w:r w:rsidR="0072154D">
        <w:rPr>
          <w:rFonts w:asciiTheme="minorHAnsi" w:hAnsiTheme="minorHAnsi"/>
          <w:sz w:val="24"/>
          <w:lang w:val="pl-PL"/>
        </w:rPr>
        <w:t> </w:t>
      </w:r>
      <w:r w:rsidRPr="00ED0C6A">
        <w:rPr>
          <w:rFonts w:asciiTheme="minorHAnsi" w:hAnsiTheme="minorHAnsi"/>
          <w:sz w:val="24"/>
          <w:lang w:val="pl-PL"/>
        </w:rPr>
        <w:t xml:space="preserve">jakim zajmowały się istotą sprawy, jednomyślnie orzekły, że zgodnie z </w:t>
      </w:r>
      <w:r w:rsidR="00FC7B0C" w:rsidRPr="00ED0C6A">
        <w:rPr>
          <w:rFonts w:asciiTheme="minorHAnsi" w:hAnsiTheme="minorHAnsi"/>
          <w:sz w:val="24"/>
          <w:lang w:val="pl-PL"/>
        </w:rPr>
        <w:t xml:space="preserve">brzmieniem </w:t>
      </w:r>
      <w:r w:rsidRPr="00ED0C6A">
        <w:rPr>
          <w:rFonts w:asciiTheme="minorHAnsi" w:hAnsiTheme="minorHAnsi"/>
          <w:sz w:val="24"/>
          <w:lang w:val="pl-PL"/>
        </w:rPr>
        <w:t>prawa krajowego</w:t>
      </w:r>
      <w:r w:rsidR="00E657E9" w:rsidRPr="00ED0C6A">
        <w:rPr>
          <w:rFonts w:asciiTheme="minorHAnsi" w:hAnsiTheme="minorHAnsi"/>
          <w:sz w:val="24"/>
          <w:lang w:val="pl-PL"/>
        </w:rPr>
        <w:t xml:space="preserve"> nie miało to miejsca</w:t>
      </w:r>
      <w:r w:rsidRPr="00ED0C6A">
        <w:rPr>
          <w:rFonts w:asciiTheme="minorHAnsi" w:hAnsiTheme="minorHAnsi"/>
          <w:sz w:val="24"/>
          <w:lang w:val="pl-PL"/>
        </w:rPr>
        <w:t xml:space="preserve">. </w:t>
      </w:r>
    </w:p>
    <w:p w:rsidR="00CA6470" w:rsidRPr="00ED0C6A" w:rsidRDefault="00CA6470" w:rsidP="00380783">
      <w:pPr>
        <w:pStyle w:val="ClinContent"/>
        <w:spacing w:before="0"/>
        <w:rPr>
          <w:rFonts w:asciiTheme="minorHAnsi" w:hAnsiTheme="minorHAnsi"/>
          <w:sz w:val="24"/>
          <w:lang w:val="pl-PL"/>
        </w:rPr>
      </w:pPr>
    </w:p>
    <w:p w:rsidR="00846D69" w:rsidRPr="00ED0C6A" w:rsidRDefault="00CA6470"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Trybunał uznał, że </w:t>
      </w:r>
      <w:r w:rsidR="00846D69" w:rsidRPr="00ED0C6A">
        <w:rPr>
          <w:rFonts w:asciiTheme="minorHAnsi" w:hAnsiTheme="minorHAnsi"/>
          <w:sz w:val="24"/>
          <w:lang w:val="pl-PL"/>
        </w:rPr>
        <w:t xml:space="preserve">rozstrzygnięcie sądów krajowych, zgodnie z którym posługa duszpasterska skarżącego podlegała prawu kościelnemu, oraz ich postanowienie o umorzeniu postępowania nie mogą być uznane za arbitralne lub w </w:t>
      </w:r>
      <w:r w:rsidR="00CD4664" w:rsidRPr="00ED0C6A">
        <w:rPr>
          <w:rFonts w:asciiTheme="minorHAnsi" w:hAnsiTheme="minorHAnsi"/>
          <w:sz w:val="24"/>
          <w:lang w:val="pl-PL"/>
        </w:rPr>
        <w:t>sposób oczywisty nieuzasadnione - zważywszy na ogólne ramy prawne i orzecznicze istniejące na Węgrzech w przedmiotowym czasie, tj. gdy skarżący złożył swe powództwo cywilne.</w:t>
      </w:r>
    </w:p>
    <w:p w:rsidR="00CA6470" w:rsidRPr="00ED0C6A" w:rsidRDefault="00CA6470" w:rsidP="00380783">
      <w:pPr>
        <w:pStyle w:val="ClinContent"/>
        <w:spacing w:before="0"/>
        <w:rPr>
          <w:rFonts w:asciiTheme="minorHAnsi" w:hAnsiTheme="minorHAnsi"/>
          <w:sz w:val="24"/>
          <w:lang w:val="pl-PL"/>
        </w:rPr>
      </w:pP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W rezultacie, mając na względzie naturę zarzutu skarżącego, podstawę jego posługi jako</w:t>
      </w:r>
      <w:r w:rsidR="0072154D">
        <w:rPr>
          <w:rFonts w:asciiTheme="minorHAnsi" w:hAnsiTheme="minorHAnsi"/>
          <w:sz w:val="24"/>
          <w:lang w:val="pl-PL"/>
        </w:rPr>
        <w:t> </w:t>
      </w:r>
      <w:r w:rsidRPr="00ED0C6A">
        <w:rPr>
          <w:rFonts w:asciiTheme="minorHAnsi" w:hAnsiTheme="minorHAnsi"/>
          <w:sz w:val="24"/>
          <w:lang w:val="pl-PL"/>
        </w:rPr>
        <w:t xml:space="preserve">pastora, a także prawo krajowe w świetle jego </w:t>
      </w:r>
      <w:r w:rsidR="00E657E9" w:rsidRPr="00ED0C6A">
        <w:rPr>
          <w:rFonts w:asciiTheme="minorHAnsi" w:hAnsiTheme="minorHAnsi"/>
          <w:sz w:val="24"/>
          <w:lang w:val="pl-PL"/>
        </w:rPr>
        <w:t>wykładni</w:t>
      </w:r>
      <w:r w:rsidRPr="00ED0C6A">
        <w:rPr>
          <w:rFonts w:asciiTheme="minorHAnsi" w:hAnsiTheme="minorHAnsi"/>
          <w:sz w:val="24"/>
          <w:lang w:val="pl-PL"/>
        </w:rPr>
        <w:t xml:space="preserve"> przez sądy krajowe, </w:t>
      </w:r>
      <w:r w:rsidR="00CD4664" w:rsidRPr="00ED0C6A">
        <w:rPr>
          <w:rFonts w:asciiTheme="minorHAnsi" w:hAnsiTheme="minorHAnsi"/>
          <w:sz w:val="24"/>
          <w:lang w:val="pl-PL"/>
        </w:rPr>
        <w:t>Trybunał</w:t>
      </w:r>
      <w:r w:rsidR="0072154D">
        <w:rPr>
          <w:rFonts w:asciiTheme="minorHAnsi" w:hAnsiTheme="minorHAnsi"/>
          <w:sz w:val="24"/>
          <w:lang w:val="pl-PL"/>
        </w:rPr>
        <w:t> </w:t>
      </w:r>
      <w:r w:rsidR="00CD4664" w:rsidRPr="00ED0C6A">
        <w:rPr>
          <w:rFonts w:asciiTheme="minorHAnsi" w:hAnsiTheme="minorHAnsi"/>
          <w:sz w:val="24"/>
          <w:lang w:val="pl-PL"/>
        </w:rPr>
        <w:t xml:space="preserve">stwierdził, że </w:t>
      </w:r>
      <w:r w:rsidRPr="00ED0C6A">
        <w:rPr>
          <w:rFonts w:asciiTheme="minorHAnsi" w:hAnsiTheme="minorHAnsi"/>
          <w:sz w:val="24"/>
          <w:lang w:val="pl-PL"/>
        </w:rPr>
        <w:t>skarżący nie miał „prawa”, o którym można byłoby powiedzieć, przynajmniej na zasadzie spornej, że było uznane przez prawo krajowe. Przeciwne stwierdzenie skutkowałoby stworzeniem przez Trybunał, poprzez wykładnię art. 6 ust. 1</w:t>
      </w:r>
      <w:r w:rsidR="00CD4664" w:rsidRPr="00ED0C6A">
        <w:rPr>
          <w:rFonts w:asciiTheme="minorHAnsi" w:hAnsiTheme="minorHAnsi"/>
          <w:sz w:val="24"/>
          <w:lang w:val="pl-PL"/>
        </w:rPr>
        <w:t xml:space="preserve"> Konwencji</w:t>
      </w:r>
      <w:r w:rsidRPr="00ED0C6A">
        <w:rPr>
          <w:rFonts w:asciiTheme="minorHAnsi" w:hAnsiTheme="minorHAnsi"/>
          <w:sz w:val="24"/>
          <w:lang w:val="pl-PL"/>
        </w:rPr>
        <w:t>, prawa materialnego, które nie miało podstawy prawnej w pozwanym Państwie. A</w:t>
      </w:r>
      <w:r w:rsidR="0072154D">
        <w:rPr>
          <w:rFonts w:asciiTheme="minorHAnsi" w:hAnsiTheme="minorHAnsi"/>
          <w:sz w:val="24"/>
          <w:lang w:val="pl-PL"/>
        </w:rPr>
        <w:t> </w:t>
      </w:r>
      <w:r w:rsidRPr="00ED0C6A">
        <w:rPr>
          <w:rFonts w:asciiTheme="minorHAnsi" w:hAnsiTheme="minorHAnsi"/>
          <w:sz w:val="24"/>
          <w:lang w:val="pl-PL"/>
        </w:rPr>
        <w:t xml:space="preserve">zatem art. 6 nie miał zastosowania do stanu faktycznego sprawy skarżącego, a skarga jest niezgodna </w:t>
      </w:r>
      <w:r w:rsidRPr="00ED0C6A">
        <w:rPr>
          <w:rFonts w:asciiTheme="minorHAnsi" w:hAnsiTheme="minorHAnsi"/>
          <w:i/>
          <w:sz w:val="24"/>
          <w:lang w:val="pl-PL"/>
        </w:rPr>
        <w:t xml:space="preserve">ratione materiae </w:t>
      </w:r>
      <w:r w:rsidRPr="00ED0C6A">
        <w:rPr>
          <w:rFonts w:asciiTheme="minorHAnsi" w:hAnsiTheme="minorHAnsi"/>
          <w:sz w:val="24"/>
          <w:lang w:val="pl-PL"/>
        </w:rPr>
        <w:t xml:space="preserve">z postanowieniami Konwencji. </w:t>
      </w:r>
      <w:r w:rsidR="00CD4664" w:rsidRPr="00ED0C6A">
        <w:rPr>
          <w:rFonts w:asciiTheme="minorHAnsi" w:hAnsiTheme="minorHAnsi"/>
          <w:sz w:val="24"/>
          <w:lang w:val="pl-PL"/>
        </w:rPr>
        <w:t xml:space="preserve">Trybunał orzekł, dziesięcioma głosami do siedmiu, że </w:t>
      </w:r>
      <w:r w:rsidR="0016224A" w:rsidRPr="00ED0C6A">
        <w:rPr>
          <w:rFonts w:asciiTheme="minorHAnsi" w:hAnsiTheme="minorHAnsi"/>
          <w:sz w:val="24"/>
          <w:lang w:val="pl-PL"/>
        </w:rPr>
        <w:t xml:space="preserve">obecna </w:t>
      </w:r>
      <w:r w:rsidRPr="00ED0C6A">
        <w:rPr>
          <w:rFonts w:asciiTheme="minorHAnsi" w:hAnsiTheme="minorHAnsi"/>
          <w:sz w:val="24"/>
          <w:lang w:val="pl-PL"/>
        </w:rPr>
        <w:t xml:space="preserve">skarga </w:t>
      </w:r>
      <w:r w:rsidR="00CD4664" w:rsidRPr="00ED0C6A">
        <w:rPr>
          <w:rFonts w:asciiTheme="minorHAnsi" w:hAnsiTheme="minorHAnsi"/>
          <w:sz w:val="24"/>
          <w:lang w:val="pl-PL"/>
        </w:rPr>
        <w:t xml:space="preserve">jest zatem </w:t>
      </w:r>
      <w:r w:rsidRPr="00ED0C6A">
        <w:rPr>
          <w:rFonts w:asciiTheme="minorHAnsi" w:hAnsiTheme="minorHAnsi"/>
          <w:sz w:val="24"/>
          <w:lang w:val="pl-PL"/>
        </w:rPr>
        <w:t>niedopuszcz</w:t>
      </w:r>
      <w:r w:rsidR="00CD4664" w:rsidRPr="00ED0C6A">
        <w:rPr>
          <w:rFonts w:asciiTheme="minorHAnsi" w:hAnsiTheme="minorHAnsi"/>
          <w:sz w:val="24"/>
          <w:lang w:val="pl-PL"/>
        </w:rPr>
        <w:t>alna</w:t>
      </w:r>
      <w:r w:rsidRPr="00ED0C6A">
        <w:rPr>
          <w:rFonts w:asciiTheme="minorHAnsi" w:hAnsiTheme="minorHAnsi"/>
          <w:sz w:val="24"/>
          <w:lang w:val="pl-PL"/>
        </w:rPr>
        <w:t>.</w:t>
      </w:r>
    </w:p>
    <w:p w:rsidR="00DA26A7" w:rsidRPr="00ED0C6A" w:rsidRDefault="00FA2E8B" w:rsidP="00846D69">
      <w:pPr>
        <w:pStyle w:val="ClinContent"/>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Wyrok podtrzymuje wcześniejszą linię orzeczniczą Trybunału ukształtowaną m.in. wyrokiem Wielkiej Izby w sprawie </w:t>
      </w:r>
      <w:proofErr w:type="spellStart"/>
      <w:r w:rsidR="00DA26A7" w:rsidRPr="00ED0C6A">
        <w:rPr>
          <w:rFonts w:asciiTheme="minorHAnsi" w:hAnsiTheme="minorHAnsi"/>
          <w:i/>
          <w:sz w:val="24"/>
          <w:lang w:val="pl-PL"/>
        </w:rPr>
        <w:t>Sindicatul</w:t>
      </w:r>
      <w:proofErr w:type="spellEnd"/>
      <w:r w:rsidR="00DA26A7" w:rsidRPr="00ED0C6A">
        <w:rPr>
          <w:rFonts w:asciiTheme="minorHAnsi" w:hAnsiTheme="minorHAnsi"/>
          <w:i/>
          <w:sz w:val="24"/>
          <w:lang w:val="pl-PL"/>
        </w:rPr>
        <w:t xml:space="preserve"> “</w:t>
      </w:r>
      <w:proofErr w:type="spellStart"/>
      <w:r w:rsidR="00DA26A7" w:rsidRPr="00ED0C6A">
        <w:rPr>
          <w:rFonts w:asciiTheme="minorHAnsi" w:hAnsiTheme="minorHAnsi"/>
          <w:i/>
          <w:sz w:val="24"/>
          <w:lang w:val="pl-PL"/>
        </w:rPr>
        <w:t>Păstorul</w:t>
      </w:r>
      <w:proofErr w:type="spellEnd"/>
      <w:r w:rsidR="00DA26A7" w:rsidRPr="00ED0C6A">
        <w:rPr>
          <w:rFonts w:asciiTheme="minorHAnsi" w:hAnsiTheme="minorHAnsi"/>
          <w:i/>
          <w:sz w:val="24"/>
          <w:lang w:val="pl-PL"/>
        </w:rPr>
        <w:t xml:space="preserve"> cel Bun” p.</w:t>
      </w:r>
      <w:r w:rsidR="0072154D">
        <w:rPr>
          <w:rFonts w:asciiTheme="minorHAnsi" w:hAnsiTheme="minorHAnsi"/>
          <w:i/>
          <w:sz w:val="24"/>
          <w:lang w:val="pl-PL"/>
        </w:rPr>
        <w:t> </w:t>
      </w:r>
      <w:r w:rsidR="00DA26A7" w:rsidRPr="00ED0C6A">
        <w:rPr>
          <w:rFonts w:asciiTheme="minorHAnsi" w:hAnsiTheme="minorHAnsi"/>
          <w:i/>
          <w:sz w:val="24"/>
          <w:lang w:val="pl-PL"/>
        </w:rPr>
        <w:t>Rumunii</w:t>
      </w:r>
      <w:r w:rsidR="00DA26A7" w:rsidRPr="00ED0C6A">
        <w:rPr>
          <w:rStyle w:val="Odwoanieprzypisudolnego"/>
          <w:rFonts w:asciiTheme="minorHAnsi" w:hAnsiTheme="minorHAnsi"/>
          <w:i/>
          <w:sz w:val="24"/>
          <w:lang w:val="pl-PL"/>
        </w:rPr>
        <w:footnoteReference w:id="22"/>
      </w:r>
      <w:r w:rsidR="00DA26A7" w:rsidRPr="00ED0C6A">
        <w:rPr>
          <w:rFonts w:asciiTheme="minorHAnsi" w:hAnsiTheme="minorHAnsi"/>
          <w:sz w:val="24"/>
          <w:lang w:val="pl-PL"/>
        </w:rPr>
        <w:t>, w której</w:t>
      </w:r>
      <w:r w:rsidR="00F870D0" w:rsidRPr="00ED0C6A">
        <w:rPr>
          <w:rFonts w:asciiTheme="minorHAnsi" w:hAnsiTheme="minorHAnsi"/>
          <w:sz w:val="24"/>
          <w:lang w:val="pl-PL"/>
        </w:rPr>
        <w:t xml:space="preserve"> </w:t>
      </w:r>
      <w:r w:rsidR="00DA26A7" w:rsidRPr="00ED0C6A">
        <w:rPr>
          <w:rFonts w:asciiTheme="minorHAnsi" w:hAnsiTheme="minorHAnsi"/>
          <w:sz w:val="24"/>
          <w:lang w:val="pl-PL"/>
        </w:rPr>
        <w:t>Trybunał uznał potrzebę poszanowania zasady autonomii związków wyznaniowych w odniesieniu do ich relacji z duchowieństwem (w tamtym przypadku w</w:t>
      </w:r>
      <w:r w:rsidR="0072154D">
        <w:rPr>
          <w:rFonts w:asciiTheme="minorHAnsi" w:hAnsiTheme="minorHAnsi"/>
          <w:sz w:val="24"/>
          <w:lang w:val="pl-PL"/>
        </w:rPr>
        <w:t> </w:t>
      </w:r>
      <w:r w:rsidR="00DA26A7" w:rsidRPr="00ED0C6A">
        <w:rPr>
          <w:rFonts w:asciiTheme="minorHAnsi" w:hAnsiTheme="minorHAnsi"/>
          <w:sz w:val="24"/>
          <w:lang w:val="pl-PL"/>
        </w:rPr>
        <w:t xml:space="preserve">kontekście tworzenia związków zawodowych, w obecnej sprawie – w kontekście sporów związanych z zakończeniem posługi duchownego dla kościoła). W obecnej sprawie Trybunał potwierdził, że jeśli prawo krajowe </w:t>
      </w:r>
      <w:r w:rsidR="00C40756" w:rsidRPr="00ED0C6A">
        <w:rPr>
          <w:rFonts w:asciiTheme="minorHAnsi" w:hAnsiTheme="minorHAnsi"/>
          <w:sz w:val="24"/>
          <w:lang w:val="pl-PL"/>
        </w:rPr>
        <w:t xml:space="preserve">w świetle </w:t>
      </w:r>
      <w:r w:rsidR="00DA26A7" w:rsidRPr="00ED0C6A">
        <w:rPr>
          <w:rFonts w:asciiTheme="minorHAnsi" w:hAnsiTheme="minorHAnsi"/>
          <w:sz w:val="24"/>
          <w:lang w:val="pl-PL"/>
        </w:rPr>
        <w:t xml:space="preserve">spójnej wykładni sądów </w:t>
      </w:r>
      <w:r w:rsidR="00C40756" w:rsidRPr="00ED0C6A">
        <w:rPr>
          <w:rFonts w:asciiTheme="minorHAnsi" w:hAnsiTheme="minorHAnsi"/>
          <w:sz w:val="24"/>
          <w:lang w:val="pl-PL"/>
        </w:rPr>
        <w:t xml:space="preserve">krajowych </w:t>
      </w:r>
      <w:r w:rsidR="00DA26A7" w:rsidRPr="00ED0C6A">
        <w:rPr>
          <w:rFonts w:asciiTheme="minorHAnsi" w:hAnsiTheme="minorHAnsi"/>
          <w:sz w:val="24"/>
          <w:lang w:val="pl-PL"/>
        </w:rPr>
        <w:t>przewiduje brak właściwości sądów powszechnych do rozpatrywania roszczeń opartych na prawie kościelnym, sytuacja ta i związany z nią brak dostępu do sądu krajowego nie</w:t>
      </w:r>
      <w:r w:rsidR="00F870D0" w:rsidRPr="00ED0C6A">
        <w:rPr>
          <w:rFonts w:asciiTheme="minorHAnsi" w:hAnsiTheme="minorHAnsi"/>
          <w:sz w:val="24"/>
          <w:lang w:val="pl-PL"/>
        </w:rPr>
        <w:t xml:space="preserve"> są objęte</w:t>
      </w:r>
      <w:r w:rsidR="00DA26A7" w:rsidRPr="00ED0C6A">
        <w:rPr>
          <w:rFonts w:asciiTheme="minorHAnsi" w:hAnsiTheme="minorHAnsi"/>
          <w:sz w:val="24"/>
          <w:lang w:val="pl-PL"/>
        </w:rPr>
        <w:t xml:space="preserve"> zakresem gwarancji prawa do rzetelnego procesu sądowego na podstawie art. 6 ust. 1 Konwencji. </w:t>
      </w:r>
    </w:p>
    <w:p w:rsidR="00837491" w:rsidRPr="00ED0C6A" w:rsidRDefault="00837491" w:rsidP="00C40756">
      <w:pPr>
        <w:pStyle w:val="ClinContent"/>
        <w:spacing w:before="0"/>
        <w:rPr>
          <w:rFonts w:asciiTheme="minorHAnsi" w:hAnsiTheme="minorHAnsi"/>
          <w:sz w:val="24"/>
          <w:lang w:val="pl-PL"/>
        </w:rPr>
      </w:pPr>
    </w:p>
    <w:p w:rsidR="00C40756" w:rsidRPr="00ED0C6A" w:rsidRDefault="00DA26A7" w:rsidP="00C40756">
      <w:pPr>
        <w:pStyle w:val="ClinContent"/>
        <w:spacing w:before="0"/>
        <w:rPr>
          <w:lang w:val="pl-PL"/>
        </w:rPr>
      </w:pPr>
      <w:r w:rsidRPr="00ED0C6A">
        <w:rPr>
          <w:rFonts w:asciiTheme="minorHAnsi" w:hAnsiTheme="minorHAnsi"/>
          <w:sz w:val="24"/>
          <w:lang w:val="pl-PL"/>
        </w:rPr>
        <w:t>Wyrok m</w:t>
      </w:r>
      <w:r w:rsidR="00837491" w:rsidRPr="00ED0C6A">
        <w:rPr>
          <w:rFonts w:asciiTheme="minorHAnsi" w:hAnsiTheme="minorHAnsi"/>
          <w:sz w:val="24"/>
          <w:lang w:val="pl-PL"/>
        </w:rPr>
        <w:t>oże mieć</w:t>
      </w:r>
      <w:r w:rsidRPr="00ED0C6A">
        <w:rPr>
          <w:rFonts w:asciiTheme="minorHAnsi" w:hAnsiTheme="minorHAnsi"/>
          <w:sz w:val="24"/>
          <w:lang w:val="pl-PL"/>
        </w:rPr>
        <w:t xml:space="preserve"> znaczenie zwłaszcza dla związków wyznaniowych, a także sądów pracy i</w:t>
      </w:r>
      <w:r w:rsidR="0072154D">
        <w:rPr>
          <w:rFonts w:asciiTheme="minorHAnsi" w:hAnsiTheme="minorHAnsi"/>
          <w:sz w:val="24"/>
          <w:lang w:val="pl-PL"/>
        </w:rPr>
        <w:t> </w:t>
      </w:r>
      <w:r w:rsidRPr="00ED0C6A">
        <w:rPr>
          <w:rFonts w:asciiTheme="minorHAnsi" w:hAnsiTheme="minorHAnsi"/>
          <w:sz w:val="24"/>
          <w:lang w:val="pl-PL"/>
        </w:rPr>
        <w:t>sądów cywilnych</w:t>
      </w:r>
      <w:r w:rsidR="00370460" w:rsidRPr="00ED0C6A">
        <w:rPr>
          <w:rFonts w:asciiTheme="minorHAnsi" w:hAnsiTheme="minorHAnsi"/>
          <w:sz w:val="24"/>
          <w:lang w:val="pl-PL"/>
        </w:rPr>
        <w:t xml:space="preserve">, a także Sądu Najwyższego. Wyrok może mieć też znaczenie dla organów </w:t>
      </w:r>
      <w:r w:rsidR="00837491" w:rsidRPr="00ED0C6A">
        <w:rPr>
          <w:rFonts w:asciiTheme="minorHAnsi" w:hAnsiTheme="minorHAnsi"/>
          <w:sz w:val="24"/>
          <w:lang w:val="pl-PL"/>
        </w:rPr>
        <w:t xml:space="preserve">właściwych ds. uregulowań i kontroli prawa, w tym </w:t>
      </w:r>
      <w:r w:rsidR="00370460" w:rsidRPr="00ED0C6A">
        <w:rPr>
          <w:rFonts w:asciiTheme="minorHAnsi" w:hAnsiTheme="minorHAnsi"/>
          <w:sz w:val="24"/>
          <w:lang w:val="pl-PL"/>
        </w:rPr>
        <w:t>obszarze</w:t>
      </w:r>
      <w:r w:rsidR="00837491" w:rsidRPr="00ED0C6A">
        <w:rPr>
          <w:rFonts w:asciiTheme="minorHAnsi" w:hAnsiTheme="minorHAnsi"/>
          <w:sz w:val="24"/>
          <w:lang w:val="pl-PL"/>
        </w:rPr>
        <w:t xml:space="preserve"> i w obszarze prawa dostępu do</w:t>
      </w:r>
      <w:r w:rsidR="0072154D">
        <w:rPr>
          <w:rFonts w:asciiTheme="minorHAnsi" w:hAnsiTheme="minorHAnsi"/>
          <w:sz w:val="24"/>
          <w:lang w:val="pl-PL"/>
        </w:rPr>
        <w:t> </w:t>
      </w:r>
      <w:r w:rsidR="00837491" w:rsidRPr="00ED0C6A">
        <w:rPr>
          <w:rFonts w:asciiTheme="minorHAnsi" w:hAnsiTheme="minorHAnsi"/>
          <w:sz w:val="24"/>
          <w:lang w:val="pl-PL"/>
        </w:rPr>
        <w:t>sądu</w:t>
      </w:r>
      <w:r w:rsidR="00370460" w:rsidRPr="00ED0C6A">
        <w:rPr>
          <w:rFonts w:asciiTheme="minorHAnsi" w:hAnsiTheme="minorHAnsi"/>
          <w:sz w:val="24"/>
          <w:lang w:val="pl-PL"/>
        </w:rPr>
        <w:t>.</w:t>
      </w:r>
      <w:r w:rsidR="00370460" w:rsidRPr="00ED0C6A">
        <w:rPr>
          <w:lang w:val="pl-PL"/>
        </w:rPr>
        <w:t xml:space="preserve">  </w:t>
      </w:r>
      <w:r w:rsidRPr="00ED0C6A">
        <w:rPr>
          <w:lang w:val="pl-PL"/>
        </w:rPr>
        <w:t xml:space="preserve"> </w:t>
      </w:r>
    </w:p>
    <w:p w:rsidR="00DA26A7" w:rsidRPr="00ED0C6A" w:rsidRDefault="00DA26A7" w:rsidP="00C40756">
      <w:pPr>
        <w:pStyle w:val="ClinContent"/>
        <w:spacing w:before="0"/>
        <w:rPr>
          <w:i/>
          <w:u w:val="single"/>
          <w:lang w:val="pl-PL"/>
        </w:rPr>
      </w:pPr>
      <w:r w:rsidRPr="00ED0C6A">
        <w:rPr>
          <w:lang w:val="pl-PL"/>
        </w:rPr>
        <w:t xml:space="preserve"> </w:t>
      </w:r>
    </w:p>
    <w:p w:rsidR="00846D69" w:rsidRPr="00ED0C6A" w:rsidRDefault="00846D69" w:rsidP="009333A7">
      <w:pPr>
        <w:pStyle w:val="Nagwek2"/>
        <w:spacing w:before="480"/>
        <w:rPr>
          <w:rFonts w:asciiTheme="minorHAnsi" w:hAnsiTheme="minorHAnsi"/>
          <w:color w:val="auto"/>
          <w:sz w:val="24"/>
          <w:szCs w:val="24"/>
        </w:rPr>
      </w:pPr>
      <w:bookmarkStart w:id="17" w:name="_Ref509582130"/>
      <w:bookmarkStart w:id="18" w:name="_Toc524696734"/>
      <w:proofErr w:type="spellStart"/>
      <w:r w:rsidRPr="00ED0C6A">
        <w:rPr>
          <w:rFonts w:asciiTheme="minorHAnsi" w:hAnsiTheme="minorHAnsi"/>
          <w:color w:val="auto"/>
          <w:sz w:val="24"/>
          <w:szCs w:val="24"/>
        </w:rPr>
        <w:t>Khamtokhu</w:t>
      </w:r>
      <w:proofErr w:type="spellEnd"/>
      <w:r w:rsidRPr="00ED0C6A">
        <w:rPr>
          <w:rFonts w:asciiTheme="minorHAnsi" w:hAnsiTheme="minorHAnsi"/>
          <w:color w:val="auto"/>
          <w:sz w:val="24"/>
          <w:szCs w:val="24"/>
        </w:rPr>
        <w:t xml:space="preserve"> i </w:t>
      </w:r>
      <w:proofErr w:type="spellStart"/>
      <w:r w:rsidRPr="00ED0C6A">
        <w:rPr>
          <w:rFonts w:asciiTheme="minorHAnsi" w:hAnsiTheme="minorHAnsi"/>
          <w:color w:val="auto"/>
          <w:sz w:val="24"/>
          <w:szCs w:val="24"/>
        </w:rPr>
        <w:t>Aksenchik</w:t>
      </w:r>
      <w:proofErr w:type="spellEnd"/>
      <w:r w:rsidRPr="00ED0C6A">
        <w:rPr>
          <w:rFonts w:asciiTheme="minorHAnsi" w:hAnsiTheme="minorHAnsi"/>
          <w:color w:val="auto"/>
          <w:sz w:val="24"/>
          <w:szCs w:val="24"/>
        </w:rPr>
        <w:t xml:space="preserve"> p. Rosji</w:t>
      </w:r>
      <w:r w:rsidR="00B05313" w:rsidRPr="00ED0C6A">
        <w:rPr>
          <w:rFonts w:asciiTheme="minorHAnsi" w:hAnsiTheme="minorHAnsi"/>
          <w:color w:val="auto"/>
          <w:sz w:val="24"/>
          <w:szCs w:val="24"/>
        </w:rPr>
        <w:t>, skargi nr</w:t>
      </w:r>
      <w:r w:rsidRPr="00ED0C6A">
        <w:rPr>
          <w:rFonts w:asciiTheme="minorHAnsi" w:hAnsiTheme="minorHAnsi"/>
          <w:color w:val="auto"/>
          <w:sz w:val="24"/>
          <w:szCs w:val="24"/>
        </w:rPr>
        <w:t xml:space="preserve"> 60367/08 i 961/11</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133FDE"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w:t>
      </w:r>
      <w:r w:rsidR="0072154D">
        <w:rPr>
          <w:rFonts w:asciiTheme="minorHAnsi" w:hAnsiTheme="minorHAnsi"/>
          <w:color w:val="auto"/>
          <w:sz w:val="24"/>
          <w:szCs w:val="24"/>
        </w:rPr>
        <w:t> </w:t>
      </w:r>
      <w:r w:rsidRPr="00ED0C6A">
        <w:rPr>
          <w:rFonts w:asciiTheme="minorHAnsi" w:hAnsiTheme="minorHAnsi"/>
          <w:color w:val="auto"/>
          <w:sz w:val="24"/>
          <w:szCs w:val="24"/>
        </w:rPr>
        <w:t>24</w:t>
      </w:r>
      <w:r w:rsidR="0072154D">
        <w:rPr>
          <w:rFonts w:asciiTheme="minorHAnsi" w:hAnsiTheme="minorHAnsi"/>
          <w:color w:val="auto"/>
          <w:sz w:val="24"/>
          <w:szCs w:val="24"/>
        </w:rPr>
        <w:t> </w:t>
      </w:r>
      <w:r w:rsidR="00B4260D" w:rsidRPr="00ED0C6A">
        <w:rPr>
          <w:rFonts w:asciiTheme="minorHAnsi" w:hAnsiTheme="minorHAnsi"/>
          <w:color w:val="auto"/>
          <w:sz w:val="24"/>
          <w:szCs w:val="24"/>
        </w:rPr>
        <w:t xml:space="preserve">stycznia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17"/>
      <w:bookmarkEnd w:id="18"/>
    </w:p>
    <w:p w:rsidR="00846D69" w:rsidRPr="00ED0C6A" w:rsidRDefault="00846D69"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naruszeń</w:t>
      </w:r>
      <w:r w:rsidR="003C1850" w:rsidRPr="00ED0C6A">
        <w:rPr>
          <w:b/>
          <w:color w:val="000000" w:themeColor="text1"/>
          <w:sz w:val="24"/>
          <w:szCs w:val="24"/>
          <w:lang w:val="pl-PL"/>
        </w:rPr>
        <w:t xml:space="preserve"> art. 14 (zakaz dyskryminacji) w związku z art. 5 Konwencji (prawo do</w:t>
      </w:r>
      <w:r w:rsidR="0072154D">
        <w:rPr>
          <w:b/>
          <w:color w:val="000000" w:themeColor="text1"/>
          <w:sz w:val="24"/>
          <w:szCs w:val="24"/>
          <w:lang w:val="pl-PL"/>
        </w:rPr>
        <w:t> </w:t>
      </w:r>
      <w:r w:rsidR="003C1850" w:rsidRPr="00ED0C6A">
        <w:rPr>
          <w:b/>
          <w:color w:val="000000" w:themeColor="text1"/>
          <w:sz w:val="24"/>
          <w:szCs w:val="24"/>
          <w:lang w:val="pl-PL"/>
        </w:rPr>
        <w:t>wolności i bezpieczeństwa osobistego) w odniesieniu do zarzutów, że przepisy regulujące podleganie karze dożywotniego pozbawienia wolności mają charakter dyskryminacyjny z uwagi na wiek i płeć</w:t>
      </w:r>
    </w:p>
    <w:p w:rsidR="00B24A48" w:rsidRPr="00ED0C6A" w:rsidRDefault="00B24A48" w:rsidP="00B24A48">
      <w:pPr>
        <w:pStyle w:val="ClinContent"/>
        <w:spacing w:before="0"/>
        <w:rPr>
          <w:rFonts w:asciiTheme="minorHAnsi" w:hAnsiTheme="minorHAnsi"/>
          <w:sz w:val="24"/>
          <w:lang w:val="pl-PL"/>
        </w:rPr>
      </w:pPr>
      <w:r w:rsidRPr="00ED0C6A">
        <w:rPr>
          <w:rFonts w:asciiTheme="minorHAnsi" w:hAnsiTheme="minorHAnsi"/>
          <w:sz w:val="24"/>
          <w:lang w:val="pl-PL"/>
        </w:rPr>
        <w:t>Dwaj skarżący, dorośli mężczyźni odbywający karę dożywotniego pozbawienia wolności za</w:t>
      </w:r>
      <w:r w:rsidR="0072154D">
        <w:rPr>
          <w:rFonts w:asciiTheme="minorHAnsi" w:hAnsiTheme="minorHAnsi"/>
          <w:sz w:val="24"/>
          <w:lang w:val="pl-PL"/>
        </w:rPr>
        <w:t> </w:t>
      </w:r>
      <w:r w:rsidRPr="00ED0C6A">
        <w:rPr>
          <w:rFonts w:asciiTheme="minorHAnsi" w:hAnsiTheme="minorHAnsi"/>
          <w:sz w:val="24"/>
          <w:lang w:val="pl-PL"/>
        </w:rPr>
        <w:t xml:space="preserve">przestępstwa, zarzucali – na podstawie art. 14 Konwencji w związku z art. 5 – traktowanie ich w sposób dyskryminujący w stosunku do innych kategorii skazanych, którzy z mocy prawa byli wyłączeni spod kary dożywotniego pozbawienia wolności. </w:t>
      </w:r>
    </w:p>
    <w:p w:rsidR="00B24A48" w:rsidRPr="00ED0C6A" w:rsidRDefault="00B24A48" w:rsidP="00380783">
      <w:pPr>
        <w:pStyle w:val="ClinContent"/>
        <w:spacing w:before="0"/>
        <w:rPr>
          <w:rFonts w:asciiTheme="minorHAnsi" w:hAnsiTheme="minorHAnsi"/>
          <w:sz w:val="24"/>
          <w:lang w:val="pl-PL"/>
        </w:rPr>
      </w:pP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Art. 57 rosyjskiego Kodeksu karnego przewiduje</w:t>
      </w:r>
      <w:r w:rsidR="00B24A48" w:rsidRPr="00ED0C6A">
        <w:rPr>
          <w:rFonts w:asciiTheme="minorHAnsi" w:hAnsiTheme="minorHAnsi"/>
          <w:sz w:val="24"/>
          <w:lang w:val="pl-PL"/>
        </w:rPr>
        <w:t xml:space="preserve"> bowiem</w:t>
      </w:r>
      <w:r w:rsidRPr="00ED0C6A">
        <w:rPr>
          <w:rFonts w:asciiTheme="minorHAnsi" w:hAnsiTheme="minorHAnsi"/>
          <w:sz w:val="24"/>
          <w:lang w:val="pl-PL"/>
        </w:rPr>
        <w:t>, że kara dożywotniego pozbawienia wolności może zostać wymierzona za pewne szczególnie poważne przestępstwa. Jednakże kara taka nie może zostać nałożona na kobiety, na osoby, które w chwili popełnienia przestępstwa nie miały ukończonego 18 roku życia, lub na osoby, których wiek w momencie skazania wynosił 65 lat lub więcej. Rosyjski Trybunał Konstytucyjny wielokrotnie uznawał za</w:t>
      </w:r>
      <w:r w:rsidR="0072154D">
        <w:rPr>
          <w:rFonts w:asciiTheme="minorHAnsi" w:hAnsiTheme="minorHAnsi"/>
          <w:sz w:val="24"/>
          <w:lang w:val="pl-PL"/>
        </w:rPr>
        <w:t> </w:t>
      </w:r>
      <w:r w:rsidRPr="00ED0C6A">
        <w:rPr>
          <w:rFonts w:asciiTheme="minorHAnsi" w:hAnsiTheme="minorHAnsi"/>
          <w:sz w:val="24"/>
          <w:lang w:val="pl-PL"/>
        </w:rPr>
        <w:t>niedopuszczalne skargi zarzucające niezgodność tego przepisu z konstytucyjną ochroną przed dyskryminacją, między innymi na tej podstawie, że jakakolwiek różnica w traktowaniu oparta jest na zasadach sprawiedliwości i względach humanitarnych oraz umożliwia wzięcie pod uwagę wieku oraz cech społecznych i fizjologicznych przy określaniu wymiaru kary.</w:t>
      </w:r>
    </w:p>
    <w:p w:rsidR="00B24A48" w:rsidRPr="00ED0C6A" w:rsidRDefault="00B24A48" w:rsidP="00380783">
      <w:pPr>
        <w:pStyle w:val="ClinContent"/>
        <w:spacing w:before="0"/>
        <w:rPr>
          <w:rFonts w:asciiTheme="minorHAnsi" w:hAnsiTheme="minorHAnsi"/>
          <w:sz w:val="24"/>
          <w:lang w:val="pl-PL"/>
        </w:rPr>
      </w:pP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dniu 1 grudnia 2015 r. Izba Trybunału postanowiła zrzec się właściwości na rzecz Wielkiej Izby. </w:t>
      </w:r>
    </w:p>
    <w:p w:rsidR="00B24A48" w:rsidRPr="00ED0C6A" w:rsidRDefault="00B24A48" w:rsidP="00380783">
      <w:pPr>
        <w:pStyle w:val="ClinContent"/>
        <w:spacing w:before="0"/>
        <w:rPr>
          <w:rFonts w:asciiTheme="minorHAnsi" w:hAnsiTheme="minorHAnsi"/>
          <w:i/>
          <w:sz w:val="24"/>
          <w:lang w:val="pl-PL"/>
        </w:rPr>
      </w:pPr>
    </w:p>
    <w:p w:rsidR="00846D69" w:rsidRPr="00ED0C6A" w:rsidRDefault="00B24A48" w:rsidP="00380783">
      <w:pPr>
        <w:pStyle w:val="ClinContent"/>
        <w:spacing w:before="0"/>
        <w:rPr>
          <w:rFonts w:asciiTheme="minorHAnsi" w:hAnsiTheme="minorHAnsi"/>
          <w:sz w:val="24"/>
          <w:lang w:val="pl-PL"/>
        </w:rPr>
      </w:pPr>
      <w:r w:rsidRPr="00ED0C6A">
        <w:rPr>
          <w:rFonts w:asciiTheme="minorHAnsi" w:hAnsiTheme="minorHAnsi"/>
          <w:sz w:val="24"/>
          <w:lang w:val="pl-PL"/>
        </w:rPr>
        <w:t>Trybunał po pierwsze zbadał, czy a</w:t>
      </w:r>
      <w:r w:rsidR="00846D69" w:rsidRPr="00ED0C6A">
        <w:rPr>
          <w:rFonts w:asciiTheme="minorHAnsi" w:hAnsiTheme="minorHAnsi"/>
          <w:sz w:val="24"/>
          <w:lang w:val="pl-PL"/>
        </w:rPr>
        <w:t>rt. 14</w:t>
      </w:r>
      <w:r w:rsidRPr="00ED0C6A">
        <w:rPr>
          <w:rFonts w:asciiTheme="minorHAnsi" w:hAnsiTheme="minorHAnsi"/>
          <w:sz w:val="24"/>
          <w:lang w:val="pl-PL"/>
        </w:rPr>
        <w:t xml:space="preserve"> przewidujący zakaz dyskryminacji znajduje zastosowanie w obecnej sprawie</w:t>
      </w:r>
      <w:r w:rsidR="00846D69" w:rsidRPr="00ED0C6A">
        <w:rPr>
          <w:rFonts w:asciiTheme="minorHAnsi" w:hAnsiTheme="minorHAnsi"/>
          <w:sz w:val="24"/>
          <w:lang w:val="pl-PL"/>
        </w:rPr>
        <w:t xml:space="preserve"> w związku z art. 5 </w:t>
      </w:r>
      <w:r w:rsidRPr="00ED0C6A">
        <w:rPr>
          <w:rFonts w:asciiTheme="minorHAnsi" w:hAnsiTheme="minorHAnsi"/>
          <w:sz w:val="24"/>
          <w:lang w:val="pl-PL"/>
        </w:rPr>
        <w:t>Konwencji, chroniącym prawo do</w:t>
      </w:r>
      <w:r w:rsidR="0072154D">
        <w:rPr>
          <w:rFonts w:asciiTheme="minorHAnsi" w:hAnsiTheme="minorHAnsi"/>
          <w:sz w:val="24"/>
          <w:lang w:val="pl-PL"/>
        </w:rPr>
        <w:t> </w:t>
      </w:r>
      <w:r w:rsidRPr="00ED0C6A">
        <w:rPr>
          <w:rFonts w:asciiTheme="minorHAnsi" w:hAnsiTheme="minorHAnsi"/>
          <w:sz w:val="24"/>
          <w:lang w:val="pl-PL"/>
        </w:rPr>
        <w:t xml:space="preserve">wolności i bezpieczeństwa osobistego. </w:t>
      </w:r>
    </w:p>
    <w:p w:rsidR="00B24A48" w:rsidRPr="00ED0C6A" w:rsidRDefault="00B24A48" w:rsidP="00380783">
      <w:pPr>
        <w:pStyle w:val="ClinContent"/>
        <w:spacing w:before="0"/>
        <w:rPr>
          <w:rFonts w:asciiTheme="minorHAnsi" w:hAnsiTheme="minorHAnsi"/>
          <w:sz w:val="24"/>
          <w:lang w:val="pl-PL"/>
        </w:rPr>
      </w:pPr>
    </w:p>
    <w:p w:rsidR="0072571A" w:rsidRPr="00ED0C6A" w:rsidRDefault="00B24A48" w:rsidP="00380783">
      <w:pPr>
        <w:pStyle w:val="ClinContent"/>
        <w:spacing w:before="0"/>
        <w:rPr>
          <w:rFonts w:asciiTheme="minorHAnsi" w:hAnsiTheme="minorHAnsi"/>
          <w:sz w:val="24"/>
          <w:lang w:val="pl-PL"/>
        </w:rPr>
      </w:pPr>
      <w:r w:rsidRPr="00ED0C6A">
        <w:rPr>
          <w:rFonts w:asciiTheme="minorHAnsi" w:hAnsiTheme="minorHAnsi"/>
          <w:sz w:val="24"/>
          <w:lang w:val="pl-PL"/>
        </w:rPr>
        <w:t>Przypomniał, że a</w:t>
      </w:r>
      <w:r w:rsidR="00846D69" w:rsidRPr="00ED0C6A">
        <w:rPr>
          <w:rFonts w:asciiTheme="minorHAnsi" w:hAnsiTheme="minorHAnsi"/>
          <w:sz w:val="24"/>
          <w:lang w:val="pl-PL"/>
        </w:rPr>
        <w:t>rt. 5 Konwencji nie wyklucza wymierzenia kary dożywotniego pozbawienia wolności w przypadkach, gdy kara taka jest przewidziana przez prawo krajowe. Zakaz</w:t>
      </w:r>
      <w:r w:rsidR="0072154D">
        <w:rPr>
          <w:rFonts w:asciiTheme="minorHAnsi" w:hAnsiTheme="minorHAnsi"/>
          <w:sz w:val="24"/>
          <w:lang w:val="pl-PL"/>
        </w:rPr>
        <w:t> </w:t>
      </w:r>
      <w:r w:rsidR="00846D69" w:rsidRPr="00ED0C6A">
        <w:rPr>
          <w:rFonts w:asciiTheme="minorHAnsi" w:hAnsiTheme="minorHAnsi"/>
          <w:sz w:val="24"/>
          <w:lang w:val="pl-PL"/>
        </w:rPr>
        <w:t xml:space="preserve">dyskryminacji zawarty w art. 14 wykracza jednak poza korzystanie z praw i wolności, których zagwarantowania wymaga Konwencja i jej Protokoły od wszystkich </w:t>
      </w:r>
      <w:r w:rsidR="00721A8D" w:rsidRPr="00ED0C6A">
        <w:rPr>
          <w:rFonts w:asciiTheme="minorHAnsi" w:hAnsiTheme="minorHAnsi"/>
          <w:sz w:val="24"/>
          <w:lang w:val="pl-PL"/>
        </w:rPr>
        <w:t>Państw</w:t>
      </w:r>
      <w:r w:rsidR="00846D69" w:rsidRPr="00ED0C6A">
        <w:rPr>
          <w:rFonts w:asciiTheme="minorHAnsi" w:hAnsiTheme="minorHAnsi"/>
          <w:sz w:val="24"/>
          <w:lang w:val="pl-PL"/>
        </w:rPr>
        <w:t>, i</w:t>
      </w:r>
      <w:r w:rsidR="0072154D">
        <w:rPr>
          <w:rFonts w:asciiTheme="minorHAnsi" w:hAnsiTheme="minorHAnsi"/>
          <w:sz w:val="24"/>
          <w:lang w:val="pl-PL"/>
        </w:rPr>
        <w:t> </w:t>
      </w:r>
      <w:r w:rsidR="00846D69" w:rsidRPr="00ED0C6A">
        <w:rPr>
          <w:rFonts w:asciiTheme="minorHAnsi" w:hAnsiTheme="minorHAnsi"/>
          <w:sz w:val="24"/>
          <w:lang w:val="pl-PL"/>
        </w:rPr>
        <w:t>ma</w:t>
      </w:r>
      <w:r w:rsidR="0072154D">
        <w:rPr>
          <w:rFonts w:asciiTheme="minorHAnsi" w:hAnsiTheme="minorHAnsi"/>
          <w:sz w:val="24"/>
          <w:lang w:val="pl-PL"/>
        </w:rPr>
        <w:t> </w:t>
      </w:r>
      <w:r w:rsidR="00846D69" w:rsidRPr="00ED0C6A">
        <w:rPr>
          <w:rFonts w:asciiTheme="minorHAnsi" w:hAnsiTheme="minorHAnsi"/>
          <w:sz w:val="24"/>
          <w:lang w:val="pl-PL"/>
        </w:rPr>
        <w:t>on</w:t>
      </w:r>
      <w:r w:rsidR="0072154D">
        <w:rPr>
          <w:rFonts w:asciiTheme="minorHAnsi" w:hAnsiTheme="minorHAnsi"/>
          <w:sz w:val="24"/>
          <w:lang w:val="pl-PL"/>
        </w:rPr>
        <w:t> </w:t>
      </w:r>
      <w:r w:rsidR="00846D69" w:rsidRPr="00ED0C6A">
        <w:rPr>
          <w:rFonts w:asciiTheme="minorHAnsi" w:hAnsiTheme="minorHAnsi"/>
          <w:sz w:val="24"/>
          <w:lang w:val="pl-PL"/>
        </w:rPr>
        <w:t>zastosowanie również do tych dodatkowych praw – objętych generalnym zakresem zastosowania jakiegokolwiek artykułu Konwencji – które </w:t>
      </w:r>
      <w:r w:rsidR="00721A8D" w:rsidRPr="00ED0C6A">
        <w:rPr>
          <w:rFonts w:asciiTheme="minorHAnsi" w:hAnsiTheme="minorHAnsi"/>
          <w:sz w:val="24"/>
          <w:lang w:val="pl-PL"/>
        </w:rPr>
        <w:t xml:space="preserve">Państwo </w:t>
      </w:r>
      <w:r w:rsidR="00846D69" w:rsidRPr="00ED0C6A">
        <w:rPr>
          <w:rFonts w:asciiTheme="minorHAnsi" w:hAnsiTheme="minorHAnsi"/>
          <w:sz w:val="24"/>
          <w:lang w:val="pl-PL"/>
        </w:rPr>
        <w:t>zdecydowało się dobrowolnie zapewnić. Wynika z tego, że sytuacje, gdy ustawodawstwo krajowe wyłącza pewne kategorie skazanych więźniów spod kary dożywotniego pozbawienia wolności, objęte są zakresem art. 5 ust. 1 dla celów zastosowalności art. 14 rozpatrywanego w związku z</w:t>
      </w:r>
      <w:r w:rsidR="0072154D">
        <w:rPr>
          <w:rFonts w:asciiTheme="minorHAnsi" w:hAnsiTheme="minorHAnsi"/>
          <w:sz w:val="24"/>
          <w:lang w:val="pl-PL"/>
        </w:rPr>
        <w:t> </w:t>
      </w:r>
      <w:r w:rsidR="00846D69" w:rsidRPr="00ED0C6A">
        <w:rPr>
          <w:rFonts w:asciiTheme="minorHAnsi" w:hAnsiTheme="minorHAnsi"/>
          <w:sz w:val="24"/>
          <w:lang w:val="pl-PL"/>
        </w:rPr>
        <w:t>tym</w:t>
      </w:r>
      <w:r w:rsidR="0072154D">
        <w:rPr>
          <w:rFonts w:asciiTheme="minorHAnsi" w:hAnsiTheme="minorHAnsi"/>
          <w:sz w:val="24"/>
          <w:lang w:val="pl-PL"/>
        </w:rPr>
        <w:t> </w:t>
      </w:r>
      <w:r w:rsidR="00846D69" w:rsidRPr="00ED0C6A">
        <w:rPr>
          <w:rFonts w:asciiTheme="minorHAnsi" w:hAnsiTheme="minorHAnsi"/>
          <w:sz w:val="24"/>
          <w:lang w:val="pl-PL"/>
        </w:rPr>
        <w:t>postanowieniem.</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72571A"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Trybunał zauważył następnie, że a</w:t>
      </w:r>
      <w:r w:rsidR="00846D69" w:rsidRPr="00ED0C6A">
        <w:rPr>
          <w:rFonts w:asciiTheme="minorHAnsi" w:hAnsiTheme="minorHAnsi"/>
          <w:sz w:val="24"/>
          <w:lang w:val="pl-PL"/>
        </w:rPr>
        <w:t>rt. 57 rosyjskiego Kodeksu karnego ustanawia zasady wymiaru kary, które wprowadzają rozróżnienie na podstawie płci i wieku w odniesieniu do</w:t>
      </w:r>
      <w:r w:rsidR="0072154D">
        <w:rPr>
          <w:rFonts w:asciiTheme="minorHAnsi" w:hAnsiTheme="minorHAnsi"/>
          <w:sz w:val="24"/>
          <w:lang w:val="pl-PL"/>
        </w:rPr>
        <w:t> </w:t>
      </w:r>
      <w:r w:rsidR="00846D69" w:rsidRPr="00ED0C6A">
        <w:rPr>
          <w:rFonts w:asciiTheme="minorHAnsi" w:hAnsiTheme="minorHAnsi"/>
          <w:sz w:val="24"/>
          <w:lang w:val="pl-PL"/>
        </w:rPr>
        <w:t xml:space="preserve">kary dożywotniego pozbawienia wolności, podczas gdy obie te przesłanki są zakazanymi podstawami dyskryminacji na mocy art. 14 Konwencji.  </w:t>
      </w:r>
      <w:r w:rsidRPr="00ED0C6A">
        <w:rPr>
          <w:rFonts w:asciiTheme="minorHAnsi" w:hAnsiTheme="minorHAnsi"/>
          <w:sz w:val="24"/>
          <w:lang w:val="pl-PL"/>
        </w:rPr>
        <w:t>Z powyższych względów a</w:t>
      </w:r>
      <w:r w:rsidR="00846D69" w:rsidRPr="00ED0C6A">
        <w:rPr>
          <w:rFonts w:asciiTheme="minorHAnsi" w:hAnsiTheme="minorHAnsi"/>
          <w:sz w:val="24"/>
          <w:lang w:val="pl-PL"/>
        </w:rPr>
        <w:t>rt. 14 w</w:t>
      </w:r>
      <w:r w:rsidR="0072154D">
        <w:rPr>
          <w:rFonts w:asciiTheme="minorHAnsi" w:hAnsiTheme="minorHAnsi"/>
          <w:sz w:val="24"/>
          <w:lang w:val="pl-PL"/>
        </w:rPr>
        <w:t> </w:t>
      </w:r>
      <w:r w:rsidR="00846D69" w:rsidRPr="00ED0C6A">
        <w:rPr>
          <w:rFonts w:asciiTheme="minorHAnsi" w:hAnsiTheme="minorHAnsi"/>
          <w:sz w:val="24"/>
          <w:lang w:val="pl-PL"/>
        </w:rPr>
        <w:t>związku z art. 5 ma zatem zastosowanie</w:t>
      </w:r>
      <w:r w:rsidRPr="00ED0C6A">
        <w:rPr>
          <w:rFonts w:asciiTheme="minorHAnsi" w:hAnsiTheme="minorHAnsi"/>
          <w:sz w:val="24"/>
          <w:lang w:val="pl-PL"/>
        </w:rPr>
        <w:t xml:space="preserve"> w obecnej sprawie</w:t>
      </w:r>
      <w:r w:rsidR="00846D69" w:rsidRPr="00ED0C6A">
        <w:rPr>
          <w:rFonts w:asciiTheme="minorHAnsi" w:hAnsiTheme="minorHAnsi"/>
          <w:sz w:val="24"/>
          <w:lang w:val="pl-PL"/>
        </w:rPr>
        <w:t>.</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72571A"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Badając </w:t>
      </w:r>
      <w:r w:rsidRPr="00ED0C6A">
        <w:rPr>
          <w:rFonts w:asciiTheme="minorHAnsi" w:hAnsiTheme="minorHAnsi"/>
          <w:sz w:val="24"/>
          <w:u w:val="single"/>
          <w:lang w:val="pl-PL"/>
        </w:rPr>
        <w:t>z</w:t>
      </w:r>
      <w:r w:rsidR="00846D69" w:rsidRPr="00ED0C6A">
        <w:rPr>
          <w:rFonts w:asciiTheme="minorHAnsi" w:hAnsiTheme="minorHAnsi"/>
          <w:i/>
          <w:sz w:val="24"/>
          <w:u w:val="single"/>
          <w:lang w:val="pl-PL"/>
        </w:rPr>
        <w:t xml:space="preserve">godność </w:t>
      </w:r>
      <w:r w:rsidRPr="00ED0C6A">
        <w:rPr>
          <w:rFonts w:asciiTheme="minorHAnsi" w:hAnsiTheme="minorHAnsi"/>
          <w:i/>
          <w:sz w:val="24"/>
          <w:u w:val="single"/>
          <w:lang w:val="pl-PL"/>
        </w:rPr>
        <w:t>zaskarżonej sytuacji z art. 14 Konwencji</w:t>
      </w:r>
      <w:r w:rsidRPr="00ED0C6A">
        <w:rPr>
          <w:rFonts w:asciiTheme="minorHAnsi" w:hAnsiTheme="minorHAnsi"/>
          <w:sz w:val="24"/>
          <w:lang w:val="pl-PL"/>
        </w:rPr>
        <w:t>, Trybunał uznał, że z</w:t>
      </w:r>
      <w:r w:rsidR="00846D69" w:rsidRPr="00ED0C6A">
        <w:rPr>
          <w:rFonts w:asciiTheme="minorHAnsi" w:hAnsiTheme="minorHAnsi"/>
          <w:sz w:val="24"/>
          <w:lang w:val="pl-PL"/>
        </w:rPr>
        <w:t>asady wymiaru kary, które wyłączają kobiety i młodocianych sprawców oraz sprawców w wieku 65</w:t>
      </w:r>
      <w:r w:rsidR="0072154D">
        <w:rPr>
          <w:rFonts w:asciiTheme="minorHAnsi" w:hAnsiTheme="minorHAnsi"/>
          <w:sz w:val="24"/>
          <w:lang w:val="pl-PL"/>
        </w:rPr>
        <w:t> </w:t>
      </w:r>
      <w:r w:rsidR="00846D69" w:rsidRPr="00ED0C6A">
        <w:rPr>
          <w:rFonts w:asciiTheme="minorHAnsi" w:hAnsiTheme="minorHAnsi"/>
          <w:sz w:val="24"/>
          <w:lang w:val="pl-PL"/>
        </w:rPr>
        <w:t xml:space="preserve">lat lub powyżej spod kary dożywotniego pozbawienia wolności, prowadzą do różnego traktowanie ze względu na płeć i wiek. </w:t>
      </w:r>
      <w:r w:rsidRPr="00ED0C6A">
        <w:rPr>
          <w:rFonts w:asciiTheme="minorHAnsi" w:hAnsiTheme="minorHAnsi"/>
          <w:sz w:val="24"/>
          <w:lang w:val="pl-PL"/>
        </w:rPr>
        <w:t xml:space="preserve">Ocenił następnie zgodność tego rozróżnienia z art. 14, biorąc pod uwagę jego cel i proporcjonalność. </w:t>
      </w:r>
    </w:p>
    <w:p w:rsidR="0072571A" w:rsidRPr="00ED0C6A" w:rsidRDefault="0072571A" w:rsidP="00380783">
      <w:pPr>
        <w:pStyle w:val="ClinContent"/>
        <w:spacing w:before="0"/>
        <w:rPr>
          <w:rFonts w:asciiTheme="minorHAnsi" w:hAnsiTheme="minorHAnsi"/>
          <w:sz w:val="24"/>
          <w:lang w:val="pl-PL"/>
        </w:rPr>
      </w:pPr>
    </w:p>
    <w:p w:rsidR="0072571A"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Uznał, że z</w:t>
      </w:r>
      <w:r w:rsidR="00846D69" w:rsidRPr="00ED0C6A">
        <w:rPr>
          <w:rFonts w:asciiTheme="minorHAnsi" w:hAnsiTheme="minorHAnsi"/>
          <w:sz w:val="24"/>
          <w:lang w:val="pl-PL"/>
        </w:rPr>
        <w:t xml:space="preserve">adeklarowany przez Rząd cel promowania zasad sprawiedliwości i humanitaryzmu poprzez uwzględnienie wieku oraz „cech fizjologicznych” różnych kategorii przestępców może być uznany za </w:t>
      </w:r>
      <w:r w:rsidR="00C73C57" w:rsidRPr="00ED0C6A">
        <w:rPr>
          <w:rFonts w:asciiTheme="minorHAnsi" w:hAnsiTheme="minorHAnsi"/>
          <w:sz w:val="24"/>
          <w:lang w:val="pl-PL"/>
        </w:rPr>
        <w:t xml:space="preserve">cel </w:t>
      </w:r>
      <w:r w:rsidR="00846D69" w:rsidRPr="00ED0C6A">
        <w:rPr>
          <w:rFonts w:asciiTheme="minorHAnsi" w:hAnsiTheme="minorHAnsi"/>
          <w:sz w:val="24"/>
          <w:lang w:val="pl-PL"/>
        </w:rPr>
        <w:t>uprawniony w kontekście zasad określania wymiaru kary i dla celów zastosowania art. 14 w związku z art. 5 ust. 1.</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72571A"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odniesieniu do kwestii proporcjonalności, </w:t>
      </w:r>
      <w:r w:rsidR="0072571A" w:rsidRPr="00ED0C6A">
        <w:rPr>
          <w:rFonts w:asciiTheme="minorHAnsi" w:hAnsiTheme="minorHAnsi"/>
          <w:sz w:val="24"/>
          <w:lang w:val="pl-PL"/>
        </w:rPr>
        <w:t xml:space="preserve">Trybunał zauważył, że </w:t>
      </w:r>
      <w:r w:rsidRPr="00ED0C6A">
        <w:rPr>
          <w:rFonts w:asciiTheme="minorHAnsi" w:hAnsiTheme="minorHAnsi"/>
          <w:sz w:val="24"/>
          <w:lang w:val="pl-PL"/>
        </w:rPr>
        <w:t xml:space="preserve">kara dożywotniego pozbawienia wolności jest w rosyjskim Kodeksie karnym zastrzeżona dla kilku szczególnie poważnych przestępstw, w odniesieniu do których, po uwzględnieniu wszystkich okoliczności obciążających i łagodzących, sąd jest pewny, że jedynie kara dożywotniego pozbawienia wolności odpowiada przestępstwu. Wymierzenie tego rodzaju kary za jakiekolwiek przestępstwo nie jest </w:t>
      </w:r>
      <w:r w:rsidR="00C73C57" w:rsidRPr="00ED0C6A">
        <w:rPr>
          <w:rFonts w:asciiTheme="minorHAnsi" w:hAnsiTheme="minorHAnsi"/>
          <w:sz w:val="24"/>
          <w:lang w:val="pl-PL"/>
        </w:rPr>
        <w:t xml:space="preserve">ani </w:t>
      </w:r>
      <w:r w:rsidRPr="00ED0C6A">
        <w:rPr>
          <w:rFonts w:asciiTheme="minorHAnsi" w:hAnsiTheme="minorHAnsi"/>
          <w:sz w:val="24"/>
          <w:lang w:val="pl-PL"/>
        </w:rPr>
        <w:t>obowiązkowe</w:t>
      </w:r>
      <w:r w:rsidR="00C73C57" w:rsidRPr="00ED0C6A">
        <w:rPr>
          <w:rFonts w:asciiTheme="minorHAnsi" w:hAnsiTheme="minorHAnsi"/>
          <w:sz w:val="24"/>
          <w:lang w:val="pl-PL"/>
        </w:rPr>
        <w:t>,</w:t>
      </w:r>
      <w:r w:rsidRPr="00ED0C6A">
        <w:rPr>
          <w:rFonts w:asciiTheme="minorHAnsi" w:hAnsiTheme="minorHAnsi"/>
          <w:sz w:val="24"/>
          <w:lang w:val="pl-PL"/>
        </w:rPr>
        <w:t xml:space="preserve"> ani automatyczne</w:t>
      </w:r>
      <w:r w:rsidR="00C73C57" w:rsidRPr="00ED0C6A">
        <w:rPr>
          <w:rFonts w:asciiTheme="minorHAnsi" w:hAnsiTheme="minorHAnsi"/>
          <w:sz w:val="24"/>
          <w:lang w:val="pl-PL"/>
        </w:rPr>
        <w:t>,</w:t>
      </w:r>
      <w:r w:rsidRPr="00ED0C6A">
        <w:rPr>
          <w:rFonts w:asciiTheme="minorHAnsi" w:hAnsiTheme="minorHAnsi"/>
          <w:sz w:val="24"/>
          <w:lang w:val="pl-PL"/>
        </w:rPr>
        <w:t xml:space="preserve"> niezależnie od tego, jak poważne byłoby to przestępstwo. </w:t>
      </w:r>
    </w:p>
    <w:p w:rsidR="0072571A" w:rsidRPr="00ED0C6A" w:rsidRDefault="0072571A" w:rsidP="00380783">
      <w:pPr>
        <w:pStyle w:val="ClinContent"/>
        <w:spacing w:before="0"/>
        <w:rPr>
          <w:rFonts w:asciiTheme="minorHAnsi" w:hAnsiTheme="minorHAnsi"/>
          <w:sz w:val="24"/>
          <w:lang w:val="pl-PL"/>
        </w:rPr>
      </w:pP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Rozstrzygnięcia zapadłe w postępowaniach wobec skarżących oparte zostały na konkretnych stanach faktycznych ich spraw, a wymierzone im kary stanowiły efekt zindywidualizowanego zastosowania prawa karnego przez sąd, którego swoboda uznania przy wyborze odpowiedniej kary nie była ograniczona. W tych okolicznościach, zważywszy na penologiczne cele ochrony społeczeństwa oraz ogólnego i indywidualnego odstraszania, kary dożywotniego pozbawienia wolności wymierzone skarżącym nie wydają się arbitralne ani</w:t>
      </w:r>
      <w:r w:rsidR="0072154D">
        <w:rPr>
          <w:rFonts w:asciiTheme="minorHAnsi" w:hAnsiTheme="minorHAnsi"/>
          <w:sz w:val="24"/>
          <w:lang w:val="pl-PL"/>
        </w:rPr>
        <w:t> </w:t>
      </w:r>
      <w:r w:rsidRPr="00ED0C6A">
        <w:rPr>
          <w:rFonts w:asciiTheme="minorHAnsi" w:hAnsiTheme="minorHAnsi"/>
          <w:sz w:val="24"/>
          <w:lang w:val="pl-PL"/>
        </w:rPr>
        <w:t>nieuzasadnione. Ponadto skarżący kwalifikować się będą do przedterminowego zwolnienia po pierwszych 25 latach kary pod warunkiem przestrzegania regulaminu więziennego, a więc w ich sprawach nie zachodzą kwestie porównywalne do tych, które</w:t>
      </w:r>
      <w:r w:rsidR="0072154D">
        <w:rPr>
          <w:rFonts w:asciiTheme="minorHAnsi" w:hAnsiTheme="minorHAnsi"/>
          <w:sz w:val="24"/>
          <w:lang w:val="pl-PL"/>
        </w:rPr>
        <w:t> </w:t>
      </w:r>
      <w:r w:rsidRPr="00ED0C6A">
        <w:rPr>
          <w:rFonts w:asciiTheme="minorHAnsi" w:hAnsiTheme="minorHAnsi"/>
          <w:sz w:val="24"/>
          <w:lang w:val="pl-PL"/>
        </w:rPr>
        <w:t xml:space="preserve">miały miejsce w sprawach </w:t>
      </w:r>
      <w:proofErr w:type="spellStart"/>
      <w:r w:rsidRPr="00ED0C6A">
        <w:rPr>
          <w:rFonts w:asciiTheme="minorHAnsi" w:hAnsiTheme="minorHAnsi"/>
          <w:i/>
          <w:sz w:val="24"/>
          <w:lang w:val="pl-PL"/>
        </w:rPr>
        <w:t>Vinter</w:t>
      </w:r>
      <w:proofErr w:type="spellEnd"/>
      <w:r w:rsidRPr="00ED0C6A">
        <w:rPr>
          <w:rFonts w:asciiTheme="minorHAnsi" w:hAnsiTheme="minorHAnsi"/>
          <w:i/>
          <w:sz w:val="24"/>
          <w:lang w:val="pl-PL"/>
        </w:rPr>
        <w:t xml:space="preserve"> i Inni p. Zjednoczonemu Królestwu</w:t>
      </w:r>
      <w:r w:rsidRPr="00ED0C6A">
        <w:rPr>
          <w:rFonts w:asciiTheme="minorHAnsi" w:hAnsiTheme="minorHAnsi"/>
          <w:sz w:val="24"/>
          <w:lang w:val="pl-PL"/>
        </w:rPr>
        <w:t xml:space="preserve"> ([Wielka Izba], nr</w:t>
      </w:r>
      <w:r w:rsidR="0072154D">
        <w:rPr>
          <w:rFonts w:asciiTheme="minorHAnsi" w:hAnsiTheme="minorHAnsi"/>
          <w:sz w:val="24"/>
          <w:lang w:val="pl-PL"/>
        </w:rPr>
        <w:t> </w:t>
      </w:r>
      <w:r w:rsidRPr="00ED0C6A">
        <w:rPr>
          <w:rFonts w:asciiTheme="minorHAnsi" w:hAnsiTheme="minorHAnsi"/>
          <w:sz w:val="24"/>
          <w:lang w:val="pl-PL"/>
        </w:rPr>
        <w:t xml:space="preserve">66069/09 </w:t>
      </w:r>
      <w:r w:rsidR="00094458" w:rsidRPr="00ED0C6A">
        <w:rPr>
          <w:rFonts w:asciiTheme="minorHAnsi" w:hAnsiTheme="minorHAnsi"/>
          <w:i/>
          <w:sz w:val="24"/>
          <w:lang w:val="pl-PL"/>
        </w:rPr>
        <w:t>i in.</w:t>
      </w:r>
      <w:r w:rsidRPr="00ED0C6A">
        <w:rPr>
          <w:rFonts w:asciiTheme="minorHAnsi" w:hAnsiTheme="minorHAnsi"/>
          <w:i/>
          <w:sz w:val="24"/>
          <w:lang w:val="pl-PL"/>
        </w:rPr>
        <w:t>,</w:t>
      </w:r>
      <w:r w:rsidR="00382BA1" w:rsidRPr="00ED0C6A">
        <w:rPr>
          <w:rFonts w:asciiTheme="minorHAnsi" w:hAnsiTheme="minorHAnsi"/>
          <w:sz w:val="24"/>
          <w:lang w:val="pl-PL"/>
        </w:rPr>
        <w:t xml:space="preserve"> 9 lipca 2013 r.</w:t>
      </w:r>
      <w:r w:rsidRPr="00ED0C6A">
        <w:rPr>
          <w:rStyle w:val="Odwoanieprzypisudolnego"/>
          <w:rFonts w:asciiTheme="minorHAnsi" w:eastAsiaTheme="majorEastAsia" w:hAnsiTheme="minorHAnsi"/>
          <w:sz w:val="24"/>
          <w:lang w:val="pl-PL"/>
        </w:rPr>
        <w:footnoteReference w:id="23"/>
      </w:r>
      <w:r w:rsidRPr="00ED0C6A">
        <w:rPr>
          <w:rStyle w:val="Hipercze"/>
          <w:rFonts w:asciiTheme="minorHAnsi" w:hAnsiTheme="minorHAnsi"/>
          <w:color w:val="auto"/>
          <w:sz w:val="24"/>
          <w:u w:val="none"/>
          <w:lang w:val="pl-PL"/>
        </w:rPr>
        <w:t>)</w:t>
      </w:r>
      <w:r w:rsidRPr="00ED0C6A">
        <w:rPr>
          <w:rFonts w:asciiTheme="minorHAnsi" w:hAnsiTheme="minorHAnsi"/>
          <w:sz w:val="24"/>
          <w:lang w:val="pl-PL"/>
        </w:rPr>
        <w:t xml:space="preserve"> oraz </w:t>
      </w:r>
      <w:r w:rsidRPr="00ED0C6A">
        <w:rPr>
          <w:rFonts w:asciiTheme="minorHAnsi" w:hAnsiTheme="minorHAnsi"/>
          <w:i/>
          <w:sz w:val="24"/>
          <w:lang w:val="pl-PL"/>
        </w:rPr>
        <w:t xml:space="preserve">Murray p. Holandii </w:t>
      </w:r>
      <w:r w:rsidRPr="00ED0C6A">
        <w:rPr>
          <w:rFonts w:asciiTheme="minorHAnsi" w:hAnsiTheme="minorHAnsi"/>
          <w:sz w:val="24"/>
          <w:lang w:val="pl-PL"/>
        </w:rPr>
        <w:t>([Wielka Izba], n</w:t>
      </w:r>
      <w:r w:rsidR="00382BA1" w:rsidRPr="00ED0C6A">
        <w:rPr>
          <w:rFonts w:asciiTheme="minorHAnsi" w:hAnsiTheme="minorHAnsi"/>
          <w:sz w:val="24"/>
          <w:lang w:val="pl-PL"/>
        </w:rPr>
        <w:t>r 10511/10, 26 kwietnia 2016 r.</w:t>
      </w:r>
      <w:r w:rsidRPr="00ED0C6A">
        <w:rPr>
          <w:rFonts w:asciiTheme="minorHAnsi" w:hAnsiTheme="minorHAnsi"/>
          <w:sz w:val="24"/>
          <w:lang w:val="pl-PL"/>
        </w:rPr>
        <w:t>)</w:t>
      </w:r>
      <w:r w:rsidR="007F2B15" w:rsidRPr="00ED0C6A">
        <w:rPr>
          <w:rStyle w:val="Odwoanieprzypisudolnego"/>
          <w:rFonts w:asciiTheme="minorHAnsi" w:hAnsiTheme="minorHAnsi"/>
          <w:sz w:val="24"/>
          <w:lang w:val="pl-PL"/>
        </w:rPr>
        <w:footnoteReference w:id="24"/>
      </w:r>
      <w:r w:rsidRPr="00ED0C6A">
        <w:rPr>
          <w:rFonts w:asciiTheme="minorHAnsi" w:hAnsiTheme="minorHAnsi"/>
          <w:sz w:val="24"/>
          <w:lang w:val="pl-PL"/>
        </w:rPr>
        <w:t>.</w:t>
      </w:r>
    </w:p>
    <w:p w:rsidR="0072571A" w:rsidRPr="00ED0C6A" w:rsidRDefault="0072571A" w:rsidP="00380783">
      <w:pPr>
        <w:pStyle w:val="ClinContent"/>
        <w:spacing w:before="0"/>
        <w:rPr>
          <w:rFonts w:asciiTheme="minorHAnsi" w:hAnsiTheme="minorHAnsi"/>
          <w:sz w:val="24"/>
          <w:lang w:val="pl-PL"/>
        </w:rPr>
      </w:pPr>
    </w:p>
    <w:p w:rsidR="0072571A"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Trybunał uwzględnił ponadto następujące kwestie szczegółowe w odniesieniu do przesłanek wieku i płci</w:t>
      </w:r>
    </w:p>
    <w:p w:rsidR="0072571A" w:rsidRPr="00ED0C6A" w:rsidRDefault="0072571A" w:rsidP="00380783">
      <w:pPr>
        <w:pStyle w:val="ClinContent"/>
        <w:spacing w:before="0"/>
        <w:rPr>
          <w:rFonts w:asciiTheme="minorHAnsi" w:hAnsiTheme="minorHAnsi"/>
          <w:sz w:val="24"/>
          <w:lang w:val="pl-PL"/>
        </w:rPr>
      </w:pPr>
    </w:p>
    <w:p w:rsidR="0072571A"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odniesieniu do </w:t>
      </w:r>
      <w:r w:rsidRPr="00ED0C6A">
        <w:rPr>
          <w:rFonts w:asciiTheme="minorHAnsi" w:hAnsiTheme="minorHAnsi"/>
          <w:i/>
          <w:sz w:val="24"/>
          <w:u w:val="single"/>
          <w:lang w:val="pl-PL"/>
        </w:rPr>
        <w:t>r</w:t>
      </w:r>
      <w:r w:rsidR="00846D69" w:rsidRPr="00ED0C6A">
        <w:rPr>
          <w:rFonts w:asciiTheme="minorHAnsi" w:hAnsiTheme="minorHAnsi"/>
          <w:i/>
          <w:sz w:val="24"/>
          <w:u w:val="single"/>
          <w:lang w:val="pl-PL"/>
        </w:rPr>
        <w:t>óżne</w:t>
      </w:r>
      <w:r w:rsidRPr="00ED0C6A">
        <w:rPr>
          <w:rFonts w:asciiTheme="minorHAnsi" w:hAnsiTheme="minorHAnsi"/>
          <w:i/>
          <w:sz w:val="24"/>
          <w:u w:val="single"/>
          <w:lang w:val="pl-PL"/>
        </w:rPr>
        <w:t>go traktowania</w:t>
      </w:r>
      <w:r w:rsidR="00846D69" w:rsidRPr="00ED0C6A">
        <w:rPr>
          <w:rFonts w:asciiTheme="minorHAnsi" w:hAnsiTheme="minorHAnsi"/>
          <w:i/>
          <w:sz w:val="24"/>
          <w:u w:val="single"/>
          <w:lang w:val="pl-PL"/>
        </w:rPr>
        <w:t xml:space="preserve"> ze względu na wiek</w:t>
      </w:r>
      <w:r w:rsidRPr="00ED0C6A">
        <w:rPr>
          <w:rFonts w:asciiTheme="minorHAnsi" w:hAnsiTheme="minorHAnsi"/>
          <w:i/>
          <w:sz w:val="24"/>
          <w:lang w:val="pl-PL"/>
        </w:rPr>
        <w:t>,</w:t>
      </w:r>
      <w:r w:rsidR="00846D69" w:rsidRPr="00ED0C6A">
        <w:rPr>
          <w:rFonts w:asciiTheme="minorHAnsi" w:hAnsiTheme="minorHAnsi"/>
          <w:i/>
          <w:sz w:val="24"/>
          <w:lang w:val="pl-PL"/>
        </w:rPr>
        <w:t xml:space="preserve"> </w:t>
      </w:r>
      <w:r w:rsidRPr="00ED0C6A">
        <w:rPr>
          <w:rFonts w:asciiTheme="minorHAnsi" w:hAnsiTheme="minorHAnsi"/>
          <w:sz w:val="24"/>
          <w:lang w:val="pl-PL"/>
        </w:rPr>
        <w:t>zdaniem Trybunału b</w:t>
      </w:r>
      <w:r w:rsidR="00846D69" w:rsidRPr="00ED0C6A">
        <w:rPr>
          <w:rFonts w:asciiTheme="minorHAnsi" w:hAnsiTheme="minorHAnsi"/>
          <w:sz w:val="24"/>
          <w:lang w:val="pl-PL"/>
        </w:rPr>
        <w:t xml:space="preserve">rak jest powodów do kwestionowania różnego traktowania skarżących </w:t>
      </w:r>
      <w:r w:rsidRPr="00ED0C6A">
        <w:rPr>
          <w:rFonts w:asciiTheme="minorHAnsi" w:hAnsiTheme="minorHAnsi"/>
          <w:sz w:val="24"/>
          <w:lang w:val="pl-PL"/>
        </w:rPr>
        <w:t xml:space="preserve">w stosunku do </w:t>
      </w:r>
      <w:r w:rsidR="00846D69" w:rsidRPr="00ED0C6A">
        <w:rPr>
          <w:rFonts w:asciiTheme="minorHAnsi" w:hAnsiTheme="minorHAnsi"/>
          <w:sz w:val="24"/>
          <w:lang w:val="pl-PL"/>
        </w:rPr>
        <w:t>młodocianych sprawców. Wyłączenie młodocianych sprawców spod kary dożywotniego pozbawienia wolności jest zgodne ze wspólnym podejściem systemów prawnych wszystkich Układających się Państw Stron. Jest również zgodne ze standardami międzynarodowymi w tym obszarze</w:t>
      </w:r>
      <w:r w:rsidR="00382BA1" w:rsidRPr="00ED0C6A">
        <w:rPr>
          <w:rStyle w:val="Odwoanieprzypisudolnego"/>
          <w:rFonts w:asciiTheme="minorHAnsi" w:hAnsiTheme="minorHAnsi"/>
          <w:sz w:val="24"/>
          <w:lang w:val="pl-PL"/>
        </w:rPr>
        <w:footnoteReference w:id="25"/>
      </w:r>
      <w:r w:rsidR="00846D69" w:rsidRPr="00ED0C6A">
        <w:rPr>
          <w:rFonts w:asciiTheme="minorHAnsi" w:hAnsiTheme="minorHAnsi"/>
          <w:sz w:val="24"/>
          <w:lang w:val="pl-PL"/>
        </w:rPr>
        <w:t>, a jego oczywistym celem jest ułatwienie resocjalizacji młodocianych sprawców. Trybunał uznał, że pociąganie młodocianych sprawców do odpowiedzialności, niezależnie od powagi ich czynu, powinno następować z odpowiednim uwzględnieniem ich domniemanej niedojrzałości umysłowej i emocjonalnej, jak też większej elastyczności ich osobowości oraz</w:t>
      </w:r>
      <w:r w:rsidR="0072154D">
        <w:rPr>
          <w:rFonts w:asciiTheme="minorHAnsi" w:hAnsiTheme="minorHAnsi"/>
          <w:sz w:val="24"/>
          <w:lang w:val="pl-PL"/>
        </w:rPr>
        <w:t> </w:t>
      </w:r>
      <w:r w:rsidR="00846D69" w:rsidRPr="00ED0C6A">
        <w:rPr>
          <w:rFonts w:asciiTheme="minorHAnsi" w:hAnsiTheme="minorHAnsi"/>
          <w:sz w:val="24"/>
          <w:lang w:val="pl-PL"/>
        </w:rPr>
        <w:t>zdolności do resocjalizacji i poprawy.</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odniesieniu </w:t>
      </w:r>
      <w:r w:rsidR="0072571A" w:rsidRPr="00ED0C6A">
        <w:rPr>
          <w:rFonts w:asciiTheme="minorHAnsi" w:hAnsiTheme="minorHAnsi"/>
          <w:sz w:val="24"/>
          <w:lang w:val="pl-PL"/>
        </w:rPr>
        <w:t xml:space="preserve">natomiast </w:t>
      </w:r>
      <w:r w:rsidRPr="00ED0C6A">
        <w:rPr>
          <w:rFonts w:asciiTheme="minorHAnsi" w:hAnsiTheme="minorHAnsi"/>
          <w:sz w:val="24"/>
          <w:lang w:val="pl-PL"/>
        </w:rPr>
        <w:t xml:space="preserve">do różnego traktowania </w:t>
      </w:r>
      <w:r w:rsidR="0072571A" w:rsidRPr="00ED0C6A">
        <w:rPr>
          <w:rFonts w:asciiTheme="minorHAnsi" w:hAnsiTheme="minorHAnsi"/>
          <w:sz w:val="24"/>
          <w:lang w:val="pl-PL"/>
        </w:rPr>
        <w:t xml:space="preserve">skarżących </w:t>
      </w:r>
      <w:r w:rsidRPr="00ED0C6A">
        <w:rPr>
          <w:rFonts w:asciiTheme="minorHAnsi" w:hAnsiTheme="minorHAnsi"/>
          <w:sz w:val="24"/>
          <w:lang w:val="pl-PL"/>
        </w:rPr>
        <w:t>w stosunku do sprawców w</w:t>
      </w:r>
      <w:r w:rsidR="0072154D">
        <w:rPr>
          <w:rFonts w:asciiTheme="minorHAnsi" w:hAnsiTheme="minorHAnsi"/>
          <w:sz w:val="24"/>
          <w:lang w:val="pl-PL"/>
        </w:rPr>
        <w:t> </w:t>
      </w:r>
      <w:r w:rsidRPr="00ED0C6A">
        <w:rPr>
          <w:rFonts w:asciiTheme="minorHAnsi" w:hAnsiTheme="minorHAnsi"/>
          <w:sz w:val="24"/>
          <w:lang w:val="pl-PL"/>
        </w:rPr>
        <w:t xml:space="preserve">wieku 65 lat lub powyżej, Trybunał </w:t>
      </w:r>
      <w:r w:rsidR="0072571A" w:rsidRPr="00ED0C6A">
        <w:rPr>
          <w:rFonts w:asciiTheme="minorHAnsi" w:hAnsiTheme="minorHAnsi"/>
          <w:sz w:val="24"/>
          <w:lang w:val="pl-PL"/>
        </w:rPr>
        <w:t xml:space="preserve">również </w:t>
      </w:r>
      <w:r w:rsidRPr="00ED0C6A">
        <w:rPr>
          <w:rFonts w:asciiTheme="minorHAnsi" w:hAnsiTheme="minorHAnsi"/>
          <w:sz w:val="24"/>
          <w:lang w:val="pl-PL"/>
        </w:rPr>
        <w:t>nie dostrzegł powodów, by stwierdzić brak</w:t>
      </w:r>
      <w:r w:rsidR="0072154D">
        <w:rPr>
          <w:rFonts w:asciiTheme="minorHAnsi" w:hAnsiTheme="minorHAnsi"/>
          <w:sz w:val="24"/>
          <w:lang w:val="pl-PL"/>
        </w:rPr>
        <w:t> </w:t>
      </w:r>
      <w:r w:rsidRPr="00ED0C6A">
        <w:rPr>
          <w:rFonts w:asciiTheme="minorHAnsi" w:hAnsiTheme="minorHAnsi"/>
          <w:sz w:val="24"/>
          <w:lang w:val="pl-PL"/>
        </w:rPr>
        <w:t xml:space="preserve">obiektywnego i rozsądnego uzasadnienia przepisów krajowych wyłączających sprawców w wieku 65 lat lub powyżej spod kary dożywotniego pozbawienia wolności. Cel tego przepisu co do zasady pokrywa się ze względami, które przemawiają za kwalifikowaniem się dorosłych sprawców płci męskiej w wieku poniżej 65 lat, takich jak skarżący, do przedterminowego zwolnienia po pierwszych 25 latach kary, a podejście to opisane zostało w sprawie </w:t>
      </w:r>
      <w:proofErr w:type="spellStart"/>
      <w:r w:rsidRPr="00ED0C6A">
        <w:rPr>
          <w:rFonts w:asciiTheme="minorHAnsi" w:hAnsiTheme="minorHAnsi"/>
          <w:i/>
          <w:sz w:val="24"/>
          <w:lang w:val="pl-PL"/>
        </w:rPr>
        <w:t>Vinter</w:t>
      </w:r>
      <w:proofErr w:type="spellEnd"/>
      <w:r w:rsidRPr="00ED0C6A">
        <w:rPr>
          <w:rFonts w:asciiTheme="minorHAnsi" w:hAnsiTheme="minorHAnsi"/>
          <w:sz w:val="24"/>
          <w:lang w:val="pl-PL"/>
        </w:rPr>
        <w:t xml:space="preserve"> jako wspólne dla prawodawstw krajowych, w których przewidziana jest kara dożywotniego pozbawienia wolności. W przypadku starszych sprawców jeszcze większe znaczenie ma to, aby możliwość skrócenia dożywotniego więzienia nie stała się jedynie i</w:t>
      </w:r>
      <w:r w:rsidR="0072571A" w:rsidRPr="00ED0C6A">
        <w:rPr>
          <w:rFonts w:asciiTheme="minorHAnsi" w:hAnsiTheme="minorHAnsi"/>
          <w:sz w:val="24"/>
          <w:lang w:val="pl-PL"/>
        </w:rPr>
        <w:t>luzoryczną możliwością.</w:t>
      </w:r>
    </w:p>
    <w:p w:rsidR="0072571A" w:rsidRPr="00ED0C6A" w:rsidRDefault="0072571A" w:rsidP="00380783">
      <w:pPr>
        <w:pStyle w:val="ClinContent"/>
        <w:spacing w:before="0"/>
        <w:rPr>
          <w:rFonts w:asciiTheme="minorHAnsi" w:hAnsiTheme="minorHAnsi"/>
          <w:sz w:val="24"/>
          <w:lang w:val="pl-PL"/>
        </w:rPr>
      </w:pPr>
    </w:p>
    <w:p w:rsidR="00846D69"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W odniesieniu do</w:t>
      </w:r>
      <w:r w:rsidR="00846D69" w:rsidRPr="00ED0C6A">
        <w:rPr>
          <w:rFonts w:asciiTheme="minorHAnsi" w:hAnsiTheme="minorHAnsi"/>
          <w:sz w:val="24"/>
          <w:lang w:val="pl-PL"/>
        </w:rPr>
        <w:t xml:space="preserve"> </w:t>
      </w:r>
      <w:r w:rsidRPr="00ED0C6A">
        <w:rPr>
          <w:rFonts w:asciiTheme="minorHAnsi" w:hAnsiTheme="minorHAnsi"/>
          <w:i/>
          <w:sz w:val="24"/>
          <w:u w:val="single"/>
          <w:lang w:val="pl-PL"/>
        </w:rPr>
        <w:t>r</w:t>
      </w:r>
      <w:r w:rsidR="00846D69" w:rsidRPr="00ED0C6A">
        <w:rPr>
          <w:rFonts w:asciiTheme="minorHAnsi" w:hAnsiTheme="minorHAnsi"/>
          <w:i/>
          <w:sz w:val="24"/>
          <w:u w:val="single"/>
          <w:lang w:val="pl-PL"/>
        </w:rPr>
        <w:t>óżne</w:t>
      </w:r>
      <w:r w:rsidRPr="00ED0C6A">
        <w:rPr>
          <w:rFonts w:asciiTheme="minorHAnsi" w:hAnsiTheme="minorHAnsi"/>
          <w:i/>
          <w:sz w:val="24"/>
          <w:u w:val="single"/>
          <w:lang w:val="pl-PL"/>
        </w:rPr>
        <w:t>go</w:t>
      </w:r>
      <w:r w:rsidR="00846D69" w:rsidRPr="00ED0C6A">
        <w:rPr>
          <w:rFonts w:asciiTheme="minorHAnsi" w:hAnsiTheme="minorHAnsi"/>
          <w:i/>
          <w:sz w:val="24"/>
          <w:u w:val="single"/>
          <w:lang w:val="pl-PL"/>
        </w:rPr>
        <w:t xml:space="preserve"> traktowani</w:t>
      </w:r>
      <w:r w:rsidRPr="00ED0C6A">
        <w:rPr>
          <w:rFonts w:asciiTheme="minorHAnsi" w:hAnsiTheme="minorHAnsi"/>
          <w:i/>
          <w:sz w:val="24"/>
          <w:u w:val="single"/>
          <w:lang w:val="pl-PL"/>
        </w:rPr>
        <w:t xml:space="preserve">a </w:t>
      </w:r>
      <w:r w:rsidR="00846D69" w:rsidRPr="00ED0C6A">
        <w:rPr>
          <w:rFonts w:asciiTheme="minorHAnsi" w:hAnsiTheme="minorHAnsi"/>
          <w:i/>
          <w:sz w:val="24"/>
          <w:u w:val="single"/>
          <w:lang w:val="pl-PL"/>
        </w:rPr>
        <w:t>ze względu na płeć</w:t>
      </w:r>
      <w:r w:rsidR="00846D69" w:rsidRPr="00ED0C6A">
        <w:rPr>
          <w:rFonts w:asciiTheme="minorHAnsi" w:hAnsiTheme="minorHAnsi"/>
          <w:i/>
          <w:sz w:val="24"/>
          <w:lang w:val="pl-PL"/>
        </w:rPr>
        <w:t xml:space="preserve"> </w:t>
      </w:r>
      <w:r w:rsidR="00846D69" w:rsidRPr="00ED0C6A">
        <w:rPr>
          <w:rFonts w:asciiTheme="minorHAnsi" w:hAnsiTheme="minorHAnsi"/>
          <w:sz w:val="24"/>
          <w:lang w:val="pl-PL"/>
        </w:rPr>
        <w:t>Trybunał odnotował różne instrumenty europejskie i międzynarodowe odnoszące się do potrzeby ochrony kobiet przed przemocą ze względu na płeć, wykorzystaniem i molestowaniem seksualnym w środowisku więziennym, jak też do potrzeby ochrony ciąży i macierzyństwa. Rząd przedstawił dane statystyczne wskazujące na znaczącą różnicę między całkowitą liczbą osadzonych w więzieniu mężczyzn i kobiet, a także wskazał na względnie niską liczbę osób skazanych na</w:t>
      </w:r>
      <w:r w:rsidR="0072154D">
        <w:rPr>
          <w:rFonts w:asciiTheme="minorHAnsi" w:hAnsiTheme="minorHAnsi"/>
          <w:sz w:val="24"/>
          <w:lang w:val="pl-PL"/>
        </w:rPr>
        <w:t> </w:t>
      </w:r>
      <w:r w:rsidR="00846D69" w:rsidRPr="00ED0C6A">
        <w:rPr>
          <w:rFonts w:asciiTheme="minorHAnsi" w:hAnsiTheme="minorHAnsi"/>
          <w:sz w:val="24"/>
          <w:lang w:val="pl-PL"/>
        </w:rPr>
        <w:t xml:space="preserve">karę dożywotniego pozbawienia wolności. </w:t>
      </w:r>
      <w:r w:rsidRPr="00ED0C6A">
        <w:rPr>
          <w:rFonts w:asciiTheme="minorHAnsi" w:hAnsiTheme="minorHAnsi"/>
          <w:sz w:val="24"/>
          <w:lang w:val="pl-PL"/>
        </w:rPr>
        <w:t xml:space="preserve">Trybunał uznał, że nie </w:t>
      </w:r>
      <w:r w:rsidR="00846D69" w:rsidRPr="00ED0C6A">
        <w:rPr>
          <w:rFonts w:asciiTheme="minorHAnsi" w:hAnsiTheme="minorHAnsi"/>
          <w:sz w:val="24"/>
          <w:lang w:val="pl-PL"/>
        </w:rPr>
        <w:t xml:space="preserve">należy </w:t>
      </w:r>
      <w:r w:rsidRPr="00ED0C6A">
        <w:rPr>
          <w:rFonts w:asciiTheme="minorHAnsi" w:hAnsiTheme="minorHAnsi"/>
          <w:sz w:val="24"/>
          <w:lang w:val="pl-PL"/>
        </w:rPr>
        <w:t>do</w:t>
      </w:r>
      <w:r w:rsidR="0072154D">
        <w:rPr>
          <w:rFonts w:asciiTheme="minorHAnsi" w:hAnsiTheme="minorHAnsi"/>
          <w:sz w:val="24"/>
          <w:lang w:val="pl-PL"/>
        </w:rPr>
        <w:t> </w:t>
      </w:r>
      <w:r w:rsidRPr="00ED0C6A">
        <w:rPr>
          <w:rFonts w:asciiTheme="minorHAnsi" w:hAnsiTheme="minorHAnsi"/>
          <w:sz w:val="24"/>
          <w:lang w:val="pl-PL"/>
        </w:rPr>
        <w:t>niego</w:t>
      </w:r>
      <w:r w:rsidR="0072154D">
        <w:rPr>
          <w:rFonts w:asciiTheme="minorHAnsi" w:hAnsiTheme="minorHAnsi"/>
          <w:sz w:val="24"/>
          <w:lang w:val="pl-PL"/>
        </w:rPr>
        <w:t> </w:t>
      </w:r>
      <w:r w:rsidR="00846D69" w:rsidRPr="00ED0C6A">
        <w:rPr>
          <w:rFonts w:asciiTheme="minorHAnsi" w:hAnsiTheme="minorHAnsi"/>
          <w:sz w:val="24"/>
          <w:lang w:val="pl-PL"/>
        </w:rPr>
        <w:t>przeprowadzanie ponownej – bo dokonanej już przez władze krajowe – oceny danych, którymi władze te dysponują, czy też względów penologicznych, które dane te mają wykazywać. W szczególnych okolicznościach tej sprawy istnieją wystarczające podstawy do</w:t>
      </w:r>
      <w:r w:rsidR="0072154D">
        <w:rPr>
          <w:rFonts w:asciiTheme="minorHAnsi" w:hAnsiTheme="minorHAnsi"/>
          <w:sz w:val="24"/>
          <w:lang w:val="pl-PL"/>
        </w:rPr>
        <w:t> </w:t>
      </w:r>
      <w:r w:rsidR="00846D69" w:rsidRPr="00ED0C6A">
        <w:rPr>
          <w:rFonts w:asciiTheme="minorHAnsi" w:hAnsiTheme="minorHAnsi"/>
          <w:sz w:val="24"/>
          <w:lang w:val="pl-PL"/>
        </w:rPr>
        <w:t>uznania przez Trybunał, że istnieje interes publiczny w wyłączeniu kobiet-sprawców spod</w:t>
      </w:r>
      <w:r w:rsidR="0072154D">
        <w:rPr>
          <w:rFonts w:asciiTheme="minorHAnsi" w:hAnsiTheme="minorHAnsi"/>
          <w:sz w:val="24"/>
          <w:lang w:val="pl-PL"/>
        </w:rPr>
        <w:t> </w:t>
      </w:r>
      <w:r w:rsidR="00846D69" w:rsidRPr="00ED0C6A">
        <w:rPr>
          <w:rFonts w:asciiTheme="minorHAnsi" w:hAnsiTheme="minorHAnsi"/>
          <w:sz w:val="24"/>
          <w:lang w:val="pl-PL"/>
        </w:rPr>
        <w:t xml:space="preserve">kary dożywotniego pozbawienia wolności poprzez regulację generalną. </w:t>
      </w:r>
    </w:p>
    <w:p w:rsidR="0072571A" w:rsidRPr="00ED0C6A" w:rsidRDefault="0072571A" w:rsidP="00380783">
      <w:pPr>
        <w:pStyle w:val="ClinContent"/>
        <w:spacing w:before="0"/>
        <w:rPr>
          <w:rFonts w:asciiTheme="minorHAnsi" w:hAnsiTheme="minorHAnsi"/>
          <w:sz w:val="24"/>
          <w:lang w:val="pl-PL"/>
        </w:rPr>
      </w:pPr>
    </w:p>
    <w:p w:rsidR="0072571A"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W podsumowaniu Trybunał podkreślił, że n</w:t>
      </w:r>
      <w:r w:rsidR="00846D69" w:rsidRPr="00ED0C6A">
        <w:rPr>
          <w:rFonts w:asciiTheme="minorHAnsi" w:hAnsiTheme="minorHAnsi"/>
          <w:sz w:val="24"/>
          <w:lang w:val="pl-PL"/>
        </w:rPr>
        <w:t>aturalne jest, że władze krajowe, których</w:t>
      </w:r>
      <w:r w:rsidR="0072154D">
        <w:rPr>
          <w:rFonts w:asciiTheme="minorHAnsi" w:hAnsiTheme="minorHAnsi"/>
          <w:sz w:val="24"/>
          <w:lang w:val="pl-PL"/>
        </w:rPr>
        <w:t> </w:t>
      </w:r>
      <w:r w:rsidR="00846D69" w:rsidRPr="00ED0C6A">
        <w:rPr>
          <w:rFonts w:asciiTheme="minorHAnsi" w:hAnsiTheme="minorHAnsi"/>
          <w:sz w:val="24"/>
          <w:lang w:val="pl-PL"/>
        </w:rPr>
        <w:t xml:space="preserve">obowiązkiem jest uwzględnianie, w granicach swej jurysdykcji, interesów </w:t>
      </w:r>
      <w:r w:rsidRPr="00ED0C6A">
        <w:rPr>
          <w:rFonts w:asciiTheme="minorHAnsi" w:hAnsiTheme="minorHAnsi"/>
          <w:sz w:val="24"/>
          <w:lang w:val="pl-PL"/>
        </w:rPr>
        <w:t xml:space="preserve">również </w:t>
      </w:r>
      <w:r w:rsidR="00846D69" w:rsidRPr="00ED0C6A">
        <w:rPr>
          <w:rFonts w:asciiTheme="minorHAnsi" w:hAnsiTheme="minorHAnsi"/>
          <w:sz w:val="24"/>
          <w:lang w:val="pl-PL"/>
        </w:rPr>
        <w:t>całego społeczeństwa, powinny korzystać z szerokiej swobody uznania w sytuacjach, w</w:t>
      </w:r>
      <w:r w:rsidR="0072154D">
        <w:rPr>
          <w:rFonts w:asciiTheme="minorHAnsi" w:hAnsiTheme="minorHAnsi"/>
          <w:sz w:val="24"/>
          <w:lang w:val="pl-PL"/>
        </w:rPr>
        <w:t> </w:t>
      </w:r>
      <w:r w:rsidR="00846D69" w:rsidRPr="00ED0C6A">
        <w:rPr>
          <w:rFonts w:asciiTheme="minorHAnsi" w:hAnsiTheme="minorHAnsi"/>
          <w:sz w:val="24"/>
          <w:lang w:val="pl-PL"/>
        </w:rPr>
        <w:t xml:space="preserve">których mają rozstrzygać o sprawach wrażliwych, takich jak polityka karna. </w:t>
      </w:r>
    </w:p>
    <w:p w:rsidR="0072571A" w:rsidRPr="00ED0C6A" w:rsidRDefault="0072571A" w:rsidP="00380783">
      <w:pPr>
        <w:pStyle w:val="ClinContent"/>
        <w:spacing w:before="0"/>
        <w:rPr>
          <w:rFonts w:asciiTheme="minorHAnsi" w:hAnsiTheme="minorHAnsi"/>
          <w:sz w:val="24"/>
          <w:lang w:val="pl-PL"/>
        </w:rPr>
      </w:pPr>
    </w:p>
    <w:p w:rsidR="00846D69" w:rsidRPr="00ED0C6A" w:rsidRDefault="00846D69" w:rsidP="00380783">
      <w:pPr>
        <w:pStyle w:val="ClinContent"/>
        <w:spacing w:before="0"/>
        <w:rPr>
          <w:rFonts w:asciiTheme="minorHAnsi" w:hAnsiTheme="minorHAnsi"/>
          <w:sz w:val="24"/>
          <w:lang w:val="pl-PL"/>
        </w:rPr>
      </w:pPr>
      <w:r w:rsidRPr="00ED0C6A">
        <w:rPr>
          <w:rFonts w:asciiTheme="minorHAnsi" w:hAnsiTheme="minorHAnsi"/>
          <w:sz w:val="24"/>
          <w:lang w:val="pl-PL"/>
        </w:rPr>
        <w:t>Ponieważ delikatne kwestie, które zostały podniesione w obecnej sprawie, dotykają dziedzin, w których (poza wyłączeniem młodocianych przestępców spod kary dożywotniego pozbawienia wolności) istnieje niewielki obszar wspólny dla Państw Członkowskich, a</w:t>
      </w:r>
      <w:r w:rsidR="0072154D">
        <w:rPr>
          <w:rFonts w:asciiTheme="minorHAnsi" w:hAnsiTheme="minorHAnsi"/>
          <w:sz w:val="24"/>
          <w:lang w:val="pl-PL"/>
        </w:rPr>
        <w:t> </w:t>
      </w:r>
      <w:r w:rsidRPr="00ED0C6A">
        <w:rPr>
          <w:rFonts w:asciiTheme="minorHAnsi" w:hAnsiTheme="minorHAnsi"/>
          <w:sz w:val="24"/>
          <w:lang w:val="pl-PL"/>
        </w:rPr>
        <w:t xml:space="preserve">generalnie wydaje się też, że prawo jest obecnie w fazie przejściowej, władzom każdego Państwa należy pozostawić szeroki margines oceny. </w:t>
      </w:r>
    </w:p>
    <w:p w:rsidR="0072571A" w:rsidRPr="00ED0C6A" w:rsidRDefault="0072571A" w:rsidP="00380783">
      <w:pPr>
        <w:pStyle w:val="ClinContent"/>
        <w:spacing w:before="0"/>
        <w:rPr>
          <w:rFonts w:asciiTheme="minorHAnsi" w:hAnsiTheme="minorHAnsi"/>
          <w:sz w:val="24"/>
          <w:lang w:val="pl-PL"/>
        </w:rPr>
      </w:pPr>
    </w:p>
    <w:p w:rsidR="00846D69"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Trybunał uznał, że t</w:t>
      </w:r>
      <w:r w:rsidR="00846D69" w:rsidRPr="00ED0C6A">
        <w:rPr>
          <w:rFonts w:asciiTheme="minorHAnsi" w:hAnsiTheme="minorHAnsi"/>
          <w:sz w:val="24"/>
          <w:lang w:val="pl-PL"/>
        </w:rPr>
        <w:t xml:space="preserve">rudno </w:t>
      </w:r>
      <w:r w:rsidRPr="00ED0C6A">
        <w:rPr>
          <w:rFonts w:asciiTheme="minorHAnsi" w:hAnsiTheme="minorHAnsi"/>
          <w:sz w:val="24"/>
          <w:lang w:val="pl-PL"/>
        </w:rPr>
        <w:t xml:space="preserve">jest </w:t>
      </w:r>
      <w:r w:rsidR="00846D69" w:rsidRPr="00ED0C6A">
        <w:rPr>
          <w:rFonts w:asciiTheme="minorHAnsi" w:hAnsiTheme="minorHAnsi"/>
          <w:sz w:val="24"/>
          <w:lang w:val="pl-PL"/>
        </w:rPr>
        <w:t xml:space="preserve">zatem krytykować rosyjskiego ustawodawcę za ustanowienie – w sposób odzwierciedlający ewolucję społeczeństwa w tej sferze – wyłączenia pewnych grup przestępców spod kary dożywotniego pozbawienia wolności. Uwzględniając wszystkie kwestie, wyłączenie takie jest przejawem postępu społecznego w sprawach penologicznych. Wobec braku wspólnego podejścia </w:t>
      </w:r>
      <w:r w:rsidRPr="00ED0C6A">
        <w:rPr>
          <w:rFonts w:asciiTheme="minorHAnsi" w:hAnsiTheme="minorHAnsi"/>
          <w:sz w:val="24"/>
          <w:lang w:val="pl-PL"/>
        </w:rPr>
        <w:t xml:space="preserve">Państw </w:t>
      </w:r>
      <w:r w:rsidR="00846D69" w:rsidRPr="00ED0C6A">
        <w:rPr>
          <w:rFonts w:asciiTheme="minorHAnsi" w:hAnsiTheme="minorHAnsi"/>
          <w:sz w:val="24"/>
          <w:lang w:val="pl-PL"/>
        </w:rPr>
        <w:t xml:space="preserve">do kwestii wymierzania kary dożywotniego pozbawienia wolności władze rosyjskie nie przekroczyły swego marginesu oceny. </w:t>
      </w:r>
    </w:p>
    <w:p w:rsidR="00C258B6" w:rsidRPr="00ED0C6A" w:rsidRDefault="00C258B6" w:rsidP="00380783">
      <w:pPr>
        <w:pStyle w:val="ClinContent"/>
        <w:spacing w:before="0"/>
        <w:rPr>
          <w:rFonts w:asciiTheme="minorHAnsi" w:hAnsiTheme="minorHAnsi"/>
          <w:sz w:val="24"/>
          <w:lang w:val="pl-PL"/>
        </w:rPr>
      </w:pPr>
    </w:p>
    <w:p w:rsidR="0072571A" w:rsidRPr="00ED0C6A" w:rsidRDefault="0072571A" w:rsidP="00380783">
      <w:pPr>
        <w:pStyle w:val="ClinContent"/>
        <w:spacing w:before="0"/>
        <w:rPr>
          <w:rFonts w:asciiTheme="minorHAnsi" w:hAnsiTheme="minorHAnsi"/>
          <w:sz w:val="24"/>
          <w:lang w:val="pl-PL"/>
        </w:rPr>
      </w:pPr>
      <w:r w:rsidRPr="00ED0C6A">
        <w:rPr>
          <w:rFonts w:asciiTheme="minorHAnsi" w:hAnsiTheme="minorHAnsi"/>
          <w:sz w:val="24"/>
          <w:lang w:val="pl-PL"/>
        </w:rPr>
        <w:t>Trybunał stwierdził</w:t>
      </w:r>
      <w:r w:rsidR="00846D69" w:rsidRPr="00ED0C6A">
        <w:rPr>
          <w:rFonts w:asciiTheme="minorHAnsi" w:hAnsiTheme="minorHAnsi"/>
          <w:sz w:val="24"/>
          <w:lang w:val="pl-PL"/>
        </w:rPr>
        <w:t>, że choć pozwane Państwo – dążąc do realizacji zasad sprawiedliwości i</w:t>
      </w:r>
      <w:r w:rsidR="0072154D">
        <w:rPr>
          <w:rFonts w:asciiTheme="minorHAnsi" w:hAnsiTheme="minorHAnsi"/>
          <w:sz w:val="24"/>
          <w:lang w:val="pl-PL"/>
        </w:rPr>
        <w:t> </w:t>
      </w:r>
      <w:r w:rsidR="00846D69" w:rsidRPr="00ED0C6A">
        <w:rPr>
          <w:rFonts w:asciiTheme="minorHAnsi" w:hAnsiTheme="minorHAnsi"/>
          <w:sz w:val="24"/>
          <w:lang w:val="pl-PL"/>
        </w:rPr>
        <w:t>humanitaryzmu – z pewnością mogłoby rozciągnąć wyłączenie spod kary dożywotniego pozbawienia wolności na wszystkie kategorie sprawców, nie miało ono takiego obowiązku na</w:t>
      </w:r>
      <w:r w:rsidR="0072154D">
        <w:rPr>
          <w:rFonts w:asciiTheme="minorHAnsi" w:hAnsiTheme="minorHAnsi"/>
          <w:sz w:val="24"/>
          <w:lang w:val="pl-PL"/>
        </w:rPr>
        <w:t> </w:t>
      </w:r>
      <w:r w:rsidR="00846D69" w:rsidRPr="00ED0C6A">
        <w:rPr>
          <w:rFonts w:asciiTheme="minorHAnsi" w:hAnsiTheme="minorHAnsi"/>
          <w:sz w:val="24"/>
          <w:lang w:val="pl-PL"/>
        </w:rPr>
        <w:t xml:space="preserve">podstawie Konwencji w świetle jej obecnej interpretacji przez Trybunał. </w:t>
      </w:r>
    </w:p>
    <w:p w:rsidR="0072571A" w:rsidRPr="00ED0C6A" w:rsidRDefault="0072571A" w:rsidP="00380783">
      <w:pPr>
        <w:pStyle w:val="ClinContent"/>
        <w:spacing w:before="0"/>
        <w:rPr>
          <w:rFonts w:asciiTheme="minorHAnsi" w:hAnsiTheme="minorHAnsi"/>
          <w:sz w:val="24"/>
          <w:lang w:val="pl-PL"/>
        </w:rPr>
      </w:pPr>
    </w:p>
    <w:p w:rsidR="00846D69" w:rsidRPr="00ED0C6A" w:rsidRDefault="00D13991" w:rsidP="00380783">
      <w:pPr>
        <w:pStyle w:val="ClinContent"/>
        <w:spacing w:before="0"/>
        <w:rPr>
          <w:rFonts w:asciiTheme="minorHAnsi" w:hAnsiTheme="minorHAnsi"/>
          <w:sz w:val="24"/>
          <w:lang w:val="pl-PL"/>
        </w:rPr>
      </w:pPr>
      <w:r w:rsidRPr="00ED0C6A">
        <w:rPr>
          <w:rFonts w:asciiTheme="minorHAnsi" w:hAnsiTheme="minorHAnsi"/>
          <w:sz w:val="24"/>
          <w:lang w:val="pl-PL"/>
        </w:rPr>
        <w:t>M</w:t>
      </w:r>
      <w:r w:rsidR="00846D69" w:rsidRPr="00ED0C6A">
        <w:rPr>
          <w:rFonts w:asciiTheme="minorHAnsi" w:hAnsiTheme="minorHAnsi"/>
          <w:sz w:val="24"/>
          <w:lang w:val="pl-PL"/>
        </w:rPr>
        <w:t>ając na względzie praktykę stosowania kary dożywotniego pozbawienia wolności w</w:t>
      </w:r>
      <w:r w:rsidR="0072154D">
        <w:rPr>
          <w:rFonts w:asciiTheme="minorHAnsi" w:hAnsiTheme="minorHAnsi"/>
          <w:sz w:val="24"/>
          <w:lang w:val="pl-PL"/>
        </w:rPr>
        <w:t> </w:t>
      </w:r>
      <w:r w:rsidR="00846D69" w:rsidRPr="00ED0C6A">
        <w:rPr>
          <w:rFonts w:asciiTheme="minorHAnsi" w:hAnsiTheme="minorHAnsi"/>
          <w:sz w:val="24"/>
          <w:lang w:val="pl-PL"/>
        </w:rPr>
        <w:t>Federacji Rosyjskiej, tak pod względem sposobu jej wymierzania, jak też możliwości jej</w:t>
      </w:r>
      <w:r w:rsidR="0072154D">
        <w:rPr>
          <w:rFonts w:asciiTheme="minorHAnsi" w:hAnsiTheme="minorHAnsi"/>
          <w:sz w:val="24"/>
          <w:lang w:val="pl-PL"/>
        </w:rPr>
        <w:t> </w:t>
      </w:r>
      <w:r w:rsidR="00846D69" w:rsidRPr="00ED0C6A">
        <w:rPr>
          <w:rFonts w:asciiTheme="minorHAnsi" w:hAnsiTheme="minorHAnsi"/>
          <w:sz w:val="24"/>
          <w:lang w:val="pl-PL"/>
        </w:rPr>
        <w:t xml:space="preserve">późniejszej ponownej oceny, a także interesy całego społeczeństwa w zakresie, w jakim pozostają one w zgodzie z Konwencją, oraz mając na uwadze szeroki margines oceny przysługujący pozwanemu Rządowi, Trybunał uznał, że zachowana została rozsądna proporcja między zastosowanymi środkami a realizowanym uprawnionym celem. Zaskarżone wyłączenia nie stanowiły zakazanego różnego traktowania. Dochodząc do tego wniosku, Trybunał wziął w pełni pod uwagę potrzebę interpretowania Konwencji w sposób harmonijny i zgodny z jej ogólnym duchem. </w:t>
      </w:r>
    </w:p>
    <w:p w:rsidR="00D13991" w:rsidRPr="00ED0C6A" w:rsidRDefault="00D13991" w:rsidP="00380783">
      <w:pPr>
        <w:pStyle w:val="ClinContent"/>
        <w:spacing w:before="0"/>
        <w:rPr>
          <w:rFonts w:asciiTheme="minorHAnsi" w:hAnsiTheme="minorHAnsi"/>
          <w:i/>
          <w:sz w:val="24"/>
          <w:lang w:val="pl-PL"/>
        </w:rPr>
      </w:pPr>
    </w:p>
    <w:p w:rsidR="00846D69" w:rsidRPr="00ED0C6A" w:rsidRDefault="00D13991" w:rsidP="00380783">
      <w:pPr>
        <w:pStyle w:val="ClinContent"/>
        <w:spacing w:before="0"/>
        <w:rPr>
          <w:rFonts w:asciiTheme="minorHAnsi" w:hAnsiTheme="minorHAnsi"/>
          <w:sz w:val="24"/>
          <w:lang w:val="pl-PL"/>
        </w:rPr>
      </w:pPr>
      <w:r w:rsidRPr="00ED0C6A">
        <w:rPr>
          <w:rFonts w:asciiTheme="minorHAnsi" w:hAnsiTheme="minorHAnsi"/>
          <w:sz w:val="24"/>
          <w:lang w:val="pl-PL"/>
        </w:rPr>
        <w:t>W konsekwencji Trybunał orzekł, szesnastoma głosami do jednego, że nie doszło do</w:t>
      </w:r>
      <w:r w:rsidR="0072154D">
        <w:rPr>
          <w:rFonts w:asciiTheme="minorHAnsi" w:hAnsiTheme="minorHAnsi"/>
          <w:sz w:val="24"/>
          <w:lang w:val="pl-PL"/>
        </w:rPr>
        <w:t> </w:t>
      </w:r>
      <w:r w:rsidR="00846D69" w:rsidRPr="00ED0C6A">
        <w:rPr>
          <w:rFonts w:asciiTheme="minorHAnsi" w:hAnsiTheme="minorHAnsi"/>
          <w:sz w:val="24"/>
          <w:lang w:val="pl-PL"/>
        </w:rPr>
        <w:t xml:space="preserve">naruszenia </w:t>
      </w:r>
      <w:r w:rsidRPr="00ED0C6A">
        <w:rPr>
          <w:rFonts w:asciiTheme="minorHAnsi" w:hAnsiTheme="minorHAnsi"/>
          <w:sz w:val="24"/>
          <w:lang w:val="pl-PL"/>
        </w:rPr>
        <w:t xml:space="preserve">zakazu dyskryminacji </w:t>
      </w:r>
      <w:r w:rsidR="00C369D4" w:rsidRPr="00ED0C6A">
        <w:rPr>
          <w:rFonts w:asciiTheme="minorHAnsi" w:hAnsiTheme="minorHAnsi"/>
          <w:sz w:val="24"/>
          <w:lang w:val="pl-PL"/>
        </w:rPr>
        <w:t xml:space="preserve">(art. 14 w związku z art. 5) </w:t>
      </w:r>
      <w:r w:rsidR="00846D69" w:rsidRPr="00ED0C6A">
        <w:rPr>
          <w:rFonts w:asciiTheme="minorHAnsi" w:hAnsiTheme="minorHAnsi"/>
          <w:sz w:val="24"/>
          <w:lang w:val="pl-PL"/>
        </w:rPr>
        <w:t xml:space="preserve">ze względu </w:t>
      </w:r>
      <w:r w:rsidRPr="00ED0C6A">
        <w:rPr>
          <w:rFonts w:asciiTheme="minorHAnsi" w:hAnsiTheme="minorHAnsi"/>
          <w:sz w:val="24"/>
          <w:lang w:val="pl-PL"/>
        </w:rPr>
        <w:t>na wiek, a</w:t>
      </w:r>
      <w:r w:rsidR="0072154D">
        <w:rPr>
          <w:rFonts w:asciiTheme="minorHAnsi" w:hAnsiTheme="minorHAnsi"/>
          <w:sz w:val="24"/>
          <w:lang w:val="pl-PL"/>
        </w:rPr>
        <w:t> </w:t>
      </w:r>
      <w:r w:rsidR="00846D69" w:rsidRPr="00ED0C6A">
        <w:rPr>
          <w:rFonts w:asciiTheme="minorHAnsi" w:hAnsiTheme="minorHAnsi"/>
          <w:sz w:val="24"/>
          <w:lang w:val="pl-PL"/>
        </w:rPr>
        <w:t>dziesięcioma głosami do siedmiu</w:t>
      </w:r>
      <w:r w:rsidRPr="00ED0C6A">
        <w:rPr>
          <w:rFonts w:asciiTheme="minorHAnsi" w:hAnsiTheme="minorHAnsi"/>
          <w:sz w:val="24"/>
          <w:lang w:val="pl-PL"/>
        </w:rPr>
        <w:t xml:space="preserve"> – ze względu na płeć</w:t>
      </w:r>
      <w:r w:rsidR="00846D69" w:rsidRPr="00ED0C6A">
        <w:rPr>
          <w:rFonts w:asciiTheme="minorHAnsi" w:hAnsiTheme="minorHAnsi"/>
          <w:sz w:val="24"/>
          <w:lang w:val="pl-PL"/>
        </w:rPr>
        <w:t xml:space="preserve">. </w:t>
      </w:r>
    </w:p>
    <w:p w:rsidR="00846D69" w:rsidRPr="00ED0C6A" w:rsidRDefault="00846D69" w:rsidP="00380783">
      <w:pPr>
        <w:pStyle w:val="ClinContent"/>
        <w:spacing w:before="0"/>
        <w:rPr>
          <w:rFonts w:asciiTheme="minorHAnsi" w:hAnsiTheme="minorHAnsi"/>
          <w:sz w:val="24"/>
          <w:lang w:val="pl-PL"/>
        </w:rPr>
      </w:pPr>
    </w:p>
    <w:p w:rsidR="00C258B6" w:rsidRPr="00ED0C6A" w:rsidRDefault="00C40756" w:rsidP="00380783">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Wyrok dotyczy i</w:t>
      </w:r>
      <w:r w:rsidR="00D92034" w:rsidRPr="00ED0C6A">
        <w:rPr>
          <w:rFonts w:asciiTheme="minorHAnsi" w:hAnsiTheme="minorHAnsi"/>
          <w:sz w:val="24"/>
          <w:lang w:val="pl-PL"/>
        </w:rPr>
        <w:t>nteresującego</w:t>
      </w:r>
      <w:r w:rsidRPr="00ED0C6A">
        <w:rPr>
          <w:rFonts w:asciiTheme="minorHAnsi" w:hAnsiTheme="minorHAnsi"/>
          <w:sz w:val="24"/>
          <w:lang w:val="pl-PL"/>
        </w:rPr>
        <w:t xml:space="preserve"> zagadnienia oceny jako dyskryminacji przypadków, w których</w:t>
      </w:r>
      <w:r w:rsidR="00C258B6" w:rsidRPr="00ED0C6A">
        <w:rPr>
          <w:rFonts w:asciiTheme="minorHAnsi" w:hAnsiTheme="minorHAnsi"/>
          <w:sz w:val="24"/>
          <w:lang w:val="pl-PL"/>
        </w:rPr>
        <w:t>,</w:t>
      </w:r>
      <w:r w:rsidRPr="00ED0C6A">
        <w:rPr>
          <w:rFonts w:asciiTheme="minorHAnsi" w:hAnsiTheme="minorHAnsi"/>
          <w:sz w:val="24"/>
          <w:lang w:val="pl-PL"/>
        </w:rPr>
        <w:t xml:space="preserve"> w ramach postępu społecznego, łagodzenia polityki karnej i uwzględniania </w:t>
      </w:r>
      <w:r w:rsidR="00C258B6" w:rsidRPr="00ED0C6A">
        <w:rPr>
          <w:rFonts w:asciiTheme="minorHAnsi" w:hAnsiTheme="minorHAnsi"/>
          <w:sz w:val="24"/>
          <w:lang w:val="pl-PL"/>
        </w:rPr>
        <w:t xml:space="preserve">szczególnych potrzeb </w:t>
      </w:r>
      <w:r w:rsidRPr="00ED0C6A">
        <w:rPr>
          <w:rFonts w:asciiTheme="minorHAnsi" w:hAnsiTheme="minorHAnsi"/>
          <w:sz w:val="24"/>
          <w:lang w:val="pl-PL"/>
        </w:rPr>
        <w:t>niektórych grup osób</w:t>
      </w:r>
      <w:r w:rsidR="00C258B6" w:rsidRPr="00ED0C6A">
        <w:rPr>
          <w:rFonts w:asciiTheme="minorHAnsi" w:hAnsiTheme="minorHAnsi"/>
          <w:sz w:val="24"/>
          <w:lang w:val="pl-PL"/>
        </w:rPr>
        <w:t>,</w:t>
      </w:r>
      <w:r w:rsidRPr="00ED0C6A">
        <w:rPr>
          <w:rFonts w:asciiTheme="minorHAnsi" w:hAnsiTheme="minorHAnsi"/>
          <w:sz w:val="24"/>
          <w:lang w:val="pl-PL"/>
        </w:rPr>
        <w:t xml:space="preserve"> wprowadzono </w:t>
      </w:r>
      <w:r w:rsidR="00C258B6" w:rsidRPr="00ED0C6A">
        <w:rPr>
          <w:rFonts w:asciiTheme="minorHAnsi" w:hAnsiTheme="minorHAnsi"/>
          <w:sz w:val="24"/>
          <w:lang w:val="pl-PL"/>
        </w:rPr>
        <w:t xml:space="preserve">w prawie </w:t>
      </w:r>
      <w:r w:rsidRPr="00ED0C6A">
        <w:rPr>
          <w:rFonts w:asciiTheme="minorHAnsi" w:hAnsiTheme="minorHAnsi"/>
          <w:sz w:val="24"/>
          <w:lang w:val="pl-PL"/>
        </w:rPr>
        <w:t>wyjątki od ogólnych uregulowań prawa karnego skutkując</w:t>
      </w:r>
      <w:r w:rsidR="00721A8D" w:rsidRPr="00ED0C6A">
        <w:rPr>
          <w:rFonts w:asciiTheme="minorHAnsi" w:hAnsiTheme="minorHAnsi"/>
          <w:sz w:val="24"/>
          <w:lang w:val="pl-PL"/>
        </w:rPr>
        <w:t>e</w:t>
      </w:r>
      <w:r w:rsidRPr="00ED0C6A">
        <w:rPr>
          <w:rFonts w:asciiTheme="minorHAnsi" w:hAnsiTheme="minorHAnsi"/>
          <w:sz w:val="24"/>
          <w:lang w:val="pl-PL"/>
        </w:rPr>
        <w:t xml:space="preserve"> złagodzeniem traktowania </w:t>
      </w:r>
      <w:r w:rsidR="00C258B6" w:rsidRPr="00ED0C6A">
        <w:rPr>
          <w:rFonts w:asciiTheme="minorHAnsi" w:hAnsiTheme="minorHAnsi"/>
          <w:sz w:val="24"/>
          <w:lang w:val="pl-PL"/>
        </w:rPr>
        <w:t xml:space="preserve">niektórych </w:t>
      </w:r>
      <w:r w:rsidRPr="00ED0C6A">
        <w:rPr>
          <w:rFonts w:asciiTheme="minorHAnsi" w:hAnsiTheme="minorHAnsi"/>
          <w:sz w:val="24"/>
          <w:lang w:val="pl-PL"/>
        </w:rPr>
        <w:t>grup</w:t>
      </w:r>
      <w:r w:rsidR="00C258B6" w:rsidRPr="00ED0C6A">
        <w:rPr>
          <w:rFonts w:asciiTheme="minorHAnsi" w:hAnsiTheme="minorHAnsi"/>
          <w:sz w:val="24"/>
          <w:lang w:val="pl-PL"/>
        </w:rPr>
        <w:t xml:space="preserve">. W tym przypadku Trybunał rozważył zgodność z zakazem dyskryminacji zróżnicowanego traktowania na mocy prawa w odniesieniu do </w:t>
      </w:r>
      <w:r w:rsidRPr="00ED0C6A">
        <w:rPr>
          <w:rFonts w:asciiTheme="minorHAnsi" w:hAnsiTheme="minorHAnsi"/>
          <w:sz w:val="24"/>
          <w:lang w:val="pl-PL"/>
        </w:rPr>
        <w:t>kary dożywotniego pozbawienia wolności z uwagi na wiek i płeć. Dopuszczając odmienne (</w:t>
      </w:r>
      <w:r w:rsidR="00C258B6" w:rsidRPr="00ED0C6A">
        <w:rPr>
          <w:rFonts w:asciiTheme="minorHAnsi" w:hAnsiTheme="minorHAnsi"/>
          <w:sz w:val="24"/>
          <w:lang w:val="pl-PL"/>
        </w:rPr>
        <w:t>łagodniejsze</w:t>
      </w:r>
      <w:r w:rsidRPr="00ED0C6A">
        <w:rPr>
          <w:rFonts w:asciiTheme="minorHAnsi" w:hAnsiTheme="minorHAnsi"/>
          <w:sz w:val="24"/>
          <w:lang w:val="pl-PL"/>
        </w:rPr>
        <w:t>) traktowanie młodocianych sprawców</w:t>
      </w:r>
      <w:r w:rsidR="005C36B7" w:rsidRPr="00ED0C6A">
        <w:rPr>
          <w:rFonts w:asciiTheme="minorHAnsi" w:hAnsiTheme="minorHAnsi"/>
          <w:sz w:val="24"/>
          <w:lang w:val="pl-PL"/>
        </w:rPr>
        <w:t>,</w:t>
      </w:r>
      <w:r w:rsidRPr="00ED0C6A">
        <w:rPr>
          <w:rFonts w:asciiTheme="minorHAnsi" w:hAnsiTheme="minorHAnsi"/>
          <w:sz w:val="24"/>
          <w:lang w:val="pl-PL"/>
        </w:rPr>
        <w:t xml:space="preserve"> Trybunał powołał się na standardy międzynarodowe i</w:t>
      </w:r>
      <w:r w:rsidR="00335B71">
        <w:rPr>
          <w:rFonts w:asciiTheme="minorHAnsi" w:hAnsiTheme="minorHAnsi"/>
          <w:sz w:val="24"/>
          <w:lang w:val="pl-PL"/>
        </w:rPr>
        <w:t> </w:t>
      </w:r>
      <w:r w:rsidRPr="00ED0C6A">
        <w:rPr>
          <w:rFonts w:asciiTheme="minorHAnsi" w:hAnsiTheme="minorHAnsi"/>
          <w:sz w:val="24"/>
          <w:lang w:val="pl-PL"/>
        </w:rPr>
        <w:t xml:space="preserve">istniejący w dużym zakresie konsensus Państw-Stron. Trybunał dopuścił jednak również łagodniejsze traktowanie sprawców w wieku od 65 lat, powołując się na mniejsze możliwości skorzystania </w:t>
      </w:r>
      <w:r w:rsidR="005C36B7" w:rsidRPr="00ED0C6A">
        <w:rPr>
          <w:rFonts w:asciiTheme="minorHAnsi" w:hAnsiTheme="minorHAnsi"/>
          <w:sz w:val="24"/>
          <w:lang w:val="pl-PL"/>
        </w:rPr>
        <w:t xml:space="preserve">przez te osoby </w:t>
      </w:r>
      <w:r w:rsidRPr="00ED0C6A">
        <w:rPr>
          <w:rFonts w:asciiTheme="minorHAnsi" w:hAnsiTheme="minorHAnsi"/>
          <w:sz w:val="24"/>
          <w:lang w:val="pl-PL"/>
        </w:rPr>
        <w:t xml:space="preserve">z uwagi na ich wiek z ogólnych gwarancji dotyczących złagodzenia kary dożywotniego pozbawienia wolności. W odniesieniu do łagodniejszego traktowania kobiet Trybunał uznał za dopuszczalne powoływanie się przez </w:t>
      </w:r>
      <w:r w:rsidR="00721A8D" w:rsidRPr="00ED0C6A">
        <w:rPr>
          <w:rFonts w:asciiTheme="minorHAnsi" w:hAnsiTheme="minorHAnsi"/>
          <w:sz w:val="24"/>
          <w:lang w:val="pl-PL"/>
        </w:rPr>
        <w:t xml:space="preserve">Państwo </w:t>
      </w:r>
      <w:r w:rsidR="00C258B6" w:rsidRPr="00ED0C6A">
        <w:rPr>
          <w:rFonts w:asciiTheme="minorHAnsi" w:hAnsiTheme="minorHAnsi"/>
          <w:sz w:val="24"/>
          <w:lang w:val="pl-PL"/>
        </w:rPr>
        <w:t>na</w:t>
      </w:r>
      <w:r w:rsidR="00335B71">
        <w:rPr>
          <w:rFonts w:asciiTheme="minorHAnsi" w:hAnsiTheme="minorHAnsi"/>
          <w:sz w:val="24"/>
          <w:lang w:val="pl-PL"/>
        </w:rPr>
        <w:t> </w:t>
      </w:r>
      <w:r w:rsidR="00C258B6" w:rsidRPr="00ED0C6A">
        <w:rPr>
          <w:rFonts w:asciiTheme="minorHAnsi" w:hAnsiTheme="minorHAnsi"/>
          <w:sz w:val="24"/>
          <w:lang w:val="pl-PL"/>
        </w:rPr>
        <w:t xml:space="preserve">różnice fizjologiczne, a także przydał znaczenie względom związanym z ochroną przed przemocą ze względu na płeć, wykorzystaniem i molestowaniem seksualnym w środowisku więziennym, jak też </w:t>
      </w:r>
      <w:r w:rsidR="003E6B60" w:rsidRPr="00ED0C6A">
        <w:rPr>
          <w:rFonts w:asciiTheme="minorHAnsi" w:hAnsiTheme="minorHAnsi"/>
          <w:sz w:val="24"/>
          <w:lang w:val="pl-PL"/>
        </w:rPr>
        <w:t>potrzebom</w:t>
      </w:r>
      <w:r w:rsidR="00C258B6" w:rsidRPr="00ED0C6A">
        <w:rPr>
          <w:rFonts w:asciiTheme="minorHAnsi" w:hAnsiTheme="minorHAnsi"/>
          <w:sz w:val="24"/>
          <w:lang w:val="pl-PL"/>
        </w:rPr>
        <w:t xml:space="preserve"> ochrony ciąży i macierzyństwa. Co szczególnie istotne, Trybunał w pierwszej kolejności </w:t>
      </w:r>
      <w:r w:rsidR="00721A8D" w:rsidRPr="00ED0C6A">
        <w:rPr>
          <w:rFonts w:asciiTheme="minorHAnsi" w:hAnsiTheme="minorHAnsi"/>
          <w:sz w:val="24"/>
          <w:lang w:val="pl-PL"/>
        </w:rPr>
        <w:t xml:space="preserve">Państwom </w:t>
      </w:r>
      <w:r w:rsidR="00C258B6" w:rsidRPr="00ED0C6A">
        <w:rPr>
          <w:rFonts w:asciiTheme="minorHAnsi" w:hAnsiTheme="minorHAnsi"/>
          <w:sz w:val="24"/>
          <w:lang w:val="pl-PL"/>
        </w:rPr>
        <w:t>przyznał rolę w ocenianiu danych krajowych dotyczących względów penologicznych i interesów społeczeństwa i wyciąganiu z</w:t>
      </w:r>
      <w:r w:rsidR="00335B71">
        <w:rPr>
          <w:rFonts w:asciiTheme="minorHAnsi" w:hAnsiTheme="minorHAnsi"/>
          <w:sz w:val="24"/>
          <w:lang w:val="pl-PL"/>
        </w:rPr>
        <w:t> </w:t>
      </w:r>
      <w:r w:rsidR="00C258B6" w:rsidRPr="00ED0C6A">
        <w:rPr>
          <w:rFonts w:asciiTheme="minorHAnsi" w:hAnsiTheme="minorHAnsi"/>
          <w:sz w:val="24"/>
          <w:lang w:val="pl-PL"/>
        </w:rPr>
        <w:t>nich</w:t>
      </w:r>
      <w:r w:rsidR="00335B71">
        <w:rPr>
          <w:rFonts w:asciiTheme="minorHAnsi" w:hAnsiTheme="minorHAnsi"/>
          <w:sz w:val="24"/>
          <w:lang w:val="pl-PL"/>
        </w:rPr>
        <w:t> </w:t>
      </w:r>
      <w:r w:rsidR="00C258B6" w:rsidRPr="00ED0C6A">
        <w:rPr>
          <w:rFonts w:asciiTheme="minorHAnsi" w:hAnsiTheme="minorHAnsi"/>
          <w:sz w:val="24"/>
          <w:lang w:val="pl-PL"/>
        </w:rPr>
        <w:t xml:space="preserve">wniosków. </w:t>
      </w:r>
    </w:p>
    <w:p w:rsidR="0000572E" w:rsidRPr="00ED0C6A" w:rsidRDefault="0000572E" w:rsidP="00380783">
      <w:pPr>
        <w:pStyle w:val="ClinContent"/>
        <w:spacing w:before="0"/>
        <w:rPr>
          <w:rFonts w:asciiTheme="minorHAnsi" w:hAnsiTheme="minorHAnsi"/>
          <w:sz w:val="24"/>
          <w:lang w:val="pl-PL"/>
        </w:rPr>
      </w:pPr>
    </w:p>
    <w:p w:rsidR="0000572E" w:rsidRPr="00ED0C6A" w:rsidRDefault="003E2FE4" w:rsidP="00380783">
      <w:pPr>
        <w:pStyle w:val="ClinContent"/>
        <w:spacing w:before="0"/>
        <w:rPr>
          <w:rFonts w:asciiTheme="minorHAnsi" w:hAnsiTheme="minorHAnsi"/>
          <w:sz w:val="24"/>
          <w:u w:val="single"/>
          <w:lang w:val="pl-PL"/>
        </w:rPr>
      </w:pPr>
      <w:r w:rsidRPr="00ED0C6A">
        <w:rPr>
          <w:rFonts w:asciiTheme="minorHAnsi" w:hAnsiTheme="minorHAnsi"/>
          <w:sz w:val="24"/>
          <w:lang w:val="pl-PL"/>
        </w:rPr>
        <w:t>Wyrok może mieć</w:t>
      </w:r>
      <w:r w:rsidR="0000572E" w:rsidRPr="00ED0C6A">
        <w:rPr>
          <w:rFonts w:asciiTheme="minorHAnsi" w:hAnsiTheme="minorHAnsi"/>
          <w:sz w:val="24"/>
          <w:lang w:val="pl-PL"/>
        </w:rPr>
        <w:t xml:space="preserve"> znaczenie zwłaszcza dla organów </w:t>
      </w:r>
      <w:r w:rsidR="00837491" w:rsidRPr="00ED0C6A">
        <w:rPr>
          <w:rFonts w:asciiTheme="minorHAnsi" w:hAnsiTheme="minorHAnsi"/>
          <w:sz w:val="24"/>
          <w:lang w:val="pl-PL"/>
        </w:rPr>
        <w:t>właściwych ds. uregulowań prawnych i</w:t>
      </w:r>
      <w:r w:rsidR="00335B71">
        <w:rPr>
          <w:rFonts w:asciiTheme="minorHAnsi" w:hAnsiTheme="minorHAnsi"/>
          <w:sz w:val="24"/>
          <w:lang w:val="pl-PL"/>
        </w:rPr>
        <w:t> </w:t>
      </w:r>
      <w:r w:rsidR="00837491" w:rsidRPr="00ED0C6A">
        <w:rPr>
          <w:rFonts w:asciiTheme="minorHAnsi" w:hAnsiTheme="minorHAnsi"/>
          <w:sz w:val="24"/>
          <w:lang w:val="pl-PL"/>
        </w:rPr>
        <w:t xml:space="preserve">kontroli </w:t>
      </w:r>
      <w:r w:rsidR="0000572E" w:rsidRPr="00ED0C6A">
        <w:rPr>
          <w:rFonts w:asciiTheme="minorHAnsi" w:hAnsiTheme="minorHAnsi"/>
          <w:sz w:val="24"/>
          <w:lang w:val="pl-PL"/>
        </w:rPr>
        <w:t xml:space="preserve">prawa karnego, a także dla </w:t>
      </w:r>
      <w:r w:rsidR="00837491" w:rsidRPr="00ED0C6A">
        <w:rPr>
          <w:rFonts w:asciiTheme="minorHAnsi" w:hAnsiTheme="minorHAnsi"/>
          <w:sz w:val="24"/>
          <w:lang w:val="pl-PL"/>
        </w:rPr>
        <w:t xml:space="preserve">stosujących je sądów karnych i </w:t>
      </w:r>
      <w:r w:rsidR="0000572E" w:rsidRPr="00ED0C6A">
        <w:rPr>
          <w:rFonts w:asciiTheme="minorHAnsi" w:hAnsiTheme="minorHAnsi"/>
          <w:sz w:val="24"/>
          <w:lang w:val="pl-PL"/>
        </w:rPr>
        <w:t xml:space="preserve">Sądu Najwyższego. </w:t>
      </w:r>
      <w:r w:rsidRPr="00ED0C6A">
        <w:rPr>
          <w:rFonts w:asciiTheme="minorHAnsi" w:hAnsiTheme="minorHAnsi"/>
          <w:sz w:val="24"/>
          <w:lang w:val="pl-PL"/>
        </w:rPr>
        <w:t>Może</w:t>
      </w:r>
      <w:r w:rsidR="00335B71">
        <w:rPr>
          <w:rFonts w:asciiTheme="minorHAnsi" w:hAnsiTheme="minorHAnsi"/>
          <w:sz w:val="24"/>
          <w:lang w:val="pl-PL"/>
        </w:rPr>
        <w:t> </w:t>
      </w:r>
      <w:r w:rsidRPr="00ED0C6A">
        <w:rPr>
          <w:rFonts w:asciiTheme="minorHAnsi" w:hAnsiTheme="minorHAnsi"/>
          <w:sz w:val="24"/>
          <w:lang w:val="pl-PL"/>
        </w:rPr>
        <w:t>mieć też znaczenie dla organów i sądów rozpatrujących zarzuty dyskryminacji.</w:t>
      </w:r>
    </w:p>
    <w:p w:rsidR="00BC0AD8" w:rsidRPr="00ED0C6A" w:rsidRDefault="00BC0AD8" w:rsidP="009333A7">
      <w:pPr>
        <w:pStyle w:val="Nagwek2"/>
        <w:spacing w:before="480"/>
        <w:rPr>
          <w:rFonts w:asciiTheme="minorHAnsi" w:hAnsiTheme="minorHAnsi"/>
          <w:color w:val="auto"/>
          <w:sz w:val="24"/>
          <w:szCs w:val="24"/>
        </w:rPr>
      </w:pPr>
      <w:bookmarkStart w:id="19" w:name="_Toc524696735"/>
      <w:proofErr w:type="spellStart"/>
      <w:r w:rsidRPr="00ED0C6A">
        <w:rPr>
          <w:rFonts w:asciiTheme="minorHAnsi" w:hAnsiTheme="minorHAnsi"/>
          <w:color w:val="auto"/>
          <w:sz w:val="24"/>
          <w:szCs w:val="24"/>
        </w:rPr>
        <w:t>Lopes</w:t>
      </w:r>
      <w:proofErr w:type="spellEnd"/>
      <w:r w:rsidRPr="00ED0C6A">
        <w:rPr>
          <w:rFonts w:asciiTheme="minorHAnsi" w:hAnsiTheme="minorHAnsi"/>
          <w:color w:val="auto"/>
          <w:sz w:val="24"/>
          <w:szCs w:val="24"/>
        </w:rPr>
        <w:t xml:space="preserve"> de </w:t>
      </w:r>
      <w:proofErr w:type="spellStart"/>
      <w:r w:rsidRPr="00ED0C6A">
        <w:rPr>
          <w:rFonts w:asciiTheme="minorHAnsi" w:hAnsiTheme="minorHAnsi"/>
          <w:color w:val="auto"/>
          <w:sz w:val="24"/>
          <w:szCs w:val="24"/>
        </w:rPr>
        <w:t>Sousa</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Fernandes</w:t>
      </w:r>
      <w:proofErr w:type="spellEnd"/>
      <w:r w:rsidRPr="00ED0C6A">
        <w:rPr>
          <w:rFonts w:asciiTheme="minorHAnsi" w:hAnsiTheme="minorHAnsi"/>
          <w:color w:val="auto"/>
          <w:sz w:val="24"/>
          <w:szCs w:val="24"/>
        </w:rPr>
        <w:t xml:space="preserve"> p. Portugalii</w:t>
      </w:r>
      <w:r w:rsidR="004A22AD" w:rsidRPr="00ED0C6A">
        <w:rPr>
          <w:rFonts w:asciiTheme="minorHAnsi" w:hAnsiTheme="minorHAnsi"/>
          <w:color w:val="auto"/>
          <w:sz w:val="24"/>
          <w:szCs w:val="24"/>
        </w:rPr>
        <w:t xml:space="preserve">, </w:t>
      </w:r>
      <w:r w:rsidRPr="00ED0C6A">
        <w:rPr>
          <w:rFonts w:asciiTheme="minorHAnsi" w:hAnsiTheme="minorHAnsi"/>
          <w:color w:val="auto"/>
          <w:sz w:val="24"/>
          <w:szCs w:val="24"/>
        </w:rPr>
        <w:t>skarga nr 56080/13</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133FDE"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w:t>
      </w:r>
      <w:r w:rsidR="00335B71">
        <w:rPr>
          <w:rFonts w:asciiTheme="minorHAnsi" w:hAnsiTheme="minorHAnsi"/>
          <w:color w:val="auto"/>
          <w:sz w:val="24"/>
          <w:szCs w:val="24"/>
        </w:rPr>
        <w:t> </w:t>
      </w:r>
      <w:r w:rsidRPr="00ED0C6A">
        <w:rPr>
          <w:rFonts w:asciiTheme="minorHAnsi" w:hAnsiTheme="minorHAnsi"/>
          <w:color w:val="auto"/>
          <w:sz w:val="24"/>
          <w:szCs w:val="24"/>
        </w:rPr>
        <w:t>19</w:t>
      </w:r>
      <w:r w:rsidR="00335B71">
        <w:rPr>
          <w:rFonts w:asciiTheme="minorHAnsi" w:hAnsiTheme="minorHAnsi"/>
          <w:color w:val="auto"/>
          <w:sz w:val="24"/>
          <w:szCs w:val="24"/>
        </w:rPr>
        <w:t> </w:t>
      </w:r>
      <w:r w:rsidR="00B4260D" w:rsidRPr="00ED0C6A">
        <w:rPr>
          <w:rFonts w:asciiTheme="minorHAnsi" w:hAnsiTheme="minorHAnsi"/>
          <w:color w:val="auto"/>
          <w:sz w:val="24"/>
          <w:szCs w:val="24"/>
        </w:rPr>
        <w:t xml:space="preserve">grudnia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19"/>
    </w:p>
    <w:p w:rsidR="00BC0AD8" w:rsidRPr="00ED0C6A" w:rsidRDefault="00BC0AD8"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281B40" w:rsidRPr="00ED0C6A">
        <w:rPr>
          <w:b/>
          <w:color w:val="000000" w:themeColor="text1"/>
          <w:sz w:val="24"/>
          <w:szCs w:val="24"/>
          <w:lang w:val="pl-PL"/>
        </w:rPr>
        <w:t xml:space="preserve"> art. 2 Konwencji (prawo do życia – aspekt materialny) w odniesieniu do zarzutu zaniedbania medycznego skutkującego śmiercią pacjenta w sytuacji, w</w:t>
      </w:r>
      <w:r w:rsidR="00335B71">
        <w:rPr>
          <w:b/>
          <w:color w:val="000000" w:themeColor="text1"/>
          <w:sz w:val="24"/>
          <w:szCs w:val="24"/>
          <w:lang w:val="pl-PL"/>
        </w:rPr>
        <w:t> </w:t>
      </w:r>
      <w:r w:rsidR="00281B40" w:rsidRPr="00ED0C6A">
        <w:rPr>
          <w:b/>
          <w:color w:val="000000" w:themeColor="text1"/>
          <w:sz w:val="24"/>
          <w:szCs w:val="24"/>
          <w:lang w:val="pl-PL"/>
        </w:rPr>
        <w:t>której zapewnione były odpowiednie ramy regulacyjne w służbie zdrowia celem zapewnienia ochrony życia pacjentów</w:t>
      </w:r>
    </w:p>
    <w:p w:rsidR="00BC0AD8" w:rsidRPr="00ED0C6A" w:rsidRDefault="00BC0AD8"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281B40" w:rsidRPr="00ED0C6A">
        <w:rPr>
          <w:b/>
          <w:color w:val="000000" w:themeColor="text1"/>
          <w:sz w:val="24"/>
          <w:szCs w:val="24"/>
          <w:lang w:val="pl-PL"/>
        </w:rPr>
        <w:t xml:space="preserve"> art. 2 Konwencji (prawo do życia – aspekt proceduralny – aspekt skutecznego śledztwa) z uwagi na brak przeprowadzenia odpowiedniego dochodzenia w rozsądnym terminie w sprawie śmierci wynikającej z podejrzewanego zaniedbania medycznego</w:t>
      </w: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W listopadzie 1997 r., po operacji usunięci</w:t>
      </w:r>
      <w:r w:rsidR="00C73C57" w:rsidRPr="00ED0C6A">
        <w:rPr>
          <w:rFonts w:asciiTheme="minorHAnsi" w:hAnsiTheme="minorHAnsi"/>
          <w:sz w:val="24"/>
          <w:lang w:val="pl-PL"/>
        </w:rPr>
        <w:t>a</w:t>
      </w:r>
      <w:r w:rsidRPr="00ED0C6A">
        <w:rPr>
          <w:rFonts w:asciiTheme="minorHAnsi" w:hAnsiTheme="minorHAnsi"/>
          <w:sz w:val="24"/>
          <w:lang w:val="pl-PL"/>
        </w:rPr>
        <w:t xml:space="preserve"> polipów nosa, u męża skarżącej rozwinęło się</w:t>
      </w:r>
      <w:r w:rsidR="00335B71">
        <w:rPr>
          <w:rFonts w:asciiTheme="minorHAnsi" w:hAnsiTheme="minorHAnsi"/>
          <w:sz w:val="24"/>
          <w:lang w:val="pl-PL"/>
        </w:rPr>
        <w:t> </w:t>
      </w:r>
      <w:r w:rsidRPr="00ED0C6A">
        <w:rPr>
          <w:rFonts w:asciiTheme="minorHAnsi" w:hAnsiTheme="minorHAnsi"/>
          <w:sz w:val="24"/>
          <w:lang w:val="pl-PL"/>
        </w:rPr>
        <w:t xml:space="preserve">bakteryjne zapalenie opon mózgowych, które zostało wykryte dopiero po dwóch dniach od wypisania go ze szpitala. </w:t>
      </w:r>
      <w:r w:rsidR="00C73C57" w:rsidRPr="00ED0C6A">
        <w:rPr>
          <w:rFonts w:asciiTheme="minorHAnsi" w:hAnsiTheme="minorHAnsi"/>
          <w:sz w:val="24"/>
          <w:lang w:val="pl-PL"/>
        </w:rPr>
        <w:t>Był on ponownie kilkakrotnie przyjmowany do szpitala w</w:t>
      </w:r>
      <w:r w:rsidR="00335B71">
        <w:rPr>
          <w:rFonts w:asciiTheme="minorHAnsi" w:hAnsiTheme="minorHAnsi"/>
          <w:sz w:val="24"/>
          <w:lang w:val="pl-PL"/>
        </w:rPr>
        <w:t> </w:t>
      </w:r>
      <w:r w:rsidR="00C73C57" w:rsidRPr="00ED0C6A">
        <w:rPr>
          <w:rFonts w:asciiTheme="minorHAnsi" w:hAnsiTheme="minorHAnsi"/>
          <w:sz w:val="24"/>
          <w:lang w:val="pl-PL"/>
        </w:rPr>
        <w:t xml:space="preserve">związku z ostrym bólem brzucha i biegunką. </w:t>
      </w:r>
      <w:r w:rsidRPr="00ED0C6A">
        <w:rPr>
          <w:rFonts w:asciiTheme="minorHAnsi" w:hAnsiTheme="minorHAnsi"/>
          <w:sz w:val="24"/>
          <w:lang w:val="pl-PL"/>
        </w:rPr>
        <w:t xml:space="preserve">Zmarł trzy miesiące po operacji z powodu skutków posocznicy wywołanej zapaleniem otrzewnej i perforacją przewodu pokarmowego. </w:t>
      </w:r>
    </w:p>
    <w:p w:rsidR="00C73C57" w:rsidRPr="00ED0C6A" w:rsidRDefault="00C73C57"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W 1998 r. skarżąca napisała skargę do władz, stwierdzając, że nie otrzymała od szpitali odpowiedzi wyjaśniającej nagłe pogorszenie zdrowia i śmierć jej męża. W odpowiedzi na</w:t>
      </w:r>
      <w:r w:rsidR="00335B71">
        <w:rPr>
          <w:rFonts w:asciiTheme="minorHAnsi" w:hAnsiTheme="minorHAnsi"/>
          <w:sz w:val="24"/>
          <w:lang w:val="pl-PL"/>
        </w:rPr>
        <w:t> </w:t>
      </w:r>
      <w:r w:rsidRPr="00ED0C6A">
        <w:rPr>
          <w:rFonts w:asciiTheme="minorHAnsi" w:hAnsiTheme="minorHAnsi"/>
          <w:sz w:val="24"/>
          <w:lang w:val="pl-PL"/>
        </w:rPr>
        <w:t>jej</w:t>
      </w:r>
      <w:r w:rsidR="00335B71">
        <w:rPr>
          <w:rFonts w:asciiTheme="minorHAnsi" w:hAnsiTheme="minorHAnsi"/>
          <w:sz w:val="24"/>
          <w:lang w:val="pl-PL"/>
        </w:rPr>
        <w:t> </w:t>
      </w:r>
      <w:r w:rsidRPr="00ED0C6A">
        <w:rPr>
          <w:rFonts w:asciiTheme="minorHAnsi" w:hAnsiTheme="minorHAnsi"/>
          <w:sz w:val="24"/>
          <w:lang w:val="pl-PL"/>
        </w:rPr>
        <w:t>list Generalny Inspektor ds. Zdrowia wszczął dochodzenie i ostatecznie w 2006 r. nakazał wszczęcie postępowania dyscyplinarnego przeciwko jednemu z lekarzy; postępowanie to</w:t>
      </w:r>
      <w:r w:rsidR="00335B71">
        <w:rPr>
          <w:rFonts w:asciiTheme="minorHAnsi" w:hAnsiTheme="minorHAnsi"/>
          <w:sz w:val="24"/>
          <w:lang w:val="pl-PL"/>
        </w:rPr>
        <w:t> </w:t>
      </w:r>
      <w:r w:rsidRPr="00ED0C6A">
        <w:rPr>
          <w:rFonts w:asciiTheme="minorHAnsi" w:hAnsiTheme="minorHAnsi"/>
          <w:sz w:val="24"/>
          <w:lang w:val="pl-PL"/>
        </w:rPr>
        <w:t>zostało jednak zawieszone na czas trwania postępowania karnego, które zostało wszczęte w 2002 r. Postępowanie karne zakończyło się w 2009 r. uniewinnienie</w:t>
      </w:r>
      <w:r w:rsidR="00C73C57" w:rsidRPr="00ED0C6A">
        <w:rPr>
          <w:rFonts w:asciiTheme="minorHAnsi" w:hAnsiTheme="minorHAnsi"/>
          <w:sz w:val="24"/>
          <w:lang w:val="pl-PL"/>
        </w:rPr>
        <w:t xml:space="preserve">m lekarza od zarzutu zabójstwa </w:t>
      </w:r>
      <w:r w:rsidRPr="00ED0C6A">
        <w:rPr>
          <w:rFonts w:asciiTheme="minorHAnsi" w:hAnsiTheme="minorHAnsi"/>
          <w:sz w:val="24"/>
          <w:lang w:val="pl-PL"/>
        </w:rPr>
        <w:t>przez rażące zaniedbanie. W odrębnym postępowaniu okręgowa rada dyscyplinarna Stowarzyszenia Medycznego postanowiła nie podejmować dalszych działań, stwierdziwszy brak dowodów niewłaściwego postępowania lub zaniedbania medycznego. Wreszcie, powództwo cywilne o odszkodowanie wszczęte przez skarżącą w</w:t>
      </w:r>
      <w:r w:rsidR="00335B71">
        <w:rPr>
          <w:rFonts w:asciiTheme="minorHAnsi" w:hAnsiTheme="minorHAnsi"/>
          <w:sz w:val="24"/>
          <w:lang w:val="pl-PL"/>
        </w:rPr>
        <w:t> </w:t>
      </w:r>
      <w:r w:rsidRPr="00ED0C6A">
        <w:rPr>
          <w:rFonts w:asciiTheme="minorHAnsi" w:hAnsiTheme="minorHAnsi"/>
          <w:sz w:val="24"/>
          <w:lang w:val="pl-PL"/>
        </w:rPr>
        <w:t>2003 r. zostało oddalone wyrokiem z 2012 r., który został ostatecznie podtrzymany przez</w:t>
      </w:r>
      <w:r w:rsidR="00335B71">
        <w:rPr>
          <w:rFonts w:asciiTheme="minorHAnsi" w:hAnsiTheme="minorHAnsi"/>
          <w:sz w:val="24"/>
          <w:lang w:val="pl-PL"/>
        </w:rPr>
        <w:t> </w:t>
      </w:r>
      <w:r w:rsidRPr="00ED0C6A">
        <w:rPr>
          <w:rFonts w:asciiTheme="minorHAnsi" w:hAnsiTheme="minorHAnsi"/>
          <w:sz w:val="24"/>
          <w:lang w:val="pl-PL"/>
        </w:rPr>
        <w:t xml:space="preserve">Naczelny Sąd Administracyjny w 2013 r. </w:t>
      </w:r>
    </w:p>
    <w:p w:rsidR="00347ECD" w:rsidRPr="00ED0C6A" w:rsidRDefault="00347ECD" w:rsidP="00380783">
      <w:pPr>
        <w:pStyle w:val="ClinContent"/>
        <w:spacing w:before="0"/>
        <w:rPr>
          <w:rFonts w:asciiTheme="minorHAnsi" w:hAnsiTheme="minorHAnsi"/>
          <w:sz w:val="24"/>
          <w:lang w:val="pl-PL"/>
        </w:rPr>
      </w:pPr>
    </w:p>
    <w:p w:rsidR="00BC0AD8" w:rsidRPr="00ED0C6A" w:rsidRDefault="00347ECD"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Przed Trybunałem </w:t>
      </w:r>
      <w:r w:rsidR="00BC0AD8" w:rsidRPr="00ED0C6A">
        <w:rPr>
          <w:rFonts w:asciiTheme="minorHAnsi" w:hAnsiTheme="minorHAnsi"/>
          <w:sz w:val="24"/>
          <w:lang w:val="pl-PL"/>
        </w:rPr>
        <w:t>skarżąca skarżyła się na podstawie art. 2 na śmierć jej męża w szpitalu na</w:t>
      </w:r>
      <w:r w:rsidR="00335B71">
        <w:rPr>
          <w:rFonts w:asciiTheme="minorHAnsi" w:hAnsiTheme="minorHAnsi"/>
          <w:sz w:val="24"/>
          <w:lang w:val="pl-PL"/>
        </w:rPr>
        <w:t> </w:t>
      </w:r>
      <w:r w:rsidR="00BC0AD8" w:rsidRPr="00ED0C6A">
        <w:rPr>
          <w:rFonts w:asciiTheme="minorHAnsi" w:hAnsiTheme="minorHAnsi"/>
          <w:sz w:val="24"/>
          <w:lang w:val="pl-PL"/>
        </w:rPr>
        <w:t>skutek infekcji</w:t>
      </w:r>
      <w:r w:rsidR="00C73C57" w:rsidRPr="00ED0C6A">
        <w:rPr>
          <w:rFonts w:asciiTheme="minorHAnsi" w:hAnsiTheme="minorHAnsi"/>
          <w:sz w:val="24"/>
          <w:lang w:val="pl-PL"/>
        </w:rPr>
        <w:t xml:space="preserve"> </w:t>
      </w:r>
      <w:r w:rsidR="00BC0AD8" w:rsidRPr="00ED0C6A">
        <w:rPr>
          <w:rFonts w:asciiTheme="minorHAnsi" w:hAnsiTheme="minorHAnsi"/>
          <w:sz w:val="24"/>
          <w:lang w:val="pl-PL"/>
        </w:rPr>
        <w:t>nab</w:t>
      </w:r>
      <w:r w:rsidR="00C73C57" w:rsidRPr="00ED0C6A">
        <w:rPr>
          <w:rFonts w:asciiTheme="minorHAnsi" w:hAnsiTheme="minorHAnsi"/>
          <w:sz w:val="24"/>
          <w:lang w:val="pl-PL"/>
        </w:rPr>
        <w:t>ytej</w:t>
      </w:r>
      <w:r w:rsidR="00BC0AD8" w:rsidRPr="00ED0C6A">
        <w:rPr>
          <w:rFonts w:asciiTheme="minorHAnsi" w:hAnsiTheme="minorHAnsi"/>
          <w:sz w:val="24"/>
          <w:lang w:val="pl-PL"/>
        </w:rPr>
        <w:t xml:space="preserve"> w szpitalu oraz </w:t>
      </w:r>
      <w:r w:rsidR="00247EA1" w:rsidRPr="00ED0C6A">
        <w:rPr>
          <w:rFonts w:asciiTheme="minorHAnsi" w:hAnsiTheme="minorHAnsi"/>
          <w:sz w:val="24"/>
          <w:lang w:val="pl-PL"/>
        </w:rPr>
        <w:t>braku staranności</w:t>
      </w:r>
      <w:r w:rsidR="00BC0AD8" w:rsidRPr="00ED0C6A">
        <w:rPr>
          <w:rFonts w:asciiTheme="minorHAnsi" w:hAnsiTheme="minorHAnsi"/>
          <w:sz w:val="24"/>
          <w:lang w:val="pl-PL"/>
        </w:rPr>
        <w:t xml:space="preserve"> i zaniedbania medycznego. Skarżyła się ponadto, że organy dyscyplinarne, karne i cywilne, do których się zwróciła, nie wyjaśniły dokładnej przyczyny nagłego pogors</w:t>
      </w:r>
      <w:r w:rsidRPr="00ED0C6A">
        <w:rPr>
          <w:rFonts w:asciiTheme="minorHAnsi" w:hAnsiTheme="minorHAnsi"/>
          <w:sz w:val="24"/>
          <w:lang w:val="pl-PL"/>
        </w:rPr>
        <w:t>zenia się stanu zdrowia jej męża.</w:t>
      </w:r>
      <w:r w:rsidR="00BC0AD8" w:rsidRPr="00ED0C6A">
        <w:rPr>
          <w:rFonts w:asciiTheme="minorHAnsi" w:hAnsiTheme="minorHAnsi"/>
          <w:sz w:val="24"/>
          <w:lang w:val="pl-PL"/>
        </w:rPr>
        <w:t xml:space="preserve"> </w:t>
      </w:r>
      <w:r w:rsidR="00C73C57" w:rsidRPr="00ED0C6A">
        <w:rPr>
          <w:rFonts w:asciiTheme="minorHAnsi" w:hAnsiTheme="minorHAnsi"/>
          <w:sz w:val="24"/>
          <w:lang w:val="pl-PL"/>
        </w:rPr>
        <w:t>Przedmiotem jej skargi były</w:t>
      </w:r>
      <w:r w:rsidR="000B0C43" w:rsidRPr="00ED0C6A">
        <w:rPr>
          <w:rFonts w:asciiTheme="minorHAnsi" w:hAnsiTheme="minorHAnsi"/>
          <w:sz w:val="24"/>
          <w:lang w:val="pl-PL"/>
        </w:rPr>
        <w:t xml:space="preserve"> także</w:t>
      </w:r>
      <w:r w:rsidR="00C73C57" w:rsidRPr="00ED0C6A">
        <w:rPr>
          <w:rFonts w:asciiTheme="minorHAnsi" w:hAnsiTheme="minorHAnsi"/>
          <w:sz w:val="24"/>
          <w:lang w:val="pl-PL"/>
        </w:rPr>
        <w:t xml:space="preserve"> </w:t>
      </w:r>
      <w:r w:rsidR="00BC0AD8" w:rsidRPr="00ED0C6A">
        <w:rPr>
          <w:rFonts w:asciiTheme="minorHAnsi" w:hAnsiTheme="minorHAnsi"/>
          <w:sz w:val="24"/>
          <w:lang w:val="pl-PL"/>
        </w:rPr>
        <w:t xml:space="preserve">długość i wynik postępowań krajowych.  </w:t>
      </w:r>
    </w:p>
    <w:p w:rsidR="002F1B4C" w:rsidRPr="00ED0C6A" w:rsidRDefault="002F1B4C"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Wyrokiem z dnia 15 grudnia 2015 r. Izba Trybunału orzekła, pięcioma głosami do dwóch, że</w:t>
      </w:r>
      <w:r w:rsidR="00335B71">
        <w:rPr>
          <w:rFonts w:asciiTheme="minorHAnsi" w:hAnsiTheme="minorHAnsi"/>
          <w:sz w:val="24"/>
          <w:lang w:val="pl-PL"/>
        </w:rPr>
        <w:t> </w:t>
      </w:r>
      <w:r w:rsidRPr="00ED0C6A">
        <w:rPr>
          <w:rFonts w:asciiTheme="minorHAnsi" w:hAnsiTheme="minorHAnsi"/>
          <w:sz w:val="24"/>
          <w:lang w:val="pl-PL"/>
        </w:rPr>
        <w:t xml:space="preserve">doszło do naruszenia art. 2 Konwencji (prawo do życia) w jego aspekcie materialnym, stwierdziła także, jednomyślnie, naruszenie art. 2 w jego aspekcie proceduralnym. </w:t>
      </w:r>
      <w:r w:rsidR="002F1B4C" w:rsidRPr="00ED0C6A">
        <w:rPr>
          <w:rFonts w:asciiTheme="minorHAnsi" w:hAnsiTheme="minorHAnsi"/>
          <w:sz w:val="24"/>
          <w:lang w:val="pl-PL"/>
        </w:rPr>
        <w:t>Na</w:t>
      </w:r>
      <w:r w:rsidR="00335B71">
        <w:rPr>
          <w:rFonts w:asciiTheme="minorHAnsi" w:hAnsiTheme="minorHAnsi"/>
          <w:sz w:val="24"/>
          <w:lang w:val="pl-PL"/>
        </w:rPr>
        <w:t> </w:t>
      </w:r>
      <w:r w:rsidR="002F1B4C" w:rsidRPr="00ED0C6A">
        <w:rPr>
          <w:rFonts w:asciiTheme="minorHAnsi" w:hAnsiTheme="minorHAnsi"/>
          <w:sz w:val="24"/>
          <w:lang w:val="pl-PL"/>
        </w:rPr>
        <w:t>wniosek Rządu sprawa została przekazana do Wielkiej Izby.</w:t>
      </w:r>
    </w:p>
    <w:p w:rsidR="002F1B4C" w:rsidRPr="00ED0C6A" w:rsidRDefault="002F1B4C" w:rsidP="00380783">
      <w:pPr>
        <w:pStyle w:val="ClinContent"/>
        <w:spacing w:before="0"/>
        <w:rPr>
          <w:rFonts w:asciiTheme="minorHAnsi" w:hAnsiTheme="minorHAnsi"/>
          <w:i/>
          <w:sz w:val="24"/>
          <w:lang w:val="pl-PL"/>
        </w:rPr>
      </w:pPr>
    </w:p>
    <w:p w:rsidR="009B0852" w:rsidRPr="00ED0C6A" w:rsidRDefault="009B085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Wielka Izba rozpatrzyła skargę na podstawie dwóch aspektów art. 2 Konwencji – materialnego i proceduralnego. </w:t>
      </w:r>
    </w:p>
    <w:p w:rsidR="009B0852" w:rsidRPr="00ED0C6A" w:rsidRDefault="009B0852" w:rsidP="00380783">
      <w:pPr>
        <w:pStyle w:val="ClinContent"/>
        <w:spacing w:before="0"/>
        <w:rPr>
          <w:rFonts w:asciiTheme="minorHAnsi" w:hAnsiTheme="minorHAnsi"/>
          <w:sz w:val="24"/>
          <w:lang w:val="pl-PL"/>
        </w:rPr>
      </w:pPr>
    </w:p>
    <w:p w:rsidR="00BC0AD8" w:rsidRPr="00ED0C6A" w:rsidRDefault="007F2B15" w:rsidP="00380783">
      <w:pPr>
        <w:pStyle w:val="ClinContent"/>
        <w:spacing w:before="0"/>
        <w:rPr>
          <w:rFonts w:asciiTheme="minorHAnsi" w:hAnsiTheme="minorHAnsi"/>
          <w:i/>
          <w:sz w:val="24"/>
          <w:u w:val="single"/>
          <w:lang w:val="pl-PL"/>
        </w:rPr>
      </w:pPr>
      <w:r w:rsidRPr="00ED0C6A">
        <w:rPr>
          <w:rFonts w:asciiTheme="minorHAnsi" w:hAnsiTheme="minorHAnsi"/>
          <w:i/>
          <w:sz w:val="24"/>
          <w:lang w:val="pl-PL"/>
        </w:rPr>
        <w:t xml:space="preserve">A. </w:t>
      </w:r>
      <w:r w:rsidR="00BC0AD8" w:rsidRPr="00ED0C6A">
        <w:rPr>
          <w:rFonts w:asciiTheme="minorHAnsi" w:hAnsiTheme="minorHAnsi"/>
          <w:i/>
          <w:sz w:val="24"/>
          <w:u w:val="single"/>
          <w:lang w:val="pl-PL"/>
        </w:rPr>
        <w:t>Aspekt materi</w:t>
      </w:r>
      <w:r w:rsidR="009B0852" w:rsidRPr="00ED0C6A">
        <w:rPr>
          <w:rFonts w:asciiTheme="minorHAnsi" w:hAnsiTheme="minorHAnsi"/>
          <w:i/>
          <w:sz w:val="24"/>
          <w:u w:val="single"/>
          <w:lang w:val="pl-PL"/>
        </w:rPr>
        <w:t>alny art. 2 Konwencji</w:t>
      </w:r>
      <w:r w:rsidRPr="00ED0C6A">
        <w:rPr>
          <w:rFonts w:asciiTheme="minorHAnsi" w:hAnsiTheme="minorHAnsi"/>
          <w:i/>
          <w:sz w:val="24"/>
          <w:u w:val="single"/>
          <w:lang w:val="pl-PL"/>
        </w:rPr>
        <w:t xml:space="preserve"> (prawo do życia)</w:t>
      </w:r>
      <w:r w:rsidR="00BC0AD8" w:rsidRPr="00ED0C6A">
        <w:rPr>
          <w:rFonts w:asciiTheme="minorHAnsi" w:hAnsiTheme="minorHAnsi"/>
          <w:i/>
          <w:sz w:val="24"/>
          <w:u w:val="single"/>
          <w:lang w:val="pl-PL"/>
        </w:rPr>
        <w:t>:</w:t>
      </w:r>
    </w:p>
    <w:p w:rsidR="009B0852" w:rsidRPr="00ED0C6A" w:rsidRDefault="009B0852" w:rsidP="00380783">
      <w:pPr>
        <w:pStyle w:val="ClinContent"/>
        <w:spacing w:before="0"/>
        <w:rPr>
          <w:rFonts w:asciiTheme="minorHAnsi" w:hAnsiTheme="minorHAnsi"/>
          <w:sz w:val="24"/>
          <w:lang w:val="pl-PL"/>
        </w:rPr>
      </w:pPr>
    </w:p>
    <w:p w:rsidR="009B0852" w:rsidRPr="00ED0C6A" w:rsidRDefault="009B0852" w:rsidP="00380783">
      <w:pPr>
        <w:pStyle w:val="ClinContent"/>
        <w:spacing w:before="0"/>
        <w:rPr>
          <w:rFonts w:asciiTheme="minorHAnsi" w:hAnsiTheme="minorHAnsi"/>
          <w:i/>
          <w:sz w:val="24"/>
          <w:u w:val="single"/>
          <w:lang w:val="pl-PL"/>
        </w:rPr>
      </w:pPr>
      <w:r w:rsidRPr="00ED0C6A">
        <w:rPr>
          <w:rFonts w:asciiTheme="minorHAnsi" w:hAnsiTheme="minorHAnsi"/>
          <w:i/>
          <w:sz w:val="24"/>
          <w:u w:val="single"/>
          <w:lang w:val="pl-PL"/>
        </w:rPr>
        <w:t>Zasady ogólne</w:t>
      </w: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Po zbadaniu swego </w:t>
      </w:r>
      <w:r w:rsidR="009B0852" w:rsidRPr="00ED0C6A">
        <w:rPr>
          <w:rFonts w:asciiTheme="minorHAnsi" w:hAnsiTheme="minorHAnsi"/>
          <w:sz w:val="24"/>
          <w:lang w:val="pl-PL"/>
        </w:rPr>
        <w:t xml:space="preserve">wcześniejszego </w:t>
      </w:r>
      <w:r w:rsidRPr="00ED0C6A">
        <w:rPr>
          <w:rFonts w:asciiTheme="minorHAnsi" w:hAnsiTheme="minorHAnsi"/>
          <w:sz w:val="24"/>
          <w:lang w:val="pl-PL"/>
        </w:rPr>
        <w:t>orzecznictwa w sprawach dotyczących zaniedba</w:t>
      </w:r>
      <w:r w:rsidR="00247EA1" w:rsidRPr="00ED0C6A">
        <w:rPr>
          <w:rFonts w:asciiTheme="minorHAnsi" w:hAnsiTheme="minorHAnsi"/>
          <w:sz w:val="24"/>
          <w:lang w:val="pl-PL"/>
        </w:rPr>
        <w:t>ń medycznych</w:t>
      </w:r>
      <w:r w:rsidRPr="00ED0C6A">
        <w:rPr>
          <w:rFonts w:asciiTheme="minorHAnsi" w:hAnsiTheme="minorHAnsi"/>
          <w:sz w:val="24"/>
          <w:lang w:val="pl-PL"/>
        </w:rPr>
        <w:t xml:space="preserve"> Trybunał uznał za konieczne wyjaśnić swoje podejście w następujący sposób.</w:t>
      </w:r>
    </w:p>
    <w:p w:rsidR="009B0852" w:rsidRPr="00ED0C6A" w:rsidRDefault="009B0852"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kontekście zarzutów zaniedbania medycznego materialne obowiązki pozytywne Państwa odnoszące się do leczenia ograniczone są do obowiązku uregulowania, </w:t>
      </w:r>
      <w:r w:rsidR="000B0C43" w:rsidRPr="00ED0C6A">
        <w:rPr>
          <w:rFonts w:asciiTheme="minorHAnsi" w:hAnsiTheme="minorHAnsi"/>
          <w:sz w:val="24"/>
          <w:lang w:val="pl-PL"/>
        </w:rPr>
        <w:t>czyli</w:t>
      </w:r>
      <w:r w:rsidRPr="00ED0C6A">
        <w:rPr>
          <w:rFonts w:asciiTheme="minorHAnsi" w:hAnsiTheme="minorHAnsi"/>
          <w:sz w:val="24"/>
          <w:lang w:val="pl-PL"/>
        </w:rPr>
        <w:t xml:space="preserve"> obowiązku wprowadzenia skutecznych ram regulacyjnych zobowiązujących szpitale, tak prywatne, jak</w:t>
      </w:r>
      <w:r w:rsidR="00335B71">
        <w:rPr>
          <w:rFonts w:asciiTheme="minorHAnsi" w:hAnsiTheme="minorHAnsi"/>
          <w:sz w:val="24"/>
          <w:lang w:val="pl-PL"/>
        </w:rPr>
        <w:t> </w:t>
      </w:r>
      <w:r w:rsidRPr="00ED0C6A">
        <w:rPr>
          <w:rFonts w:asciiTheme="minorHAnsi" w:hAnsiTheme="minorHAnsi"/>
          <w:sz w:val="24"/>
          <w:lang w:val="pl-PL"/>
        </w:rPr>
        <w:t>i</w:t>
      </w:r>
      <w:r w:rsidR="00335B71">
        <w:rPr>
          <w:rFonts w:asciiTheme="minorHAnsi" w:hAnsiTheme="minorHAnsi"/>
          <w:sz w:val="24"/>
          <w:lang w:val="pl-PL"/>
        </w:rPr>
        <w:t> </w:t>
      </w:r>
      <w:r w:rsidRPr="00ED0C6A">
        <w:rPr>
          <w:rFonts w:asciiTheme="minorHAnsi" w:hAnsiTheme="minorHAnsi"/>
          <w:sz w:val="24"/>
          <w:lang w:val="pl-PL"/>
        </w:rPr>
        <w:t xml:space="preserve">publiczne, do przyjęcia odpowiednich środków w celu ochrony życia pacjentów. </w:t>
      </w:r>
    </w:p>
    <w:p w:rsidR="009B0852" w:rsidRPr="00ED0C6A" w:rsidRDefault="009B0852"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Nawet w przypadkach, w których zaniedbanie medyczne jest ustalon</w:t>
      </w:r>
      <w:r w:rsidR="000B0C43" w:rsidRPr="00ED0C6A">
        <w:rPr>
          <w:rFonts w:asciiTheme="minorHAnsi" w:hAnsiTheme="minorHAnsi"/>
          <w:sz w:val="24"/>
          <w:lang w:val="pl-PL"/>
        </w:rPr>
        <w:t>ym faktem</w:t>
      </w:r>
      <w:r w:rsidRPr="00ED0C6A">
        <w:rPr>
          <w:rFonts w:asciiTheme="minorHAnsi" w:hAnsiTheme="minorHAnsi"/>
          <w:sz w:val="24"/>
          <w:lang w:val="pl-PL"/>
        </w:rPr>
        <w:t>, Trybunał co</w:t>
      </w:r>
      <w:r w:rsidR="00335B71">
        <w:rPr>
          <w:rFonts w:asciiTheme="minorHAnsi" w:hAnsiTheme="minorHAnsi"/>
          <w:sz w:val="24"/>
          <w:lang w:val="pl-PL"/>
        </w:rPr>
        <w:t> </w:t>
      </w:r>
      <w:r w:rsidRPr="00ED0C6A">
        <w:rPr>
          <w:rFonts w:asciiTheme="minorHAnsi" w:hAnsiTheme="minorHAnsi"/>
          <w:sz w:val="24"/>
          <w:lang w:val="pl-PL"/>
        </w:rPr>
        <w:t>do zasady stwierdz</w:t>
      </w:r>
      <w:r w:rsidR="000B0C43" w:rsidRPr="00ED0C6A">
        <w:rPr>
          <w:rFonts w:asciiTheme="minorHAnsi" w:hAnsiTheme="minorHAnsi"/>
          <w:sz w:val="24"/>
          <w:lang w:val="pl-PL"/>
        </w:rPr>
        <w:t>a</w:t>
      </w:r>
      <w:r w:rsidRPr="00ED0C6A">
        <w:rPr>
          <w:rFonts w:asciiTheme="minorHAnsi" w:hAnsiTheme="minorHAnsi"/>
          <w:sz w:val="24"/>
          <w:lang w:val="pl-PL"/>
        </w:rPr>
        <w:t xml:space="preserve"> naruszenie materialne art. 2 tylko wówczas, gdy właściwe ramy regulacyjne nie zapewniały odpowiedniej ochrony życia pacjenta. Jeśli Układające się</w:t>
      </w:r>
      <w:r w:rsidR="00335B71">
        <w:rPr>
          <w:rFonts w:asciiTheme="minorHAnsi" w:hAnsiTheme="minorHAnsi"/>
          <w:sz w:val="24"/>
          <w:lang w:val="pl-PL"/>
        </w:rPr>
        <w:t> </w:t>
      </w:r>
      <w:r w:rsidRPr="00ED0C6A">
        <w:rPr>
          <w:rFonts w:asciiTheme="minorHAnsi" w:hAnsiTheme="minorHAnsi"/>
          <w:sz w:val="24"/>
          <w:lang w:val="pl-PL"/>
        </w:rPr>
        <w:t xml:space="preserve">Państwo wzięło </w:t>
      </w:r>
      <w:r w:rsidR="000B0C43" w:rsidRPr="00ED0C6A">
        <w:rPr>
          <w:rFonts w:asciiTheme="minorHAnsi" w:hAnsiTheme="minorHAnsi"/>
          <w:sz w:val="24"/>
          <w:lang w:val="pl-PL"/>
        </w:rPr>
        <w:t xml:space="preserve">należycie </w:t>
      </w:r>
      <w:r w:rsidRPr="00ED0C6A">
        <w:rPr>
          <w:rFonts w:asciiTheme="minorHAnsi" w:hAnsiTheme="minorHAnsi"/>
          <w:sz w:val="24"/>
          <w:lang w:val="pl-PL"/>
        </w:rPr>
        <w:t xml:space="preserve">pod uwagę konieczność zapewnienia wysokich standardów zawodowych personelu służby zdrowia oraz ochrony życia pacjentów, sprawy takie jak błąd w ocenie po stronie pracownika służby zdrowia lub zaniedbania w zakresie koordynacji </w:t>
      </w:r>
      <w:r w:rsidR="000B0C43" w:rsidRPr="00ED0C6A">
        <w:rPr>
          <w:rFonts w:asciiTheme="minorHAnsi" w:hAnsiTheme="minorHAnsi"/>
          <w:sz w:val="24"/>
          <w:lang w:val="pl-PL"/>
        </w:rPr>
        <w:t xml:space="preserve">leczenia danego pacjenta </w:t>
      </w:r>
      <w:r w:rsidRPr="00ED0C6A">
        <w:rPr>
          <w:rFonts w:asciiTheme="minorHAnsi" w:hAnsiTheme="minorHAnsi"/>
          <w:sz w:val="24"/>
          <w:lang w:val="pl-PL"/>
        </w:rPr>
        <w:t>między personelem służby zdrowia nie mogą same w sobie być uznane za wystarczające do pociągnięcia Układającego się Państwa do odpowiedzialności z</w:t>
      </w:r>
      <w:r w:rsidR="00335B71">
        <w:rPr>
          <w:rFonts w:asciiTheme="minorHAnsi" w:hAnsiTheme="minorHAnsi"/>
          <w:sz w:val="24"/>
          <w:lang w:val="pl-PL"/>
        </w:rPr>
        <w:t> </w:t>
      </w:r>
      <w:r w:rsidRPr="00ED0C6A">
        <w:rPr>
          <w:rFonts w:asciiTheme="minorHAnsi" w:hAnsiTheme="minorHAnsi"/>
          <w:sz w:val="24"/>
          <w:lang w:val="pl-PL"/>
        </w:rPr>
        <w:t xml:space="preserve">punktu widzenia jego </w:t>
      </w:r>
      <w:r w:rsidR="00AE517C" w:rsidRPr="00ED0C6A">
        <w:rPr>
          <w:rFonts w:asciiTheme="minorHAnsi" w:hAnsiTheme="minorHAnsi"/>
          <w:sz w:val="24"/>
          <w:lang w:val="pl-PL"/>
        </w:rPr>
        <w:t xml:space="preserve">pozytywnych </w:t>
      </w:r>
      <w:r w:rsidR="000B0C43" w:rsidRPr="00ED0C6A">
        <w:rPr>
          <w:rFonts w:asciiTheme="minorHAnsi" w:hAnsiTheme="minorHAnsi"/>
          <w:sz w:val="24"/>
          <w:lang w:val="pl-PL"/>
        </w:rPr>
        <w:t xml:space="preserve">obowiązków </w:t>
      </w:r>
      <w:r w:rsidRPr="00ED0C6A">
        <w:rPr>
          <w:rFonts w:asciiTheme="minorHAnsi" w:hAnsiTheme="minorHAnsi"/>
          <w:sz w:val="24"/>
          <w:lang w:val="pl-PL"/>
        </w:rPr>
        <w:t xml:space="preserve">ochrony życia na podstawie art. 2 Konwencji. </w:t>
      </w:r>
    </w:p>
    <w:p w:rsidR="009B0852" w:rsidRPr="00ED0C6A" w:rsidRDefault="009B0852"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Pytanie, czy doszło do zaniechań ze strony Państwa w zakresie jego obowiązków regulacyjnych, wymaga skonkretyzowanej, a nie abstrakcyjnej oceny zarzucanych braków. W</w:t>
      </w:r>
      <w:r w:rsidR="00335B71">
        <w:rPr>
          <w:rFonts w:asciiTheme="minorHAnsi" w:hAnsiTheme="minorHAnsi"/>
          <w:sz w:val="24"/>
          <w:lang w:val="pl-PL"/>
        </w:rPr>
        <w:t> </w:t>
      </w:r>
      <w:r w:rsidRPr="00ED0C6A">
        <w:rPr>
          <w:rFonts w:asciiTheme="minorHAnsi" w:hAnsiTheme="minorHAnsi"/>
          <w:sz w:val="24"/>
          <w:lang w:val="pl-PL"/>
        </w:rPr>
        <w:t xml:space="preserve">tym względzie, zadaniem Trybunału nie jest </w:t>
      </w:r>
      <w:r w:rsidR="000B0C43" w:rsidRPr="00ED0C6A">
        <w:rPr>
          <w:rFonts w:asciiTheme="minorHAnsi" w:hAnsiTheme="minorHAnsi"/>
          <w:sz w:val="24"/>
          <w:lang w:val="pl-PL"/>
        </w:rPr>
        <w:t xml:space="preserve">co do zasady </w:t>
      </w:r>
      <w:r w:rsidRPr="00ED0C6A">
        <w:rPr>
          <w:rFonts w:asciiTheme="minorHAnsi" w:hAnsiTheme="minorHAnsi"/>
          <w:sz w:val="24"/>
          <w:lang w:val="pl-PL"/>
        </w:rPr>
        <w:t xml:space="preserve">dokonywanie kontroli właściwego prawa i praktyki </w:t>
      </w:r>
      <w:r w:rsidRPr="00ED0C6A">
        <w:rPr>
          <w:rFonts w:asciiTheme="minorHAnsi" w:hAnsiTheme="minorHAnsi"/>
          <w:i/>
          <w:sz w:val="24"/>
          <w:lang w:val="pl-PL"/>
        </w:rPr>
        <w:t xml:space="preserve">in abstracto, </w:t>
      </w:r>
      <w:r w:rsidRPr="00ED0C6A">
        <w:rPr>
          <w:rFonts w:asciiTheme="minorHAnsi" w:hAnsiTheme="minorHAnsi"/>
          <w:sz w:val="24"/>
          <w:lang w:val="pl-PL"/>
        </w:rPr>
        <w:t>ale raczej ustalenie, czy sposób, w jaki zostały one zastosowane wobec skarżącego lub miały na niego wpływ, powodował naruszenie Konwencji. A zatem fakt, że ramy regulacyjne mogą być pod pewnym względem</w:t>
      </w:r>
      <w:r w:rsidR="000B0C43" w:rsidRPr="00ED0C6A">
        <w:rPr>
          <w:rFonts w:asciiTheme="minorHAnsi" w:hAnsiTheme="minorHAnsi"/>
          <w:sz w:val="24"/>
          <w:lang w:val="pl-PL"/>
        </w:rPr>
        <w:t xml:space="preserve"> niedostateczne</w:t>
      </w:r>
      <w:r w:rsidRPr="00ED0C6A">
        <w:rPr>
          <w:rFonts w:asciiTheme="minorHAnsi" w:hAnsiTheme="minorHAnsi"/>
          <w:sz w:val="24"/>
          <w:lang w:val="pl-PL"/>
        </w:rPr>
        <w:t xml:space="preserve">, </w:t>
      </w:r>
      <w:r w:rsidR="000B0C43" w:rsidRPr="00ED0C6A">
        <w:rPr>
          <w:rFonts w:asciiTheme="minorHAnsi" w:hAnsiTheme="minorHAnsi"/>
          <w:sz w:val="24"/>
          <w:lang w:val="pl-PL"/>
        </w:rPr>
        <w:t xml:space="preserve">nie jest </w:t>
      </w:r>
      <w:r w:rsidRPr="00ED0C6A">
        <w:rPr>
          <w:rFonts w:asciiTheme="minorHAnsi" w:hAnsiTheme="minorHAnsi"/>
          <w:sz w:val="24"/>
          <w:lang w:val="pl-PL"/>
        </w:rPr>
        <w:t>sam w sobie wystarczający</w:t>
      </w:r>
      <w:r w:rsidR="000B0C43" w:rsidRPr="00ED0C6A">
        <w:rPr>
          <w:rFonts w:asciiTheme="minorHAnsi" w:hAnsiTheme="minorHAnsi"/>
          <w:sz w:val="24"/>
          <w:lang w:val="pl-PL"/>
        </w:rPr>
        <w:t xml:space="preserve"> do podniesienia sprawy </w:t>
      </w:r>
      <w:r w:rsidRPr="00ED0C6A">
        <w:rPr>
          <w:rFonts w:asciiTheme="minorHAnsi" w:hAnsiTheme="minorHAnsi"/>
          <w:sz w:val="24"/>
          <w:lang w:val="pl-PL"/>
        </w:rPr>
        <w:t>na gruncie</w:t>
      </w:r>
      <w:r w:rsidR="000A6DAF" w:rsidRPr="00ED0C6A">
        <w:rPr>
          <w:rFonts w:asciiTheme="minorHAnsi" w:hAnsiTheme="minorHAnsi"/>
          <w:sz w:val="24"/>
          <w:lang w:val="pl-PL"/>
        </w:rPr>
        <w:t xml:space="preserve"> art. 2. Należy wykazać, że </w:t>
      </w:r>
      <w:r w:rsidRPr="00ED0C6A">
        <w:rPr>
          <w:rFonts w:asciiTheme="minorHAnsi" w:hAnsiTheme="minorHAnsi"/>
          <w:sz w:val="24"/>
          <w:lang w:val="pl-PL"/>
        </w:rPr>
        <w:t xml:space="preserve">niedociągnięcia </w:t>
      </w:r>
      <w:r w:rsidR="000B0C43" w:rsidRPr="00ED0C6A">
        <w:rPr>
          <w:rFonts w:asciiTheme="minorHAnsi" w:hAnsiTheme="minorHAnsi"/>
          <w:sz w:val="24"/>
          <w:lang w:val="pl-PL"/>
        </w:rPr>
        <w:t xml:space="preserve">te </w:t>
      </w:r>
      <w:r w:rsidRPr="00ED0C6A">
        <w:rPr>
          <w:rFonts w:asciiTheme="minorHAnsi" w:hAnsiTheme="minorHAnsi"/>
          <w:sz w:val="24"/>
          <w:lang w:val="pl-PL"/>
        </w:rPr>
        <w:t xml:space="preserve">działały na szkodę pacjenta. </w:t>
      </w:r>
    </w:p>
    <w:p w:rsidR="009B0852" w:rsidRPr="00ED0C6A" w:rsidRDefault="009B0852" w:rsidP="00380783">
      <w:pPr>
        <w:pStyle w:val="ClinContent"/>
        <w:spacing w:before="0"/>
        <w:rPr>
          <w:rFonts w:asciiTheme="minorHAnsi" w:hAnsiTheme="minorHAnsi"/>
          <w:sz w:val="24"/>
          <w:lang w:val="pl-PL"/>
        </w:rPr>
      </w:pPr>
    </w:p>
    <w:p w:rsidR="00BC0AD8" w:rsidRPr="00ED0C6A" w:rsidRDefault="009B0852" w:rsidP="00380783">
      <w:pPr>
        <w:pStyle w:val="ClinContent"/>
        <w:spacing w:before="0"/>
        <w:rPr>
          <w:rFonts w:asciiTheme="minorHAnsi" w:hAnsiTheme="minorHAnsi"/>
          <w:sz w:val="24"/>
          <w:lang w:val="pl-PL"/>
        </w:rPr>
      </w:pPr>
      <w:r w:rsidRPr="00ED0C6A">
        <w:rPr>
          <w:rFonts w:asciiTheme="minorHAnsi" w:hAnsiTheme="minorHAnsi"/>
          <w:sz w:val="24"/>
          <w:lang w:val="pl-PL"/>
        </w:rPr>
        <w:t>Trybunał ponadto podkreślił</w:t>
      </w:r>
      <w:r w:rsidR="00BC0AD8" w:rsidRPr="00ED0C6A">
        <w:rPr>
          <w:rFonts w:asciiTheme="minorHAnsi" w:hAnsiTheme="minorHAnsi"/>
          <w:sz w:val="24"/>
          <w:lang w:val="pl-PL"/>
        </w:rPr>
        <w:t>, że obowiązek regulacyjny Państw musi być rozumiany w</w:t>
      </w:r>
      <w:r w:rsidR="00335B71">
        <w:rPr>
          <w:rFonts w:asciiTheme="minorHAnsi" w:hAnsiTheme="minorHAnsi"/>
          <w:sz w:val="24"/>
          <w:lang w:val="pl-PL"/>
        </w:rPr>
        <w:t> </w:t>
      </w:r>
      <w:r w:rsidR="00BC0AD8" w:rsidRPr="00ED0C6A">
        <w:rPr>
          <w:rFonts w:asciiTheme="minorHAnsi" w:hAnsiTheme="minorHAnsi"/>
          <w:sz w:val="24"/>
          <w:lang w:val="pl-PL"/>
        </w:rPr>
        <w:t xml:space="preserve">szerszym znaczeniu obejmującym obowiązek zapewnienia skutecznego funkcjonowania tych ram regulacyjnych. Obowiązki regulacyjne obejmują zatem środki konieczne </w:t>
      </w:r>
      <w:r w:rsidR="000B0C43" w:rsidRPr="00ED0C6A">
        <w:rPr>
          <w:rFonts w:asciiTheme="minorHAnsi" w:hAnsiTheme="minorHAnsi"/>
          <w:sz w:val="24"/>
          <w:lang w:val="pl-PL"/>
        </w:rPr>
        <w:t>do</w:t>
      </w:r>
      <w:r w:rsidR="00335B71">
        <w:rPr>
          <w:rFonts w:asciiTheme="minorHAnsi" w:hAnsiTheme="minorHAnsi"/>
          <w:sz w:val="24"/>
          <w:lang w:val="pl-PL"/>
        </w:rPr>
        <w:t> </w:t>
      </w:r>
      <w:r w:rsidR="00BC0AD8" w:rsidRPr="00ED0C6A">
        <w:rPr>
          <w:rFonts w:asciiTheme="minorHAnsi" w:hAnsiTheme="minorHAnsi"/>
          <w:sz w:val="24"/>
          <w:lang w:val="pl-PL"/>
        </w:rPr>
        <w:t xml:space="preserve">zapewnienia ich wdrożenia, w tym nadzór i egzekwowanie. </w:t>
      </w:r>
    </w:p>
    <w:p w:rsidR="009B0852" w:rsidRPr="00ED0C6A" w:rsidRDefault="009B0852"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oparciu o to szersze rozumienie obowiązku Państw zapewnienia ram regulacyjnych Trybunał przyjął, że odpowiedzialność Państwa na podstawie materialnego aspektu art. 2 Konwencji może </w:t>
      </w:r>
      <w:r w:rsidR="000B0C43" w:rsidRPr="00ED0C6A">
        <w:rPr>
          <w:rFonts w:asciiTheme="minorHAnsi" w:hAnsiTheme="minorHAnsi"/>
          <w:sz w:val="24"/>
          <w:lang w:val="pl-PL"/>
        </w:rPr>
        <w:t xml:space="preserve">odnosić się </w:t>
      </w:r>
      <w:r w:rsidRPr="00ED0C6A">
        <w:rPr>
          <w:rFonts w:asciiTheme="minorHAnsi" w:hAnsiTheme="minorHAnsi"/>
          <w:sz w:val="24"/>
          <w:lang w:val="pl-PL"/>
        </w:rPr>
        <w:t xml:space="preserve">do czynów i zaniechań podmiotów świadczących opiekę zdrowotną w bardzo wyjątkowych okolicznościach, a mianowicie: </w:t>
      </w:r>
    </w:p>
    <w:p w:rsidR="009B0852" w:rsidRPr="00ED0C6A" w:rsidRDefault="009B0852"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(a) </w:t>
      </w:r>
      <w:r w:rsidRPr="00ED0C6A">
        <w:rPr>
          <w:rFonts w:asciiTheme="minorHAnsi" w:hAnsiTheme="minorHAnsi"/>
          <w:i/>
          <w:sz w:val="24"/>
          <w:u w:val="single"/>
          <w:lang w:val="pl-PL"/>
        </w:rPr>
        <w:t xml:space="preserve">w przypadku, gdy </w:t>
      </w:r>
      <w:r w:rsidR="000B0C43" w:rsidRPr="00ED0C6A">
        <w:rPr>
          <w:rFonts w:asciiTheme="minorHAnsi" w:hAnsiTheme="minorHAnsi"/>
          <w:i/>
          <w:sz w:val="24"/>
          <w:u w:val="single"/>
          <w:lang w:val="pl-PL"/>
        </w:rPr>
        <w:t>zagrożenie życia</w:t>
      </w:r>
      <w:r w:rsidRPr="00ED0C6A">
        <w:rPr>
          <w:rFonts w:asciiTheme="minorHAnsi" w:hAnsiTheme="minorHAnsi"/>
          <w:i/>
          <w:sz w:val="24"/>
          <w:u w:val="single"/>
          <w:lang w:val="pl-PL"/>
        </w:rPr>
        <w:t xml:space="preserve"> danego pacjenta </w:t>
      </w:r>
      <w:r w:rsidR="000B0C43" w:rsidRPr="00ED0C6A">
        <w:rPr>
          <w:rFonts w:asciiTheme="minorHAnsi" w:hAnsiTheme="minorHAnsi"/>
          <w:i/>
          <w:sz w:val="24"/>
          <w:u w:val="single"/>
          <w:lang w:val="pl-PL"/>
        </w:rPr>
        <w:t xml:space="preserve">stwarzane </w:t>
      </w:r>
      <w:r w:rsidRPr="00ED0C6A">
        <w:rPr>
          <w:rFonts w:asciiTheme="minorHAnsi" w:hAnsiTheme="minorHAnsi"/>
          <w:i/>
          <w:sz w:val="24"/>
          <w:u w:val="single"/>
          <w:lang w:val="pl-PL"/>
        </w:rPr>
        <w:t>jest w sposób świadomy poprzez odmowę dostępu do ratującego życie leczenia w nagłych wypadkach</w:t>
      </w:r>
      <w:r w:rsidRPr="00ED0C6A">
        <w:rPr>
          <w:rFonts w:asciiTheme="minorHAnsi" w:hAnsiTheme="minorHAnsi"/>
          <w:sz w:val="24"/>
          <w:lang w:val="pl-PL"/>
        </w:rPr>
        <w:t xml:space="preserve">; wyjątek </w:t>
      </w:r>
      <w:r w:rsidR="000B0C43" w:rsidRPr="00ED0C6A">
        <w:rPr>
          <w:rFonts w:asciiTheme="minorHAnsi" w:hAnsiTheme="minorHAnsi"/>
          <w:sz w:val="24"/>
          <w:lang w:val="pl-PL"/>
        </w:rPr>
        <w:t>ten</w:t>
      </w:r>
      <w:r w:rsidR="00335B71">
        <w:rPr>
          <w:rFonts w:asciiTheme="minorHAnsi" w:hAnsiTheme="minorHAnsi"/>
          <w:sz w:val="24"/>
          <w:lang w:val="pl-PL"/>
        </w:rPr>
        <w:t> </w:t>
      </w:r>
      <w:r w:rsidRPr="00ED0C6A">
        <w:rPr>
          <w:rFonts w:asciiTheme="minorHAnsi" w:hAnsiTheme="minorHAnsi"/>
          <w:sz w:val="24"/>
          <w:lang w:val="pl-PL"/>
        </w:rPr>
        <w:t xml:space="preserve">nie rozciąga się na okoliczności, w których uznaje się, że pacjent </w:t>
      </w:r>
      <w:r w:rsidR="000B0C43" w:rsidRPr="00ED0C6A">
        <w:rPr>
          <w:rFonts w:asciiTheme="minorHAnsi" w:hAnsiTheme="minorHAnsi"/>
          <w:sz w:val="24"/>
          <w:lang w:val="pl-PL"/>
        </w:rPr>
        <w:t>został poddany</w:t>
      </w:r>
      <w:r w:rsidRPr="00ED0C6A">
        <w:rPr>
          <w:rFonts w:asciiTheme="minorHAnsi" w:hAnsiTheme="minorHAnsi"/>
          <w:sz w:val="24"/>
          <w:lang w:val="pl-PL"/>
        </w:rPr>
        <w:t xml:space="preserve"> niewystarczające</w:t>
      </w:r>
      <w:r w:rsidR="000B0C43" w:rsidRPr="00ED0C6A">
        <w:rPr>
          <w:rFonts w:asciiTheme="minorHAnsi" w:hAnsiTheme="minorHAnsi"/>
          <w:sz w:val="24"/>
          <w:lang w:val="pl-PL"/>
        </w:rPr>
        <w:t>mu</w:t>
      </w:r>
      <w:r w:rsidRPr="00ED0C6A">
        <w:rPr>
          <w:rFonts w:asciiTheme="minorHAnsi" w:hAnsiTheme="minorHAnsi"/>
          <w:sz w:val="24"/>
          <w:lang w:val="pl-PL"/>
        </w:rPr>
        <w:t>, nieprawidłowe</w:t>
      </w:r>
      <w:r w:rsidR="000B0C43" w:rsidRPr="00ED0C6A">
        <w:rPr>
          <w:rFonts w:asciiTheme="minorHAnsi" w:hAnsiTheme="minorHAnsi"/>
          <w:sz w:val="24"/>
          <w:lang w:val="pl-PL"/>
        </w:rPr>
        <w:t>mu</w:t>
      </w:r>
      <w:r w:rsidRPr="00ED0C6A">
        <w:rPr>
          <w:rFonts w:asciiTheme="minorHAnsi" w:hAnsiTheme="minorHAnsi"/>
          <w:sz w:val="24"/>
          <w:lang w:val="pl-PL"/>
        </w:rPr>
        <w:t xml:space="preserve"> lub opóźnione</w:t>
      </w:r>
      <w:r w:rsidR="000B0C43" w:rsidRPr="00ED0C6A">
        <w:rPr>
          <w:rFonts w:asciiTheme="minorHAnsi" w:hAnsiTheme="minorHAnsi"/>
          <w:sz w:val="24"/>
          <w:lang w:val="pl-PL"/>
        </w:rPr>
        <w:t>mu leczeniu</w:t>
      </w:r>
      <w:r w:rsidRPr="00ED0C6A">
        <w:rPr>
          <w:rFonts w:asciiTheme="minorHAnsi" w:hAnsiTheme="minorHAnsi"/>
          <w:sz w:val="24"/>
          <w:lang w:val="pl-PL"/>
        </w:rPr>
        <w:t xml:space="preserve">; </w:t>
      </w:r>
    </w:p>
    <w:p w:rsidR="009B0852" w:rsidRPr="00ED0C6A" w:rsidRDefault="009B0852"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(b) </w:t>
      </w:r>
      <w:r w:rsidRPr="00ED0C6A">
        <w:rPr>
          <w:rFonts w:asciiTheme="minorHAnsi" w:hAnsiTheme="minorHAnsi"/>
          <w:i/>
          <w:sz w:val="24"/>
          <w:u w:val="single"/>
          <w:lang w:val="pl-PL"/>
        </w:rPr>
        <w:t>w przypadku, gdy</w:t>
      </w:r>
      <w:r w:rsidR="000B0C43" w:rsidRPr="00ED0C6A">
        <w:rPr>
          <w:rFonts w:asciiTheme="minorHAnsi" w:hAnsiTheme="minorHAnsi"/>
          <w:i/>
          <w:sz w:val="24"/>
          <w:u w:val="single"/>
          <w:lang w:val="pl-PL"/>
        </w:rPr>
        <w:t xml:space="preserve"> na skutek</w:t>
      </w:r>
      <w:r w:rsidRPr="00ED0C6A">
        <w:rPr>
          <w:rFonts w:asciiTheme="minorHAnsi" w:hAnsiTheme="minorHAnsi"/>
          <w:i/>
          <w:sz w:val="24"/>
          <w:u w:val="single"/>
          <w:lang w:val="pl-PL"/>
        </w:rPr>
        <w:t xml:space="preserve"> dysfunkcji o charakterze systemowym lub strukturalnym w</w:t>
      </w:r>
      <w:r w:rsidR="00335B71">
        <w:rPr>
          <w:rFonts w:asciiTheme="minorHAnsi" w:hAnsiTheme="minorHAnsi"/>
          <w:i/>
          <w:sz w:val="24"/>
          <w:u w:val="single"/>
          <w:lang w:val="pl-PL"/>
        </w:rPr>
        <w:t> </w:t>
      </w:r>
      <w:r w:rsidRPr="00ED0C6A">
        <w:rPr>
          <w:rFonts w:asciiTheme="minorHAnsi" w:hAnsiTheme="minorHAnsi"/>
          <w:i/>
          <w:sz w:val="24"/>
          <w:u w:val="single"/>
          <w:lang w:val="pl-PL"/>
        </w:rPr>
        <w:t>świadczeniach szpitalnych pacjent został pozbawiony dostępu do ratującego życie leczenia w nagłych wypadkach, a władze wiedziały lub powinny były wiedzieć o tym zagrożeniu i</w:t>
      </w:r>
      <w:r w:rsidR="00335B71">
        <w:rPr>
          <w:rFonts w:asciiTheme="minorHAnsi" w:hAnsiTheme="minorHAnsi"/>
          <w:i/>
          <w:sz w:val="24"/>
          <w:u w:val="single"/>
          <w:lang w:val="pl-PL"/>
        </w:rPr>
        <w:t> </w:t>
      </w:r>
      <w:r w:rsidRPr="00ED0C6A">
        <w:rPr>
          <w:rFonts w:asciiTheme="minorHAnsi" w:hAnsiTheme="minorHAnsi"/>
          <w:i/>
          <w:sz w:val="24"/>
          <w:u w:val="single"/>
          <w:lang w:val="pl-PL"/>
        </w:rPr>
        <w:t>nie</w:t>
      </w:r>
      <w:r w:rsidR="00335B71">
        <w:rPr>
          <w:rFonts w:asciiTheme="minorHAnsi" w:hAnsiTheme="minorHAnsi"/>
          <w:i/>
          <w:sz w:val="24"/>
          <w:u w:val="single"/>
          <w:lang w:val="pl-PL"/>
        </w:rPr>
        <w:t> </w:t>
      </w:r>
      <w:r w:rsidRPr="00ED0C6A">
        <w:rPr>
          <w:rFonts w:asciiTheme="minorHAnsi" w:hAnsiTheme="minorHAnsi"/>
          <w:i/>
          <w:sz w:val="24"/>
          <w:u w:val="single"/>
          <w:lang w:val="pl-PL"/>
        </w:rPr>
        <w:t>podjęły koniecznych środków</w:t>
      </w:r>
      <w:r w:rsidRPr="00ED0C6A">
        <w:rPr>
          <w:rFonts w:asciiTheme="minorHAnsi" w:hAnsiTheme="minorHAnsi"/>
          <w:sz w:val="24"/>
          <w:lang w:val="pl-PL"/>
        </w:rPr>
        <w:t xml:space="preserve"> w celu zapobieżenia te</w:t>
      </w:r>
      <w:r w:rsidR="000B0C43" w:rsidRPr="00ED0C6A">
        <w:rPr>
          <w:rFonts w:asciiTheme="minorHAnsi" w:hAnsiTheme="minorHAnsi"/>
          <w:sz w:val="24"/>
          <w:lang w:val="pl-PL"/>
        </w:rPr>
        <w:t>mu zagrożeniu</w:t>
      </w:r>
      <w:r w:rsidRPr="00ED0C6A">
        <w:rPr>
          <w:rFonts w:asciiTheme="minorHAnsi" w:hAnsiTheme="minorHAnsi"/>
          <w:sz w:val="24"/>
          <w:lang w:val="pl-PL"/>
        </w:rPr>
        <w:t>, narażając w</w:t>
      </w:r>
      <w:r w:rsidR="00335B71">
        <w:rPr>
          <w:rFonts w:asciiTheme="minorHAnsi" w:hAnsiTheme="minorHAnsi"/>
          <w:sz w:val="24"/>
          <w:lang w:val="pl-PL"/>
        </w:rPr>
        <w:t> </w:t>
      </w:r>
      <w:r w:rsidRPr="00ED0C6A">
        <w:rPr>
          <w:rFonts w:asciiTheme="minorHAnsi" w:hAnsiTheme="minorHAnsi"/>
          <w:sz w:val="24"/>
          <w:lang w:val="pl-PL"/>
        </w:rPr>
        <w:t>ten</w:t>
      </w:r>
      <w:r w:rsidR="00335B71">
        <w:rPr>
          <w:rFonts w:asciiTheme="minorHAnsi" w:hAnsiTheme="minorHAnsi"/>
          <w:sz w:val="24"/>
          <w:lang w:val="pl-PL"/>
        </w:rPr>
        <w:t> </w:t>
      </w:r>
      <w:r w:rsidRPr="00ED0C6A">
        <w:rPr>
          <w:rFonts w:asciiTheme="minorHAnsi" w:hAnsiTheme="minorHAnsi"/>
          <w:sz w:val="24"/>
          <w:lang w:val="pl-PL"/>
        </w:rPr>
        <w:t xml:space="preserve">sposób życie pacjentów, w tym danego pacjenta. </w:t>
      </w:r>
    </w:p>
    <w:p w:rsidR="009B0852" w:rsidRPr="00ED0C6A" w:rsidRDefault="009B0852" w:rsidP="00380783">
      <w:pPr>
        <w:pStyle w:val="ClinContent"/>
        <w:spacing w:before="0"/>
        <w:rPr>
          <w:rFonts w:asciiTheme="minorHAnsi" w:hAnsiTheme="minorHAnsi"/>
          <w:sz w:val="24"/>
          <w:lang w:val="pl-PL"/>
        </w:rPr>
      </w:pPr>
    </w:p>
    <w:p w:rsidR="009B0852"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Trybunał </w:t>
      </w:r>
      <w:r w:rsidR="009B0852" w:rsidRPr="00ED0C6A">
        <w:rPr>
          <w:rFonts w:asciiTheme="minorHAnsi" w:hAnsiTheme="minorHAnsi"/>
          <w:sz w:val="24"/>
          <w:lang w:val="pl-PL"/>
        </w:rPr>
        <w:t xml:space="preserve">jest </w:t>
      </w:r>
      <w:r w:rsidRPr="00ED0C6A">
        <w:rPr>
          <w:rFonts w:asciiTheme="minorHAnsi" w:hAnsiTheme="minorHAnsi"/>
          <w:sz w:val="24"/>
          <w:lang w:val="pl-PL"/>
        </w:rPr>
        <w:t xml:space="preserve">świadom, że w oparciu o fakty </w:t>
      </w:r>
      <w:r w:rsidR="000B0C43" w:rsidRPr="00ED0C6A">
        <w:rPr>
          <w:rFonts w:asciiTheme="minorHAnsi" w:hAnsiTheme="minorHAnsi"/>
          <w:sz w:val="24"/>
          <w:lang w:val="pl-PL"/>
        </w:rPr>
        <w:t xml:space="preserve">może być </w:t>
      </w:r>
      <w:r w:rsidRPr="00ED0C6A">
        <w:rPr>
          <w:rFonts w:asciiTheme="minorHAnsi" w:hAnsiTheme="minorHAnsi"/>
          <w:sz w:val="24"/>
          <w:lang w:val="pl-PL"/>
        </w:rPr>
        <w:t xml:space="preserve">niekiedy trudno odróżnić przypadki </w:t>
      </w:r>
      <w:r w:rsidR="000B0C43" w:rsidRPr="00ED0C6A">
        <w:rPr>
          <w:rFonts w:asciiTheme="minorHAnsi" w:hAnsiTheme="minorHAnsi"/>
          <w:sz w:val="24"/>
          <w:lang w:val="pl-PL"/>
        </w:rPr>
        <w:t>zwykłego zaniedbania</w:t>
      </w:r>
      <w:r w:rsidRPr="00ED0C6A">
        <w:rPr>
          <w:rFonts w:asciiTheme="minorHAnsi" w:hAnsiTheme="minorHAnsi"/>
          <w:sz w:val="24"/>
          <w:lang w:val="pl-PL"/>
        </w:rPr>
        <w:t xml:space="preserve"> medyczne</w:t>
      </w:r>
      <w:r w:rsidR="000B0C43" w:rsidRPr="00ED0C6A">
        <w:rPr>
          <w:rFonts w:asciiTheme="minorHAnsi" w:hAnsiTheme="minorHAnsi"/>
          <w:sz w:val="24"/>
          <w:lang w:val="pl-PL"/>
        </w:rPr>
        <w:t>go</w:t>
      </w:r>
      <w:r w:rsidRPr="00ED0C6A">
        <w:rPr>
          <w:rFonts w:asciiTheme="minorHAnsi" w:hAnsiTheme="minorHAnsi"/>
          <w:sz w:val="24"/>
          <w:lang w:val="pl-PL"/>
        </w:rPr>
        <w:t xml:space="preserve"> od przypadków, w których doszło do odmowy dostępu do ratującego życie leczenia w nagłych wypadkach, zwłaszcza że może występować </w:t>
      </w:r>
      <w:r w:rsidR="000A6DAF" w:rsidRPr="00ED0C6A">
        <w:rPr>
          <w:rFonts w:asciiTheme="minorHAnsi" w:hAnsiTheme="minorHAnsi"/>
          <w:sz w:val="24"/>
          <w:lang w:val="pl-PL"/>
        </w:rPr>
        <w:t>grupa</w:t>
      </w:r>
      <w:r w:rsidRPr="00ED0C6A">
        <w:rPr>
          <w:rFonts w:asciiTheme="minorHAnsi" w:hAnsiTheme="minorHAnsi"/>
          <w:sz w:val="24"/>
          <w:lang w:val="pl-PL"/>
        </w:rPr>
        <w:t xml:space="preserve"> czynników przyczyniających się do śmierci pacjenta. Aby sprawa </w:t>
      </w:r>
      <w:r w:rsidR="000B0C43" w:rsidRPr="00ED0C6A">
        <w:rPr>
          <w:rFonts w:asciiTheme="minorHAnsi" w:hAnsiTheme="minorHAnsi"/>
          <w:sz w:val="24"/>
          <w:lang w:val="pl-PL"/>
        </w:rPr>
        <w:t>zaliczała się</w:t>
      </w:r>
      <w:r w:rsidRPr="00ED0C6A">
        <w:rPr>
          <w:rFonts w:asciiTheme="minorHAnsi" w:hAnsiTheme="minorHAnsi"/>
          <w:sz w:val="24"/>
          <w:lang w:val="pl-PL"/>
        </w:rPr>
        <w:t xml:space="preserve"> do tej drugiej kategorii, muszą </w:t>
      </w:r>
      <w:r w:rsidR="000B0C43" w:rsidRPr="00ED0C6A">
        <w:rPr>
          <w:rFonts w:asciiTheme="minorHAnsi" w:hAnsiTheme="minorHAnsi"/>
          <w:sz w:val="24"/>
          <w:lang w:val="pl-PL"/>
        </w:rPr>
        <w:t>zosta</w:t>
      </w:r>
      <w:r w:rsidR="006E3DC5">
        <w:rPr>
          <w:rFonts w:asciiTheme="minorHAnsi" w:hAnsiTheme="minorHAnsi"/>
          <w:sz w:val="24"/>
          <w:lang w:val="pl-PL"/>
        </w:rPr>
        <w:t>ć</w:t>
      </w:r>
      <w:r w:rsidRPr="00ED0C6A">
        <w:rPr>
          <w:rFonts w:asciiTheme="minorHAnsi" w:hAnsiTheme="minorHAnsi"/>
          <w:sz w:val="24"/>
          <w:lang w:val="pl-PL"/>
        </w:rPr>
        <w:t xml:space="preserve"> łącznie</w:t>
      </w:r>
      <w:r w:rsidR="000B0C43" w:rsidRPr="00ED0C6A">
        <w:rPr>
          <w:rFonts w:asciiTheme="minorHAnsi" w:hAnsiTheme="minorHAnsi"/>
          <w:sz w:val="24"/>
          <w:lang w:val="pl-PL"/>
        </w:rPr>
        <w:t xml:space="preserve"> spełnione</w:t>
      </w:r>
      <w:r w:rsidRPr="00ED0C6A">
        <w:rPr>
          <w:rFonts w:asciiTheme="minorHAnsi" w:hAnsiTheme="minorHAnsi"/>
          <w:sz w:val="24"/>
          <w:lang w:val="pl-PL"/>
        </w:rPr>
        <w:t xml:space="preserve"> następujące</w:t>
      </w:r>
      <w:r w:rsidR="000B0C43" w:rsidRPr="00ED0C6A">
        <w:rPr>
          <w:rFonts w:asciiTheme="minorHAnsi" w:hAnsiTheme="minorHAnsi"/>
          <w:sz w:val="24"/>
          <w:lang w:val="pl-PL"/>
        </w:rPr>
        <w:t xml:space="preserve"> przesłanki</w:t>
      </w:r>
      <w:r w:rsidRPr="00ED0C6A">
        <w:rPr>
          <w:rFonts w:asciiTheme="minorHAnsi" w:hAnsiTheme="minorHAnsi"/>
          <w:sz w:val="24"/>
          <w:lang w:val="pl-PL"/>
        </w:rPr>
        <w:t xml:space="preserve">: </w:t>
      </w:r>
    </w:p>
    <w:p w:rsidR="009B0852" w:rsidRPr="00ED0C6A" w:rsidRDefault="009B0852" w:rsidP="00380783">
      <w:pPr>
        <w:pStyle w:val="ClinContent"/>
        <w:spacing w:before="0"/>
        <w:rPr>
          <w:rFonts w:asciiTheme="minorHAnsi" w:hAnsiTheme="minorHAnsi"/>
          <w:sz w:val="24"/>
          <w:lang w:val="pl-PL"/>
        </w:rPr>
      </w:pPr>
    </w:p>
    <w:p w:rsidR="009B0852"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 </w:t>
      </w:r>
      <w:r w:rsidRPr="00ED0C6A">
        <w:rPr>
          <w:rFonts w:asciiTheme="minorHAnsi" w:hAnsiTheme="minorHAnsi"/>
          <w:i/>
          <w:sz w:val="24"/>
          <w:u w:val="single"/>
          <w:lang w:val="pl-PL"/>
        </w:rPr>
        <w:t>czyny i zaniedbania podmiotów świadczących opiekę zdrowotną muszą wykraczać poza zwykły błąd lub zaniedbanie medyczne</w:t>
      </w:r>
      <w:r w:rsidRPr="00ED0C6A">
        <w:rPr>
          <w:rFonts w:asciiTheme="minorHAnsi" w:hAnsiTheme="minorHAnsi"/>
          <w:sz w:val="24"/>
          <w:lang w:val="pl-PL"/>
        </w:rPr>
        <w:t xml:space="preserve">, </w:t>
      </w:r>
      <w:r w:rsidR="000B0C43" w:rsidRPr="00ED0C6A">
        <w:rPr>
          <w:rFonts w:asciiTheme="minorHAnsi" w:hAnsiTheme="minorHAnsi"/>
          <w:sz w:val="24"/>
          <w:lang w:val="pl-PL"/>
        </w:rPr>
        <w:t xml:space="preserve">a mianowicie </w:t>
      </w:r>
      <w:r w:rsidRPr="00ED0C6A">
        <w:rPr>
          <w:rFonts w:asciiTheme="minorHAnsi" w:hAnsiTheme="minorHAnsi"/>
          <w:sz w:val="24"/>
          <w:lang w:val="pl-PL"/>
        </w:rPr>
        <w:t xml:space="preserve">podmioty świadczące opiekę zdrowotną odmawiają pacjentowi leczenia w wypadkach nagłych z naruszeniem </w:t>
      </w:r>
      <w:r w:rsidR="000A6DAF" w:rsidRPr="00ED0C6A">
        <w:rPr>
          <w:rFonts w:asciiTheme="minorHAnsi" w:hAnsiTheme="minorHAnsi"/>
          <w:sz w:val="24"/>
          <w:lang w:val="pl-PL"/>
        </w:rPr>
        <w:t>swy</w:t>
      </w:r>
      <w:r w:rsidRPr="00ED0C6A">
        <w:rPr>
          <w:rFonts w:asciiTheme="minorHAnsi" w:hAnsiTheme="minorHAnsi"/>
          <w:sz w:val="24"/>
          <w:lang w:val="pl-PL"/>
        </w:rPr>
        <w:t xml:space="preserve">ch obowiązków zawodowych mimo pełnej świadomości, że życie pacjenta </w:t>
      </w:r>
      <w:r w:rsidR="006E180B" w:rsidRPr="00ED0C6A">
        <w:rPr>
          <w:rFonts w:asciiTheme="minorHAnsi" w:hAnsiTheme="minorHAnsi"/>
          <w:sz w:val="24"/>
          <w:lang w:val="pl-PL"/>
        </w:rPr>
        <w:t>będzie</w:t>
      </w:r>
      <w:r w:rsidRPr="00ED0C6A">
        <w:rPr>
          <w:rFonts w:asciiTheme="minorHAnsi" w:hAnsiTheme="minorHAnsi"/>
          <w:sz w:val="24"/>
          <w:lang w:val="pl-PL"/>
        </w:rPr>
        <w:t xml:space="preserve"> zagrożone w</w:t>
      </w:r>
      <w:r w:rsidR="00335B71">
        <w:rPr>
          <w:rFonts w:asciiTheme="minorHAnsi" w:hAnsiTheme="minorHAnsi"/>
          <w:sz w:val="24"/>
          <w:lang w:val="pl-PL"/>
        </w:rPr>
        <w:t> </w:t>
      </w:r>
      <w:r w:rsidRPr="00ED0C6A">
        <w:rPr>
          <w:rFonts w:asciiTheme="minorHAnsi" w:hAnsiTheme="minorHAnsi"/>
          <w:sz w:val="24"/>
          <w:lang w:val="pl-PL"/>
        </w:rPr>
        <w:t xml:space="preserve">razie nieudzielenia tego leczenia; </w:t>
      </w:r>
    </w:p>
    <w:p w:rsidR="009B0852" w:rsidRPr="00ED0C6A" w:rsidRDefault="009B0852" w:rsidP="00380783">
      <w:pPr>
        <w:pStyle w:val="ClinContent"/>
        <w:spacing w:before="0"/>
        <w:rPr>
          <w:rFonts w:asciiTheme="minorHAnsi" w:hAnsiTheme="minorHAnsi"/>
          <w:sz w:val="24"/>
          <w:lang w:val="pl-PL"/>
        </w:rPr>
      </w:pPr>
    </w:p>
    <w:p w:rsidR="009B0852"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(ii) </w:t>
      </w:r>
      <w:r w:rsidRPr="00ED0C6A">
        <w:rPr>
          <w:rFonts w:asciiTheme="minorHAnsi" w:hAnsiTheme="minorHAnsi"/>
          <w:i/>
          <w:sz w:val="24"/>
          <w:u w:val="single"/>
          <w:lang w:val="pl-PL"/>
        </w:rPr>
        <w:t xml:space="preserve">aby dana dysfunkcja mogła być przypisana władzom krajowym, musi </w:t>
      </w:r>
      <w:r w:rsidR="006E180B" w:rsidRPr="00ED0C6A">
        <w:rPr>
          <w:rFonts w:asciiTheme="minorHAnsi" w:hAnsiTheme="minorHAnsi"/>
          <w:i/>
          <w:sz w:val="24"/>
          <w:u w:val="single"/>
          <w:lang w:val="pl-PL"/>
        </w:rPr>
        <w:t xml:space="preserve">istnieć możliwość jej </w:t>
      </w:r>
      <w:r w:rsidRPr="00ED0C6A">
        <w:rPr>
          <w:rFonts w:asciiTheme="minorHAnsi" w:hAnsiTheme="minorHAnsi"/>
          <w:i/>
          <w:sz w:val="24"/>
          <w:u w:val="single"/>
          <w:lang w:val="pl-PL"/>
        </w:rPr>
        <w:t xml:space="preserve">obiektywnego i rzeczywistego zakwalifikowania jako </w:t>
      </w:r>
      <w:r w:rsidR="006E180B" w:rsidRPr="00ED0C6A">
        <w:rPr>
          <w:rFonts w:asciiTheme="minorHAnsi" w:hAnsiTheme="minorHAnsi"/>
          <w:i/>
          <w:sz w:val="24"/>
          <w:u w:val="single"/>
          <w:lang w:val="pl-PL"/>
        </w:rPr>
        <w:t>dysfunkcji systemowej lub strukturalnej</w:t>
      </w:r>
      <w:r w:rsidRPr="00ED0C6A">
        <w:rPr>
          <w:rFonts w:asciiTheme="minorHAnsi" w:hAnsiTheme="minorHAnsi"/>
          <w:sz w:val="24"/>
          <w:lang w:val="pl-PL"/>
        </w:rPr>
        <w:t xml:space="preserve">, </w:t>
      </w:r>
      <w:r w:rsidR="006E180B" w:rsidRPr="00ED0C6A">
        <w:rPr>
          <w:rFonts w:asciiTheme="minorHAnsi" w:hAnsiTheme="minorHAnsi"/>
          <w:sz w:val="24"/>
          <w:lang w:val="pl-PL"/>
        </w:rPr>
        <w:t xml:space="preserve">nie wystarczy natomiast, gdy obejmuje ona </w:t>
      </w:r>
      <w:r w:rsidRPr="00ED0C6A">
        <w:rPr>
          <w:rFonts w:asciiTheme="minorHAnsi" w:hAnsiTheme="minorHAnsi"/>
          <w:sz w:val="24"/>
          <w:lang w:val="pl-PL"/>
        </w:rPr>
        <w:t xml:space="preserve">jedynie jednostkowe przypadki, </w:t>
      </w:r>
      <w:r w:rsidR="006E180B" w:rsidRPr="00ED0C6A">
        <w:rPr>
          <w:rFonts w:asciiTheme="minorHAnsi" w:hAnsiTheme="minorHAnsi"/>
          <w:sz w:val="24"/>
          <w:lang w:val="pl-PL"/>
        </w:rPr>
        <w:t>których dysfunkcjonalność polega na tym, że coś nie wyszło lub źle funkcjonowało</w:t>
      </w:r>
      <w:r w:rsidRPr="00ED0C6A">
        <w:rPr>
          <w:rFonts w:asciiTheme="minorHAnsi" w:hAnsiTheme="minorHAnsi"/>
          <w:sz w:val="24"/>
          <w:lang w:val="pl-PL"/>
        </w:rPr>
        <w:t xml:space="preserve">; </w:t>
      </w:r>
    </w:p>
    <w:p w:rsidR="009B0852" w:rsidRPr="00ED0C6A" w:rsidRDefault="009B0852" w:rsidP="00380783">
      <w:pPr>
        <w:pStyle w:val="ClinContent"/>
        <w:spacing w:before="0"/>
        <w:rPr>
          <w:rFonts w:asciiTheme="minorHAnsi" w:hAnsiTheme="minorHAnsi"/>
          <w:sz w:val="24"/>
          <w:lang w:val="pl-PL"/>
        </w:rPr>
      </w:pPr>
    </w:p>
    <w:p w:rsidR="009B0852"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(iii) </w:t>
      </w:r>
      <w:r w:rsidRPr="00ED0C6A">
        <w:rPr>
          <w:rFonts w:asciiTheme="minorHAnsi" w:hAnsiTheme="minorHAnsi"/>
          <w:i/>
          <w:sz w:val="24"/>
          <w:u w:val="single"/>
          <w:lang w:val="pl-PL"/>
        </w:rPr>
        <w:t>musi zachodzić związek między zarzucaną dysfunkcją a szkodą</w:t>
      </w:r>
      <w:r w:rsidRPr="00ED0C6A">
        <w:rPr>
          <w:rFonts w:asciiTheme="minorHAnsi" w:hAnsiTheme="minorHAnsi"/>
          <w:sz w:val="24"/>
          <w:lang w:val="pl-PL"/>
        </w:rPr>
        <w:t xml:space="preserve"> poniesioną przez pacjenta; oraz </w:t>
      </w:r>
    </w:p>
    <w:p w:rsidR="009B0852" w:rsidRPr="00ED0C6A" w:rsidRDefault="009B0852"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(iv) </w:t>
      </w:r>
      <w:r w:rsidRPr="00ED0C6A">
        <w:rPr>
          <w:rFonts w:asciiTheme="minorHAnsi" w:hAnsiTheme="minorHAnsi"/>
          <w:i/>
          <w:sz w:val="24"/>
          <w:u w:val="single"/>
          <w:lang w:val="pl-PL"/>
        </w:rPr>
        <w:t xml:space="preserve">przedmiotowa dysfunkcja musiała wynikać z </w:t>
      </w:r>
      <w:r w:rsidR="00E552E2" w:rsidRPr="00ED0C6A">
        <w:rPr>
          <w:rFonts w:asciiTheme="minorHAnsi" w:hAnsiTheme="minorHAnsi"/>
          <w:i/>
          <w:sz w:val="24"/>
          <w:u w:val="single"/>
          <w:lang w:val="pl-PL"/>
        </w:rPr>
        <w:t xml:space="preserve">niewypełnienia </w:t>
      </w:r>
      <w:r w:rsidRPr="00ED0C6A">
        <w:rPr>
          <w:rFonts w:asciiTheme="minorHAnsi" w:hAnsiTheme="minorHAnsi"/>
          <w:i/>
          <w:sz w:val="24"/>
          <w:u w:val="single"/>
          <w:lang w:val="pl-PL"/>
        </w:rPr>
        <w:t>przez Państwo jego</w:t>
      </w:r>
      <w:r w:rsidR="00335B71">
        <w:rPr>
          <w:rFonts w:asciiTheme="minorHAnsi" w:hAnsiTheme="minorHAnsi"/>
          <w:i/>
          <w:sz w:val="24"/>
          <w:u w:val="single"/>
          <w:lang w:val="pl-PL"/>
        </w:rPr>
        <w:t> </w:t>
      </w:r>
      <w:r w:rsidRPr="00ED0C6A">
        <w:rPr>
          <w:rFonts w:asciiTheme="minorHAnsi" w:hAnsiTheme="minorHAnsi"/>
          <w:i/>
          <w:sz w:val="24"/>
          <w:u w:val="single"/>
          <w:lang w:val="pl-PL"/>
        </w:rPr>
        <w:t>obowiązku zapewnienia ram regulacyjnych</w:t>
      </w:r>
      <w:r w:rsidRPr="00ED0C6A">
        <w:rPr>
          <w:rFonts w:asciiTheme="minorHAnsi" w:hAnsiTheme="minorHAnsi"/>
          <w:sz w:val="24"/>
          <w:lang w:val="pl-PL"/>
        </w:rPr>
        <w:t xml:space="preserve"> w szerszym znaczeniu wskazanym powyżej. </w:t>
      </w:r>
    </w:p>
    <w:p w:rsidR="009B0852" w:rsidRPr="00ED0C6A" w:rsidRDefault="009B0852" w:rsidP="00380783">
      <w:pPr>
        <w:pStyle w:val="ClinContent"/>
        <w:spacing w:before="0"/>
        <w:rPr>
          <w:rFonts w:asciiTheme="minorHAnsi" w:hAnsiTheme="minorHAnsi"/>
          <w:sz w:val="24"/>
          <w:lang w:val="pl-PL"/>
        </w:rPr>
      </w:pPr>
    </w:p>
    <w:p w:rsidR="00BC0AD8" w:rsidRPr="00ED0C6A" w:rsidRDefault="009B0852" w:rsidP="00380783">
      <w:pPr>
        <w:pStyle w:val="ClinContent"/>
        <w:spacing w:before="0"/>
        <w:rPr>
          <w:rFonts w:asciiTheme="minorHAnsi" w:hAnsiTheme="minorHAnsi"/>
          <w:i/>
          <w:sz w:val="24"/>
          <w:lang w:val="pl-PL"/>
        </w:rPr>
      </w:pPr>
      <w:r w:rsidRPr="00ED0C6A">
        <w:rPr>
          <w:rFonts w:asciiTheme="minorHAnsi" w:hAnsiTheme="minorHAnsi"/>
          <w:i/>
          <w:sz w:val="24"/>
          <w:u w:val="single"/>
          <w:lang w:val="pl-PL"/>
        </w:rPr>
        <w:t>Ocena przedmiotowej sprawy</w:t>
      </w:r>
    </w:p>
    <w:p w:rsidR="009B0852" w:rsidRPr="00ED0C6A" w:rsidRDefault="009B0852" w:rsidP="00807999">
      <w:pPr>
        <w:spacing w:after="0"/>
        <w:rPr>
          <w:sz w:val="24"/>
          <w:lang w:val="pl-PL"/>
        </w:rPr>
      </w:pPr>
      <w:r w:rsidRPr="00ED0C6A">
        <w:rPr>
          <w:sz w:val="24"/>
          <w:lang w:val="pl-PL"/>
        </w:rPr>
        <w:t>N</w:t>
      </w:r>
      <w:r w:rsidR="00BC0AD8" w:rsidRPr="00ED0C6A">
        <w:rPr>
          <w:sz w:val="24"/>
          <w:lang w:val="pl-PL"/>
        </w:rPr>
        <w:t>a podstawie faktów sprawy</w:t>
      </w:r>
      <w:r w:rsidRPr="00ED0C6A">
        <w:rPr>
          <w:sz w:val="24"/>
          <w:lang w:val="pl-PL"/>
        </w:rPr>
        <w:t xml:space="preserve"> Trybunał stwierdził</w:t>
      </w:r>
      <w:r w:rsidR="00BC0AD8" w:rsidRPr="00ED0C6A">
        <w:rPr>
          <w:sz w:val="24"/>
          <w:lang w:val="pl-PL"/>
        </w:rPr>
        <w:t>, że nie było wystarczających dowodów</w:t>
      </w:r>
      <w:r w:rsidRPr="00ED0C6A">
        <w:rPr>
          <w:sz w:val="24"/>
          <w:lang w:val="pl-PL"/>
        </w:rPr>
        <w:t>:</w:t>
      </w:r>
    </w:p>
    <w:p w:rsidR="009B0852"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 odmowy udzielenia opieki medycznej, </w:t>
      </w:r>
    </w:p>
    <w:p w:rsidR="009B0852"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(ii) dysfunkcji systemowej lub strukturalnej dotykającej szpitali, w których mąż skarżącej był leczony lub </w:t>
      </w:r>
    </w:p>
    <w:p w:rsidR="009B0852"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(iii) </w:t>
      </w:r>
      <w:r w:rsidR="000953ED" w:rsidRPr="00ED0C6A">
        <w:rPr>
          <w:rFonts w:asciiTheme="minorHAnsi" w:hAnsiTheme="minorHAnsi"/>
          <w:sz w:val="24"/>
          <w:lang w:val="pl-PL"/>
        </w:rPr>
        <w:t xml:space="preserve">przewinienia </w:t>
      </w:r>
      <w:r w:rsidR="00E552E2" w:rsidRPr="00ED0C6A">
        <w:rPr>
          <w:rFonts w:asciiTheme="minorHAnsi" w:hAnsiTheme="minorHAnsi"/>
          <w:sz w:val="24"/>
          <w:lang w:val="pl-PL"/>
        </w:rPr>
        <w:t>po stronie</w:t>
      </w:r>
      <w:r w:rsidRPr="00ED0C6A">
        <w:rPr>
          <w:rFonts w:asciiTheme="minorHAnsi" w:hAnsiTheme="minorHAnsi"/>
          <w:sz w:val="24"/>
          <w:lang w:val="pl-PL"/>
        </w:rPr>
        <w:t xml:space="preserve"> personel</w:t>
      </w:r>
      <w:r w:rsidR="00E552E2" w:rsidRPr="00ED0C6A">
        <w:rPr>
          <w:rFonts w:asciiTheme="minorHAnsi" w:hAnsiTheme="minorHAnsi"/>
          <w:sz w:val="24"/>
          <w:lang w:val="pl-PL"/>
        </w:rPr>
        <w:t>u</w:t>
      </w:r>
      <w:r w:rsidRPr="00ED0C6A">
        <w:rPr>
          <w:rFonts w:asciiTheme="minorHAnsi" w:hAnsiTheme="minorHAnsi"/>
          <w:sz w:val="24"/>
          <w:lang w:val="pl-PL"/>
        </w:rPr>
        <w:t xml:space="preserve"> służby zdrowia </w:t>
      </w:r>
      <w:r w:rsidR="000953ED" w:rsidRPr="00ED0C6A">
        <w:rPr>
          <w:rFonts w:asciiTheme="minorHAnsi" w:hAnsiTheme="minorHAnsi"/>
          <w:sz w:val="24"/>
          <w:lang w:val="pl-PL"/>
        </w:rPr>
        <w:t xml:space="preserve">wykraczającego </w:t>
      </w:r>
      <w:r w:rsidRPr="00ED0C6A">
        <w:rPr>
          <w:rFonts w:asciiTheme="minorHAnsi" w:hAnsiTheme="minorHAnsi"/>
          <w:sz w:val="24"/>
          <w:lang w:val="pl-PL"/>
        </w:rPr>
        <w:t>poza zwykły błąd lub</w:t>
      </w:r>
      <w:r w:rsidR="00335B71">
        <w:rPr>
          <w:rFonts w:asciiTheme="minorHAnsi" w:hAnsiTheme="minorHAnsi"/>
          <w:sz w:val="24"/>
          <w:lang w:val="pl-PL"/>
        </w:rPr>
        <w:t> </w:t>
      </w:r>
      <w:r w:rsidRPr="00ED0C6A">
        <w:rPr>
          <w:rFonts w:asciiTheme="minorHAnsi" w:hAnsiTheme="minorHAnsi"/>
          <w:sz w:val="24"/>
          <w:lang w:val="pl-PL"/>
        </w:rPr>
        <w:t>zaniedbanie medyczne</w:t>
      </w:r>
      <w:r w:rsidR="000953ED" w:rsidRPr="00ED0C6A">
        <w:rPr>
          <w:rFonts w:asciiTheme="minorHAnsi" w:hAnsiTheme="minorHAnsi"/>
          <w:sz w:val="24"/>
          <w:lang w:val="pl-PL"/>
        </w:rPr>
        <w:t>,</w:t>
      </w:r>
      <w:r w:rsidRPr="00ED0C6A">
        <w:rPr>
          <w:rFonts w:asciiTheme="minorHAnsi" w:hAnsiTheme="minorHAnsi"/>
          <w:sz w:val="24"/>
          <w:lang w:val="pl-PL"/>
        </w:rPr>
        <w:t xml:space="preserve"> lub </w:t>
      </w:r>
      <w:r w:rsidR="00E552E2" w:rsidRPr="00ED0C6A">
        <w:rPr>
          <w:rFonts w:asciiTheme="minorHAnsi" w:hAnsiTheme="minorHAnsi"/>
          <w:sz w:val="24"/>
          <w:lang w:val="pl-PL"/>
        </w:rPr>
        <w:t>nie</w:t>
      </w:r>
      <w:r w:rsidRPr="00ED0C6A">
        <w:rPr>
          <w:rFonts w:asciiTheme="minorHAnsi" w:hAnsiTheme="minorHAnsi"/>
          <w:sz w:val="24"/>
          <w:lang w:val="pl-PL"/>
        </w:rPr>
        <w:t xml:space="preserve">wypełnienia przez personel służby zdrowia obowiązków zawodowych </w:t>
      </w:r>
      <w:r w:rsidR="00E552E2" w:rsidRPr="00ED0C6A">
        <w:rPr>
          <w:rFonts w:asciiTheme="minorHAnsi" w:hAnsiTheme="minorHAnsi"/>
          <w:sz w:val="24"/>
          <w:lang w:val="pl-PL"/>
        </w:rPr>
        <w:t xml:space="preserve">w zakresie </w:t>
      </w:r>
      <w:r w:rsidRPr="00ED0C6A">
        <w:rPr>
          <w:rFonts w:asciiTheme="minorHAnsi" w:hAnsiTheme="minorHAnsi"/>
          <w:sz w:val="24"/>
          <w:lang w:val="pl-PL"/>
        </w:rPr>
        <w:t>udziel</w:t>
      </w:r>
      <w:r w:rsidR="00E552E2" w:rsidRPr="00ED0C6A">
        <w:rPr>
          <w:rFonts w:asciiTheme="minorHAnsi" w:hAnsiTheme="minorHAnsi"/>
          <w:sz w:val="24"/>
          <w:lang w:val="pl-PL"/>
        </w:rPr>
        <w:t>a</w:t>
      </w:r>
      <w:r w:rsidRPr="00ED0C6A">
        <w:rPr>
          <w:rFonts w:asciiTheme="minorHAnsi" w:hAnsiTheme="minorHAnsi"/>
          <w:sz w:val="24"/>
          <w:lang w:val="pl-PL"/>
        </w:rPr>
        <w:t xml:space="preserve">nia leczenia w nagłych wypadkach. </w:t>
      </w:r>
    </w:p>
    <w:p w:rsidR="009B0852" w:rsidRPr="00ED0C6A" w:rsidRDefault="009B0852" w:rsidP="00380783">
      <w:pPr>
        <w:pStyle w:val="ClinContent"/>
        <w:spacing w:before="0"/>
        <w:rPr>
          <w:rFonts w:asciiTheme="minorHAnsi" w:hAnsiTheme="minorHAnsi"/>
          <w:sz w:val="24"/>
          <w:lang w:val="pl-PL"/>
        </w:rPr>
      </w:pPr>
    </w:p>
    <w:p w:rsidR="001B1A15" w:rsidRPr="00ED0C6A" w:rsidRDefault="009B0852" w:rsidP="00380783">
      <w:pPr>
        <w:pStyle w:val="ClinContent"/>
        <w:spacing w:before="0"/>
        <w:rPr>
          <w:rFonts w:asciiTheme="minorHAnsi" w:hAnsiTheme="minorHAnsi"/>
          <w:sz w:val="24"/>
          <w:lang w:val="pl-PL"/>
        </w:rPr>
      </w:pPr>
      <w:r w:rsidRPr="00ED0C6A">
        <w:rPr>
          <w:rFonts w:asciiTheme="minorHAnsi" w:hAnsiTheme="minorHAnsi"/>
          <w:sz w:val="24"/>
          <w:lang w:val="pl-PL"/>
        </w:rPr>
        <w:t>Obecna s</w:t>
      </w:r>
      <w:r w:rsidR="00BC0AD8" w:rsidRPr="00ED0C6A">
        <w:rPr>
          <w:rFonts w:asciiTheme="minorHAnsi" w:hAnsiTheme="minorHAnsi"/>
          <w:sz w:val="24"/>
          <w:lang w:val="pl-PL"/>
        </w:rPr>
        <w:t>prawa dotyczyła zatem zarzutów zaniedbania medycznego, co oznacza, że</w:t>
      </w:r>
      <w:r w:rsidR="00335B71">
        <w:rPr>
          <w:rFonts w:asciiTheme="minorHAnsi" w:hAnsiTheme="minorHAnsi"/>
          <w:sz w:val="24"/>
          <w:lang w:val="pl-PL"/>
        </w:rPr>
        <w:t> </w:t>
      </w:r>
      <w:r w:rsidR="00BC0AD8" w:rsidRPr="00ED0C6A">
        <w:rPr>
          <w:rFonts w:asciiTheme="minorHAnsi" w:hAnsiTheme="minorHAnsi"/>
          <w:sz w:val="24"/>
          <w:lang w:val="pl-PL"/>
        </w:rPr>
        <w:t xml:space="preserve">materialne obowiązki pozytywne Portugalii ograniczały się do stworzenia odpowiednich ram regulacyjnych zobowiązujących szpitale, tak prywatne jak i publiczne, do przyjęcia odpowiednich środków w celu ochrony życia pacjentów. </w:t>
      </w:r>
    </w:p>
    <w:p w:rsidR="001B1A15" w:rsidRPr="00ED0C6A" w:rsidRDefault="001B1A15" w:rsidP="00380783">
      <w:pPr>
        <w:pStyle w:val="ClinContent"/>
        <w:spacing w:before="0"/>
        <w:rPr>
          <w:rFonts w:asciiTheme="minorHAnsi" w:hAnsiTheme="minorHAnsi"/>
          <w:sz w:val="24"/>
          <w:lang w:val="pl-PL"/>
        </w:rPr>
      </w:pPr>
    </w:p>
    <w:p w:rsidR="00807999"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Mając na względzie szczegółowe regulacje i standardy przewidziane w prawie krajowym i</w:t>
      </w:r>
      <w:r w:rsidR="00335B71">
        <w:rPr>
          <w:rFonts w:asciiTheme="minorHAnsi" w:hAnsiTheme="minorHAnsi"/>
          <w:sz w:val="24"/>
          <w:lang w:val="pl-PL"/>
        </w:rPr>
        <w:t> </w:t>
      </w:r>
      <w:r w:rsidRPr="00ED0C6A">
        <w:rPr>
          <w:rFonts w:asciiTheme="minorHAnsi" w:hAnsiTheme="minorHAnsi"/>
          <w:sz w:val="24"/>
          <w:lang w:val="pl-PL"/>
        </w:rPr>
        <w:t>praktyce pozwanego Państwa w badan</w:t>
      </w:r>
      <w:r w:rsidR="00E552E2" w:rsidRPr="00ED0C6A">
        <w:rPr>
          <w:rFonts w:asciiTheme="minorHAnsi" w:hAnsiTheme="minorHAnsi"/>
          <w:sz w:val="24"/>
          <w:lang w:val="pl-PL"/>
        </w:rPr>
        <w:t>ej dziedzinie</w:t>
      </w:r>
      <w:r w:rsidRPr="00ED0C6A">
        <w:rPr>
          <w:rFonts w:asciiTheme="minorHAnsi" w:hAnsiTheme="minorHAnsi"/>
          <w:sz w:val="24"/>
          <w:lang w:val="pl-PL"/>
        </w:rPr>
        <w:t>, Trybunał uznał, że właściwe ramy regulacyjne nie wykazywały żadnych braków po stronie Państwa w zakresie obowiązku ochrony prawa do życia męża skarżącej.</w:t>
      </w:r>
      <w:r w:rsidR="001B1A15" w:rsidRPr="00ED0C6A">
        <w:rPr>
          <w:rFonts w:asciiTheme="minorHAnsi" w:hAnsiTheme="minorHAnsi"/>
          <w:sz w:val="24"/>
          <w:lang w:val="pl-PL"/>
        </w:rPr>
        <w:t xml:space="preserve"> </w:t>
      </w:r>
    </w:p>
    <w:p w:rsidR="00807999" w:rsidRPr="00ED0C6A" w:rsidRDefault="00807999" w:rsidP="00380783">
      <w:pPr>
        <w:pStyle w:val="ClinContent"/>
        <w:spacing w:before="0"/>
        <w:rPr>
          <w:rFonts w:asciiTheme="minorHAnsi" w:hAnsiTheme="minorHAnsi"/>
          <w:sz w:val="24"/>
          <w:lang w:val="pl-PL"/>
        </w:rPr>
      </w:pPr>
    </w:p>
    <w:p w:rsidR="00BC0AD8" w:rsidRPr="00ED0C6A" w:rsidRDefault="001B1A15" w:rsidP="00380783">
      <w:pPr>
        <w:pStyle w:val="ClinContent"/>
        <w:spacing w:before="0"/>
        <w:rPr>
          <w:rFonts w:asciiTheme="minorHAnsi" w:hAnsiTheme="minorHAnsi"/>
          <w:sz w:val="24"/>
          <w:lang w:val="pl-PL"/>
        </w:rPr>
      </w:pPr>
      <w:r w:rsidRPr="00ED0C6A">
        <w:rPr>
          <w:rFonts w:asciiTheme="minorHAnsi" w:hAnsiTheme="minorHAnsi"/>
          <w:sz w:val="24"/>
          <w:lang w:val="pl-PL"/>
        </w:rPr>
        <w:t>Z tych względów Trybunał orzekł piętnastoma głosami do dwóch, że nie doszło do naruszenia art. 2 Konwencji (prawo do życia) w jego aspekcie materialnym.</w:t>
      </w:r>
    </w:p>
    <w:p w:rsidR="00BC0AD8" w:rsidRPr="00ED0C6A" w:rsidRDefault="001B1A15" w:rsidP="00380783">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807999" w:rsidRPr="00ED0C6A" w:rsidRDefault="007F2B15" w:rsidP="00380783">
      <w:pPr>
        <w:pStyle w:val="ClinContent"/>
        <w:spacing w:before="0"/>
        <w:rPr>
          <w:rFonts w:asciiTheme="minorHAnsi" w:hAnsiTheme="minorHAnsi"/>
          <w:i/>
          <w:sz w:val="24"/>
          <w:lang w:val="pl-PL"/>
        </w:rPr>
      </w:pPr>
      <w:r w:rsidRPr="00ED0C6A">
        <w:rPr>
          <w:rFonts w:asciiTheme="minorHAnsi" w:hAnsiTheme="minorHAnsi"/>
          <w:i/>
          <w:sz w:val="24"/>
          <w:lang w:val="pl-PL"/>
        </w:rPr>
        <w:t xml:space="preserve">B. </w:t>
      </w:r>
      <w:r w:rsidR="00BC0AD8" w:rsidRPr="00ED0C6A">
        <w:rPr>
          <w:rFonts w:asciiTheme="minorHAnsi" w:hAnsiTheme="minorHAnsi"/>
          <w:i/>
          <w:sz w:val="24"/>
          <w:u w:val="single"/>
          <w:lang w:val="pl-PL"/>
        </w:rPr>
        <w:t>Aspekt proceduralny</w:t>
      </w:r>
      <w:r w:rsidR="00807999" w:rsidRPr="00ED0C6A">
        <w:rPr>
          <w:rFonts w:asciiTheme="minorHAnsi" w:hAnsiTheme="minorHAnsi"/>
          <w:i/>
          <w:sz w:val="24"/>
          <w:u w:val="single"/>
          <w:lang w:val="pl-PL"/>
        </w:rPr>
        <w:t xml:space="preserve"> art. 2 Konwencji</w:t>
      </w:r>
      <w:r w:rsidR="00BC0AD8" w:rsidRPr="00ED0C6A">
        <w:rPr>
          <w:rFonts w:asciiTheme="minorHAnsi" w:hAnsiTheme="minorHAnsi"/>
          <w:i/>
          <w:sz w:val="24"/>
          <w:lang w:val="pl-PL"/>
        </w:rPr>
        <w:t xml:space="preserve"> </w:t>
      </w:r>
    </w:p>
    <w:p w:rsidR="00807999" w:rsidRPr="00ED0C6A" w:rsidRDefault="00807999" w:rsidP="00380783">
      <w:pPr>
        <w:pStyle w:val="ClinContent"/>
        <w:spacing w:before="0"/>
        <w:rPr>
          <w:rFonts w:asciiTheme="minorHAnsi" w:hAnsiTheme="minorHAnsi"/>
          <w:i/>
          <w:sz w:val="24"/>
          <w:lang w:val="pl-PL"/>
        </w:rPr>
      </w:pPr>
    </w:p>
    <w:p w:rsidR="00807999"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Wielka Izba przypomniała, że w kontekście opieki medycznej </w:t>
      </w:r>
      <w:r w:rsidR="00E552E2" w:rsidRPr="00ED0C6A">
        <w:rPr>
          <w:rFonts w:asciiTheme="minorHAnsi" w:hAnsiTheme="minorHAnsi"/>
          <w:sz w:val="24"/>
          <w:lang w:val="pl-PL"/>
        </w:rPr>
        <w:t>z art. 2 wynika m.in. obowiązek proceduralny zakończenia postępowania</w:t>
      </w:r>
      <w:r w:rsidRPr="00ED0C6A">
        <w:rPr>
          <w:rFonts w:asciiTheme="minorHAnsi" w:hAnsiTheme="minorHAnsi"/>
          <w:sz w:val="24"/>
          <w:lang w:val="pl-PL"/>
        </w:rPr>
        <w:t xml:space="preserve"> w rozsądnym terminie. </w:t>
      </w:r>
      <w:r w:rsidR="00807999" w:rsidRPr="00ED0C6A">
        <w:rPr>
          <w:rFonts w:asciiTheme="minorHAnsi" w:hAnsiTheme="minorHAnsi"/>
          <w:sz w:val="24"/>
          <w:lang w:val="pl-PL"/>
        </w:rPr>
        <w:t>Ma to znaczenie nie tylko z</w:t>
      </w:r>
      <w:r w:rsidR="00335B71">
        <w:rPr>
          <w:rFonts w:asciiTheme="minorHAnsi" w:hAnsiTheme="minorHAnsi"/>
          <w:sz w:val="24"/>
          <w:lang w:val="pl-PL"/>
        </w:rPr>
        <w:t> </w:t>
      </w:r>
      <w:r w:rsidR="00807999" w:rsidRPr="00ED0C6A">
        <w:rPr>
          <w:rFonts w:asciiTheme="minorHAnsi" w:hAnsiTheme="minorHAnsi"/>
          <w:sz w:val="24"/>
          <w:lang w:val="pl-PL"/>
        </w:rPr>
        <w:t>uwagi na poszanowanie</w:t>
      </w:r>
      <w:r w:rsidRPr="00ED0C6A">
        <w:rPr>
          <w:rFonts w:asciiTheme="minorHAnsi" w:hAnsiTheme="minorHAnsi"/>
          <w:sz w:val="24"/>
          <w:lang w:val="pl-PL"/>
        </w:rPr>
        <w:t xml:space="preserve"> praw zawartych w art. 2 w każdej jednostkowej sprawie</w:t>
      </w:r>
      <w:r w:rsidR="00807999" w:rsidRPr="00ED0C6A">
        <w:rPr>
          <w:rFonts w:asciiTheme="minorHAnsi" w:hAnsiTheme="minorHAnsi"/>
          <w:sz w:val="24"/>
          <w:lang w:val="pl-PL"/>
        </w:rPr>
        <w:t>.</w:t>
      </w:r>
      <w:r w:rsidRPr="00ED0C6A">
        <w:rPr>
          <w:rFonts w:asciiTheme="minorHAnsi" w:hAnsiTheme="minorHAnsi"/>
          <w:sz w:val="24"/>
          <w:lang w:val="pl-PL"/>
        </w:rPr>
        <w:t xml:space="preserve"> </w:t>
      </w:r>
      <w:r w:rsidR="00E552E2" w:rsidRPr="00ED0C6A">
        <w:rPr>
          <w:rFonts w:asciiTheme="minorHAnsi" w:hAnsiTheme="minorHAnsi"/>
          <w:sz w:val="24"/>
          <w:lang w:val="pl-PL"/>
        </w:rPr>
        <w:t>Oprócz</w:t>
      </w:r>
      <w:r w:rsidR="00335B71">
        <w:rPr>
          <w:rFonts w:asciiTheme="minorHAnsi" w:hAnsiTheme="minorHAnsi"/>
          <w:sz w:val="24"/>
          <w:lang w:val="pl-PL"/>
        </w:rPr>
        <w:t> </w:t>
      </w:r>
      <w:r w:rsidR="00E552E2" w:rsidRPr="00ED0C6A">
        <w:rPr>
          <w:rFonts w:asciiTheme="minorHAnsi" w:hAnsiTheme="minorHAnsi"/>
          <w:sz w:val="24"/>
          <w:lang w:val="pl-PL"/>
        </w:rPr>
        <w:t>troski o poszanowanie praw zawartych w art. 2 w każdym jednostkowym przypadku, szybkie zbadanie spraw dotyczących zaniedbań medycznych w warunkach szpitalnych jest istotne również dla bezpieczeństwa wszystkich osób korzystających ze świadczeń opieki zdrowotnej</w:t>
      </w:r>
      <w:r w:rsidRPr="00ED0C6A">
        <w:rPr>
          <w:rFonts w:asciiTheme="minorHAnsi" w:hAnsiTheme="minorHAnsi"/>
          <w:sz w:val="24"/>
          <w:lang w:val="pl-PL"/>
        </w:rPr>
        <w:t xml:space="preserve">. </w:t>
      </w:r>
    </w:p>
    <w:p w:rsidR="00807999" w:rsidRPr="00ED0C6A" w:rsidRDefault="00807999" w:rsidP="00380783">
      <w:pPr>
        <w:pStyle w:val="ClinContent"/>
        <w:spacing w:before="0"/>
        <w:rPr>
          <w:rFonts w:asciiTheme="minorHAnsi" w:hAnsiTheme="minorHAnsi"/>
          <w:sz w:val="24"/>
          <w:lang w:val="pl-PL"/>
        </w:rPr>
      </w:pPr>
    </w:p>
    <w:p w:rsidR="00BC0AD8" w:rsidRPr="00ED0C6A" w:rsidRDefault="00807999" w:rsidP="00380783">
      <w:pPr>
        <w:pStyle w:val="ClinContent"/>
        <w:spacing w:before="0"/>
        <w:rPr>
          <w:rFonts w:asciiTheme="minorHAnsi" w:hAnsiTheme="minorHAnsi"/>
          <w:sz w:val="24"/>
          <w:lang w:val="pl-PL"/>
        </w:rPr>
      </w:pPr>
      <w:r w:rsidRPr="00ED0C6A">
        <w:rPr>
          <w:rFonts w:asciiTheme="minorHAnsi" w:hAnsiTheme="minorHAnsi"/>
          <w:sz w:val="24"/>
          <w:lang w:val="pl-PL"/>
        </w:rPr>
        <w:t>W obecnej sprawie d</w:t>
      </w:r>
      <w:r w:rsidR="00BC0AD8" w:rsidRPr="00ED0C6A">
        <w:rPr>
          <w:rFonts w:asciiTheme="minorHAnsi" w:hAnsiTheme="minorHAnsi"/>
          <w:sz w:val="24"/>
          <w:lang w:val="pl-PL"/>
        </w:rPr>
        <w:t xml:space="preserve">ługość wszystkich trzech postępowań krajowych w sprawie skarżącej (dyscyplinarnych, karnych i cywilnych) nie była rozsądna. </w:t>
      </w:r>
    </w:p>
    <w:p w:rsidR="00807999" w:rsidRPr="00ED0C6A" w:rsidRDefault="00807999" w:rsidP="00380783">
      <w:pPr>
        <w:pStyle w:val="ClinContent"/>
        <w:spacing w:before="0"/>
        <w:rPr>
          <w:rFonts w:asciiTheme="minorHAnsi" w:hAnsiTheme="minorHAnsi"/>
          <w:sz w:val="24"/>
          <w:lang w:val="pl-PL"/>
        </w:rPr>
      </w:pPr>
    </w:p>
    <w:p w:rsidR="00807999"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Ponadto, nie można uznać, że zakres śledztwa </w:t>
      </w:r>
      <w:r w:rsidR="00807999" w:rsidRPr="00ED0C6A">
        <w:rPr>
          <w:rFonts w:asciiTheme="minorHAnsi" w:hAnsiTheme="minorHAnsi"/>
          <w:sz w:val="24"/>
          <w:lang w:val="pl-PL"/>
        </w:rPr>
        <w:t>–</w:t>
      </w:r>
      <w:r w:rsidR="007457D7" w:rsidRPr="00ED0C6A">
        <w:rPr>
          <w:rFonts w:asciiTheme="minorHAnsi" w:hAnsiTheme="minorHAnsi"/>
          <w:sz w:val="24"/>
          <w:lang w:val="pl-PL"/>
        </w:rPr>
        <w:t xml:space="preserve"> </w:t>
      </w:r>
      <w:r w:rsidR="00E552E2" w:rsidRPr="00ED0C6A">
        <w:rPr>
          <w:rFonts w:asciiTheme="minorHAnsi" w:hAnsiTheme="minorHAnsi"/>
          <w:sz w:val="24"/>
          <w:lang w:val="pl-PL"/>
        </w:rPr>
        <w:t>obejmującego zawiłe kwestie związane</w:t>
      </w:r>
      <w:r w:rsidRPr="00ED0C6A">
        <w:rPr>
          <w:rFonts w:asciiTheme="minorHAnsi" w:hAnsiTheme="minorHAnsi"/>
          <w:sz w:val="24"/>
          <w:lang w:val="pl-PL"/>
        </w:rPr>
        <w:t xml:space="preserve"> z</w:t>
      </w:r>
      <w:r w:rsidR="00335B71">
        <w:rPr>
          <w:rFonts w:asciiTheme="minorHAnsi" w:hAnsiTheme="minorHAnsi"/>
          <w:sz w:val="24"/>
          <w:lang w:val="pl-PL"/>
        </w:rPr>
        <w:t> </w:t>
      </w:r>
      <w:r w:rsidRPr="00ED0C6A">
        <w:rPr>
          <w:rFonts w:asciiTheme="minorHAnsi" w:hAnsiTheme="minorHAnsi"/>
          <w:sz w:val="24"/>
          <w:lang w:val="pl-PL"/>
        </w:rPr>
        <w:t xml:space="preserve">kontekstem medycznym </w:t>
      </w:r>
      <w:r w:rsidR="00807999" w:rsidRPr="00ED0C6A">
        <w:rPr>
          <w:rFonts w:asciiTheme="minorHAnsi" w:hAnsiTheme="minorHAnsi"/>
          <w:sz w:val="24"/>
          <w:lang w:val="pl-PL"/>
        </w:rPr>
        <w:t xml:space="preserve">– </w:t>
      </w:r>
      <w:r w:rsidRPr="00ED0C6A">
        <w:rPr>
          <w:rFonts w:asciiTheme="minorHAnsi" w:hAnsiTheme="minorHAnsi"/>
          <w:sz w:val="24"/>
          <w:lang w:val="pl-PL"/>
        </w:rPr>
        <w:t>może ograniczać się jedynie do [ustalenia] czasu i bezpośredniej przyczyny śmierci osoby</w:t>
      </w:r>
      <w:r w:rsidR="00807999" w:rsidRPr="00ED0C6A">
        <w:rPr>
          <w:rFonts w:asciiTheme="minorHAnsi" w:hAnsiTheme="minorHAnsi"/>
          <w:sz w:val="24"/>
          <w:lang w:val="pl-PL"/>
        </w:rPr>
        <w:t xml:space="preserve"> w celu zrealizowania obowiązków p</w:t>
      </w:r>
      <w:r w:rsidR="00E552E2" w:rsidRPr="00ED0C6A">
        <w:rPr>
          <w:rFonts w:asciiTheme="minorHAnsi" w:hAnsiTheme="minorHAnsi"/>
          <w:sz w:val="24"/>
          <w:lang w:val="pl-PL"/>
        </w:rPr>
        <w:t>roceduralnych wynikających z</w:t>
      </w:r>
      <w:r w:rsidR="00335B71">
        <w:rPr>
          <w:rFonts w:asciiTheme="minorHAnsi" w:hAnsiTheme="minorHAnsi"/>
          <w:sz w:val="24"/>
          <w:lang w:val="pl-PL"/>
        </w:rPr>
        <w:t> </w:t>
      </w:r>
      <w:r w:rsidR="00807999" w:rsidRPr="00ED0C6A">
        <w:rPr>
          <w:rFonts w:asciiTheme="minorHAnsi" w:hAnsiTheme="minorHAnsi"/>
          <w:sz w:val="24"/>
          <w:lang w:val="pl-PL"/>
        </w:rPr>
        <w:t>art. 2</w:t>
      </w:r>
      <w:r w:rsidRPr="00ED0C6A">
        <w:rPr>
          <w:rFonts w:asciiTheme="minorHAnsi" w:hAnsiTheme="minorHAnsi"/>
          <w:sz w:val="24"/>
          <w:lang w:val="pl-PL"/>
        </w:rPr>
        <w:t xml:space="preserve">. W przypadku, gdy </w:t>
      </w:r>
      <w:r w:rsidRPr="00ED0C6A">
        <w:rPr>
          <w:rFonts w:asciiTheme="minorHAnsi" w:hAnsiTheme="minorHAnsi"/>
          <w:i/>
          <w:sz w:val="24"/>
          <w:lang w:val="pl-PL"/>
        </w:rPr>
        <w:t>prima facie</w:t>
      </w:r>
      <w:r w:rsidRPr="00ED0C6A">
        <w:rPr>
          <w:rFonts w:asciiTheme="minorHAnsi" w:hAnsiTheme="minorHAnsi"/>
          <w:sz w:val="24"/>
          <w:lang w:val="pl-PL"/>
        </w:rPr>
        <w:t xml:space="preserve"> możliwe do obrony jest twierdzenie, że ciąg zdarzeń mógł zostać wywołany </w:t>
      </w:r>
      <w:r w:rsidR="00E552E2" w:rsidRPr="00ED0C6A">
        <w:rPr>
          <w:rFonts w:asciiTheme="minorHAnsi" w:hAnsiTheme="minorHAnsi"/>
          <w:sz w:val="24"/>
          <w:lang w:val="pl-PL"/>
        </w:rPr>
        <w:t>rzekomo</w:t>
      </w:r>
      <w:r w:rsidRPr="00ED0C6A">
        <w:rPr>
          <w:rFonts w:asciiTheme="minorHAnsi" w:hAnsiTheme="minorHAnsi"/>
          <w:sz w:val="24"/>
          <w:lang w:val="pl-PL"/>
        </w:rPr>
        <w:t xml:space="preserve"> niedbałym działaniem, które mogło się przyczynić do śmierci pacjenta, </w:t>
      </w:r>
      <w:r w:rsidR="00807999" w:rsidRPr="00ED0C6A">
        <w:rPr>
          <w:rFonts w:asciiTheme="minorHAnsi" w:hAnsiTheme="minorHAnsi"/>
          <w:sz w:val="24"/>
          <w:lang w:val="pl-PL"/>
        </w:rPr>
        <w:t xml:space="preserve">a </w:t>
      </w:r>
      <w:r w:rsidRPr="00ED0C6A">
        <w:rPr>
          <w:rFonts w:asciiTheme="minorHAnsi" w:hAnsiTheme="minorHAnsi"/>
          <w:sz w:val="24"/>
          <w:lang w:val="pl-PL"/>
        </w:rPr>
        <w:t xml:space="preserve">zwłaszcza gdy w grę wchodzi zarzut zakażenia nabytego w szpitalu, można oczekiwać od władz przeprowadzenia całościowego badania sprawy. </w:t>
      </w:r>
    </w:p>
    <w:p w:rsidR="00807999" w:rsidRPr="00ED0C6A" w:rsidRDefault="00807999" w:rsidP="00380783">
      <w:pPr>
        <w:pStyle w:val="ClinContent"/>
        <w:spacing w:before="0"/>
        <w:rPr>
          <w:rFonts w:asciiTheme="minorHAnsi" w:hAnsiTheme="minorHAnsi"/>
          <w:sz w:val="24"/>
          <w:lang w:val="pl-PL"/>
        </w:rPr>
      </w:pPr>
    </w:p>
    <w:p w:rsidR="00BC0AD8" w:rsidRPr="00ED0C6A" w:rsidRDefault="00807999" w:rsidP="00380783">
      <w:pPr>
        <w:pStyle w:val="ClinContent"/>
        <w:spacing w:before="0"/>
        <w:rPr>
          <w:rFonts w:asciiTheme="minorHAnsi" w:hAnsiTheme="minorHAnsi"/>
          <w:sz w:val="24"/>
          <w:lang w:val="pl-PL"/>
        </w:rPr>
      </w:pPr>
      <w:r w:rsidRPr="00ED0C6A">
        <w:rPr>
          <w:rFonts w:asciiTheme="minorHAnsi" w:hAnsiTheme="minorHAnsi"/>
          <w:sz w:val="24"/>
          <w:lang w:val="pl-PL"/>
        </w:rPr>
        <w:t>Trybunał wytknął, że w</w:t>
      </w:r>
      <w:r w:rsidR="00BC0AD8" w:rsidRPr="00ED0C6A">
        <w:rPr>
          <w:rFonts w:asciiTheme="minorHAnsi" w:hAnsiTheme="minorHAnsi"/>
          <w:sz w:val="24"/>
          <w:lang w:val="pl-PL"/>
        </w:rPr>
        <w:t xml:space="preserve"> obecnej sprawie nie przeprowadzono żadnego takiego badania</w:t>
      </w:r>
      <w:r w:rsidRPr="00ED0C6A">
        <w:rPr>
          <w:rFonts w:asciiTheme="minorHAnsi" w:hAnsiTheme="minorHAnsi"/>
          <w:sz w:val="24"/>
          <w:lang w:val="pl-PL"/>
        </w:rPr>
        <w:t>.</w:t>
      </w:r>
      <w:r w:rsidR="00BC0AD8" w:rsidRPr="00ED0C6A">
        <w:rPr>
          <w:rFonts w:asciiTheme="minorHAnsi" w:hAnsiTheme="minorHAnsi"/>
          <w:sz w:val="24"/>
          <w:lang w:val="pl-PL"/>
        </w:rPr>
        <w:t xml:space="preserve"> </w:t>
      </w:r>
      <w:r w:rsidRPr="00ED0C6A">
        <w:rPr>
          <w:rFonts w:asciiTheme="minorHAnsi" w:hAnsiTheme="minorHAnsi"/>
          <w:sz w:val="24"/>
          <w:lang w:val="pl-PL"/>
        </w:rPr>
        <w:t>S</w:t>
      </w:r>
      <w:r w:rsidR="00BC0AD8" w:rsidRPr="00ED0C6A">
        <w:rPr>
          <w:rFonts w:asciiTheme="minorHAnsi" w:hAnsiTheme="minorHAnsi"/>
          <w:sz w:val="24"/>
          <w:lang w:val="pl-PL"/>
        </w:rPr>
        <w:t>ądy</w:t>
      </w:r>
      <w:r w:rsidR="00335B71">
        <w:rPr>
          <w:rFonts w:asciiTheme="minorHAnsi" w:hAnsiTheme="minorHAnsi"/>
          <w:sz w:val="24"/>
          <w:lang w:val="pl-PL"/>
        </w:rPr>
        <w:t> </w:t>
      </w:r>
      <w:r w:rsidR="00BC0AD8" w:rsidRPr="00ED0C6A">
        <w:rPr>
          <w:rFonts w:asciiTheme="minorHAnsi" w:hAnsiTheme="minorHAnsi"/>
          <w:sz w:val="24"/>
          <w:lang w:val="pl-PL"/>
        </w:rPr>
        <w:t>krajowe – zamiast dokonać całościowej oceny –</w:t>
      </w:r>
      <w:r w:rsidR="00E552E2" w:rsidRPr="00ED0C6A">
        <w:rPr>
          <w:rFonts w:asciiTheme="minorHAnsi" w:hAnsiTheme="minorHAnsi"/>
          <w:sz w:val="24"/>
          <w:lang w:val="pl-PL"/>
        </w:rPr>
        <w:t xml:space="preserve"> potraktowały ciąg zdarzeń w</w:t>
      </w:r>
      <w:r w:rsidR="00335B71">
        <w:rPr>
          <w:rFonts w:asciiTheme="minorHAnsi" w:hAnsiTheme="minorHAnsi"/>
          <w:sz w:val="24"/>
          <w:lang w:val="pl-PL"/>
        </w:rPr>
        <w:t> </w:t>
      </w:r>
      <w:r w:rsidR="00E552E2" w:rsidRPr="00ED0C6A">
        <w:rPr>
          <w:rFonts w:asciiTheme="minorHAnsi" w:hAnsiTheme="minorHAnsi"/>
          <w:sz w:val="24"/>
          <w:lang w:val="pl-PL"/>
        </w:rPr>
        <w:t>tej</w:t>
      </w:r>
      <w:r w:rsidR="00335B71">
        <w:rPr>
          <w:rFonts w:asciiTheme="minorHAnsi" w:hAnsiTheme="minorHAnsi"/>
          <w:sz w:val="24"/>
          <w:lang w:val="pl-PL"/>
        </w:rPr>
        <w:t> </w:t>
      </w:r>
      <w:r w:rsidR="00E552E2" w:rsidRPr="00ED0C6A">
        <w:rPr>
          <w:rFonts w:asciiTheme="minorHAnsi" w:hAnsiTheme="minorHAnsi"/>
          <w:sz w:val="24"/>
          <w:lang w:val="pl-PL"/>
        </w:rPr>
        <w:t xml:space="preserve">sprawie jako następujące po sobie przypadki medyczne, nie zwracając szczególnej uwagi na to, jak mogły być one ze sobą powiązane.  </w:t>
      </w:r>
    </w:p>
    <w:p w:rsidR="00807999" w:rsidRPr="00ED0C6A" w:rsidRDefault="00807999" w:rsidP="008540A7">
      <w:pPr>
        <w:pStyle w:val="ClinContent"/>
        <w:spacing w:before="0"/>
        <w:rPr>
          <w:rFonts w:asciiTheme="minorHAnsi" w:hAnsiTheme="minorHAnsi"/>
          <w:sz w:val="24"/>
          <w:lang w:val="pl-PL"/>
        </w:rPr>
      </w:pPr>
    </w:p>
    <w:p w:rsidR="00941F6C" w:rsidRPr="00ED0C6A" w:rsidRDefault="00807999" w:rsidP="00380783">
      <w:pPr>
        <w:pStyle w:val="ClinContent"/>
        <w:spacing w:before="0"/>
        <w:rPr>
          <w:rFonts w:asciiTheme="minorHAnsi" w:hAnsiTheme="minorHAnsi"/>
          <w:sz w:val="24"/>
          <w:lang w:val="pl-PL"/>
        </w:rPr>
      </w:pPr>
      <w:r w:rsidRPr="00ED0C6A">
        <w:rPr>
          <w:rFonts w:asciiTheme="minorHAnsi" w:hAnsiTheme="minorHAnsi"/>
          <w:sz w:val="24"/>
          <w:lang w:val="pl-PL"/>
        </w:rPr>
        <w:t>A zatem, s</w:t>
      </w:r>
      <w:r w:rsidR="00BC0AD8" w:rsidRPr="00ED0C6A">
        <w:rPr>
          <w:rFonts w:asciiTheme="minorHAnsi" w:hAnsiTheme="minorHAnsi"/>
          <w:sz w:val="24"/>
          <w:lang w:val="pl-PL"/>
        </w:rPr>
        <w:t xml:space="preserve">ystem krajowy </w:t>
      </w:r>
      <w:r w:rsidR="00F7664E" w:rsidRPr="00ED0C6A">
        <w:rPr>
          <w:rFonts w:asciiTheme="minorHAnsi" w:hAnsiTheme="minorHAnsi"/>
          <w:sz w:val="24"/>
          <w:lang w:val="pl-PL"/>
        </w:rPr>
        <w:t>rozpatrywany</w:t>
      </w:r>
      <w:r w:rsidR="00BC0AD8" w:rsidRPr="00ED0C6A">
        <w:rPr>
          <w:rFonts w:asciiTheme="minorHAnsi" w:hAnsiTheme="minorHAnsi"/>
          <w:sz w:val="24"/>
          <w:lang w:val="pl-PL"/>
        </w:rPr>
        <w:t xml:space="preserve"> jako całość, stojąc w obliczu </w:t>
      </w:r>
      <w:r w:rsidR="00F7664E" w:rsidRPr="00ED0C6A">
        <w:rPr>
          <w:rFonts w:asciiTheme="minorHAnsi" w:hAnsiTheme="minorHAnsi"/>
          <w:sz w:val="24"/>
          <w:lang w:val="pl-PL"/>
        </w:rPr>
        <w:t>umotywowanego</w:t>
      </w:r>
      <w:r w:rsidR="00BC0AD8" w:rsidRPr="00ED0C6A">
        <w:rPr>
          <w:rFonts w:asciiTheme="minorHAnsi" w:hAnsiTheme="minorHAnsi"/>
          <w:sz w:val="24"/>
          <w:lang w:val="pl-PL"/>
        </w:rPr>
        <w:t xml:space="preserve"> zarzutu zaniedbani</w:t>
      </w:r>
      <w:r w:rsidR="000A6DAF" w:rsidRPr="00ED0C6A">
        <w:rPr>
          <w:rFonts w:asciiTheme="minorHAnsi" w:hAnsiTheme="minorHAnsi"/>
          <w:sz w:val="24"/>
          <w:lang w:val="pl-PL"/>
        </w:rPr>
        <w:t>a</w:t>
      </w:r>
      <w:r w:rsidR="00BC0AD8" w:rsidRPr="00ED0C6A">
        <w:rPr>
          <w:rFonts w:asciiTheme="minorHAnsi" w:hAnsiTheme="minorHAnsi"/>
          <w:sz w:val="24"/>
          <w:lang w:val="pl-PL"/>
        </w:rPr>
        <w:t xml:space="preserve"> medycznego skutkującego śmiercią męża skarżącej, nie</w:t>
      </w:r>
      <w:r w:rsidR="00F7664E" w:rsidRPr="00ED0C6A">
        <w:rPr>
          <w:rFonts w:asciiTheme="minorHAnsi" w:hAnsiTheme="minorHAnsi"/>
          <w:sz w:val="24"/>
          <w:lang w:val="pl-PL"/>
        </w:rPr>
        <w:t xml:space="preserve"> udzielił adekwatnej </w:t>
      </w:r>
      <w:r w:rsidR="00BC0AD8" w:rsidRPr="00ED0C6A">
        <w:rPr>
          <w:rFonts w:asciiTheme="minorHAnsi" w:hAnsiTheme="minorHAnsi"/>
          <w:sz w:val="24"/>
          <w:lang w:val="pl-PL"/>
        </w:rPr>
        <w:t xml:space="preserve">odpowiedniej w rozsądnym terminie </w:t>
      </w:r>
      <w:r w:rsidR="00F7664E" w:rsidRPr="00ED0C6A">
        <w:rPr>
          <w:rFonts w:asciiTheme="minorHAnsi" w:hAnsiTheme="minorHAnsi"/>
          <w:sz w:val="24"/>
          <w:lang w:val="pl-PL"/>
        </w:rPr>
        <w:t>zgodnie</w:t>
      </w:r>
      <w:r w:rsidR="00BC0AD8" w:rsidRPr="00ED0C6A">
        <w:rPr>
          <w:rFonts w:asciiTheme="minorHAnsi" w:hAnsiTheme="minorHAnsi"/>
          <w:sz w:val="24"/>
          <w:lang w:val="pl-PL"/>
        </w:rPr>
        <w:t xml:space="preserve"> z obowiązkiem </w:t>
      </w:r>
      <w:r w:rsidRPr="00ED0C6A">
        <w:rPr>
          <w:rFonts w:asciiTheme="minorHAnsi" w:hAnsiTheme="minorHAnsi"/>
          <w:sz w:val="24"/>
          <w:lang w:val="pl-PL"/>
        </w:rPr>
        <w:t xml:space="preserve">pozytywnym </w:t>
      </w:r>
      <w:r w:rsidR="00BC0AD8" w:rsidRPr="00ED0C6A">
        <w:rPr>
          <w:rFonts w:asciiTheme="minorHAnsi" w:hAnsiTheme="minorHAnsi"/>
          <w:sz w:val="24"/>
          <w:lang w:val="pl-PL"/>
        </w:rPr>
        <w:t>Państwa</w:t>
      </w:r>
      <w:r w:rsidR="00F7664E" w:rsidRPr="00ED0C6A">
        <w:rPr>
          <w:rFonts w:asciiTheme="minorHAnsi" w:hAnsiTheme="minorHAnsi"/>
          <w:sz w:val="24"/>
          <w:lang w:val="pl-PL"/>
        </w:rPr>
        <w:t xml:space="preserve"> wynikającym z art. 2</w:t>
      </w:r>
      <w:r w:rsidR="00BC0AD8" w:rsidRPr="00ED0C6A">
        <w:rPr>
          <w:rFonts w:asciiTheme="minorHAnsi" w:hAnsiTheme="minorHAnsi"/>
          <w:sz w:val="24"/>
          <w:lang w:val="pl-PL"/>
        </w:rPr>
        <w:t>.</w:t>
      </w:r>
      <w:r w:rsidRPr="00ED0C6A">
        <w:rPr>
          <w:rFonts w:asciiTheme="minorHAnsi" w:hAnsiTheme="minorHAnsi"/>
          <w:sz w:val="24"/>
          <w:lang w:val="pl-PL"/>
        </w:rPr>
        <w:t xml:space="preserve"> </w:t>
      </w:r>
    </w:p>
    <w:p w:rsidR="00876E9B" w:rsidRPr="00ED0C6A" w:rsidRDefault="00876E9B" w:rsidP="00380783">
      <w:pPr>
        <w:pStyle w:val="ClinContent"/>
        <w:spacing w:before="0"/>
        <w:rPr>
          <w:rFonts w:asciiTheme="minorHAnsi" w:hAnsiTheme="minorHAnsi"/>
          <w:sz w:val="24"/>
          <w:lang w:val="pl-PL"/>
        </w:rPr>
      </w:pPr>
    </w:p>
    <w:p w:rsidR="00BC0AD8" w:rsidRPr="00ED0C6A" w:rsidRDefault="00807999" w:rsidP="00941F6C">
      <w:pPr>
        <w:pStyle w:val="ClinContent"/>
        <w:spacing w:before="0"/>
        <w:rPr>
          <w:rFonts w:asciiTheme="minorHAnsi" w:hAnsiTheme="minorHAnsi"/>
          <w:sz w:val="24"/>
          <w:lang w:val="pl-PL"/>
        </w:rPr>
      </w:pPr>
      <w:r w:rsidRPr="00ED0C6A">
        <w:rPr>
          <w:rFonts w:asciiTheme="minorHAnsi" w:hAnsiTheme="minorHAnsi"/>
          <w:sz w:val="24"/>
          <w:lang w:val="pl-PL"/>
        </w:rPr>
        <w:t>Trybunał stwierdził jednomyślnie naruszenie art. 2 Konwencji (praw</w:t>
      </w:r>
      <w:r w:rsidR="000A6DAF" w:rsidRPr="00ED0C6A">
        <w:rPr>
          <w:rFonts w:asciiTheme="minorHAnsi" w:hAnsiTheme="minorHAnsi"/>
          <w:sz w:val="24"/>
          <w:lang w:val="pl-PL"/>
        </w:rPr>
        <w:t>a</w:t>
      </w:r>
      <w:r w:rsidRPr="00ED0C6A">
        <w:rPr>
          <w:rFonts w:asciiTheme="minorHAnsi" w:hAnsiTheme="minorHAnsi"/>
          <w:sz w:val="24"/>
          <w:lang w:val="pl-PL"/>
        </w:rPr>
        <w:t xml:space="preserve"> do życia) w jego aspekcie proceduralnym</w:t>
      </w:r>
      <w:r w:rsidR="00941F6C" w:rsidRPr="00ED0C6A">
        <w:rPr>
          <w:rFonts w:asciiTheme="minorHAnsi" w:hAnsiTheme="minorHAnsi"/>
          <w:sz w:val="24"/>
          <w:lang w:val="pl-PL"/>
        </w:rPr>
        <w:t xml:space="preserve"> i zasądził na rzecz skarżącej </w:t>
      </w:r>
      <w:r w:rsidR="00BC0AD8" w:rsidRPr="00ED0C6A">
        <w:rPr>
          <w:rFonts w:asciiTheme="minorHAnsi" w:hAnsiTheme="minorHAnsi"/>
          <w:sz w:val="24"/>
          <w:lang w:val="pl-PL"/>
        </w:rPr>
        <w:t>23 000 EUR tytułem szkody niematerialnej</w:t>
      </w:r>
      <w:r w:rsidR="00941F6C" w:rsidRPr="00ED0C6A">
        <w:rPr>
          <w:rFonts w:asciiTheme="minorHAnsi" w:hAnsiTheme="minorHAnsi"/>
          <w:sz w:val="24"/>
          <w:lang w:val="pl-PL"/>
        </w:rPr>
        <w:t>, oddalił natomiast</w:t>
      </w:r>
      <w:r w:rsidR="00BC0AD8" w:rsidRPr="00ED0C6A">
        <w:rPr>
          <w:rFonts w:asciiTheme="minorHAnsi" w:hAnsiTheme="minorHAnsi"/>
          <w:sz w:val="24"/>
          <w:lang w:val="pl-PL"/>
        </w:rPr>
        <w:t xml:space="preserve"> roszczenie w od</w:t>
      </w:r>
      <w:r w:rsidR="00D04C5D" w:rsidRPr="00ED0C6A">
        <w:rPr>
          <w:rFonts w:asciiTheme="minorHAnsi" w:hAnsiTheme="minorHAnsi"/>
          <w:sz w:val="24"/>
          <w:lang w:val="pl-PL"/>
        </w:rPr>
        <w:t>niesieniu do szkody materialnej</w:t>
      </w:r>
      <w:r w:rsidR="00BC0AD8" w:rsidRPr="00ED0C6A">
        <w:rPr>
          <w:rFonts w:asciiTheme="minorHAnsi" w:hAnsiTheme="minorHAnsi"/>
          <w:sz w:val="24"/>
          <w:lang w:val="pl-PL"/>
        </w:rPr>
        <w:t xml:space="preserve">. </w:t>
      </w:r>
    </w:p>
    <w:p w:rsidR="003E3E56" w:rsidRPr="00ED0C6A" w:rsidRDefault="003E3E56" w:rsidP="00941F6C">
      <w:pPr>
        <w:pStyle w:val="ClinContent"/>
        <w:spacing w:before="0"/>
        <w:rPr>
          <w:rFonts w:asciiTheme="minorHAnsi" w:hAnsiTheme="minorHAnsi"/>
          <w:sz w:val="24"/>
          <w:lang w:val="pl-PL"/>
        </w:rPr>
      </w:pPr>
    </w:p>
    <w:p w:rsidR="00876E9B" w:rsidRPr="00ED0C6A" w:rsidRDefault="003E3E56" w:rsidP="00941F6C">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Wyrok stanowi istotne wyjaśnienie zakresu i zasad odpowiedzialności Państw Stron Konwencji w </w:t>
      </w:r>
      <w:r w:rsidR="00E8579D" w:rsidRPr="00ED0C6A">
        <w:rPr>
          <w:rFonts w:asciiTheme="minorHAnsi" w:hAnsiTheme="minorHAnsi"/>
          <w:sz w:val="24"/>
          <w:lang w:val="pl-PL"/>
        </w:rPr>
        <w:t>przypadkach</w:t>
      </w:r>
      <w:r w:rsidRPr="00ED0C6A">
        <w:rPr>
          <w:rFonts w:asciiTheme="minorHAnsi" w:hAnsiTheme="minorHAnsi"/>
          <w:sz w:val="24"/>
          <w:lang w:val="pl-PL"/>
        </w:rPr>
        <w:t xml:space="preserve"> śmierci pacjentów służby zdrowia. </w:t>
      </w:r>
      <w:r w:rsidR="00876E9B" w:rsidRPr="00ED0C6A">
        <w:rPr>
          <w:rFonts w:asciiTheme="minorHAnsi" w:hAnsiTheme="minorHAnsi"/>
          <w:sz w:val="24"/>
          <w:lang w:val="pl-PL"/>
        </w:rPr>
        <w:t>J</w:t>
      </w:r>
      <w:r w:rsidRPr="00ED0C6A">
        <w:rPr>
          <w:rFonts w:asciiTheme="minorHAnsi" w:hAnsiTheme="minorHAnsi"/>
          <w:sz w:val="24"/>
          <w:lang w:val="pl-PL"/>
        </w:rPr>
        <w:t xml:space="preserve">ako główny obowiązek </w:t>
      </w:r>
      <w:r w:rsidR="00721A8D" w:rsidRPr="00ED0C6A">
        <w:rPr>
          <w:rFonts w:asciiTheme="minorHAnsi" w:hAnsiTheme="minorHAnsi"/>
          <w:sz w:val="24"/>
          <w:lang w:val="pl-PL"/>
        </w:rPr>
        <w:t xml:space="preserve">Państw </w:t>
      </w:r>
      <w:r w:rsidRPr="00ED0C6A">
        <w:rPr>
          <w:rFonts w:asciiTheme="minorHAnsi" w:hAnsiTheme="minorHAnsi"/>
          <w:sz w:val="24"/>
          <w:lang w:val="pl-PL"/>
        </w:rPr>
        <w:t xml:space="preserve">na gruncie art. 2 Konwencji </w:t>
      </w:r>
      <w:r w:rsidR="00E8579D" w:rsidRPr="00ED0C6A">
        <w:rPr>
          <w:rFonts w:asciiTheme="minorHAnsi" w:hAnsiTheme="minorHAnsi"/>
          <w:sz w:val="24"/>
          <w:lang w:val="pl-PL"/>
        </w:rPr>
        <w:t>(chroniącego prawo do</w:t>
      </w:r>
      <w:r w:rsidR="00335B71">
        <w:rPr>
          <w:rFonts w:asciiTheme="minorHAnsi" w:hAnsiTheme="minorHAnsi"/>
          <w:sz w:val="24"/>
          <w:lang w:val="pl-PL"/>
        </w:rPr>
        <w:t> </w:t>
      </w:r>
      <w:r w:rsidR="00E8579D" w:rsidRPr="00ED0C6A">
        <w:rPr>
          <w:rFonts w:asciiTheme="minorHAnsi" w:hAnsiTheme="minorHAnsi"/>
          <w:sz w:val="24"/>
          <w:lang w:val="pl-PL"/>
        </w:rPr>
        <w:t>życia)</w:t>
      </w:r>
      <w:r w:rsidRPr="00ED0C6A">
        <w:rPr>
          <w:rFonts w:asciiTheme="minorHAnsi" w:hAnsiTheme="minorHAnsi"/>
          <w:sz w:val="24"/>
          <w:lang w:val="pl-PL"/>
        </w:rPr>
        <w:t xml:space="preserve"> </w:t>
      </w:r>
      <w:r w:rsidR="00876E9B" w:rsidRPr="00ED0C6A">
        <w:rPr>
          <w:rFonts w:asciiTheme="minorHAnsi" w:hAnsiTheme="minorHAnsi"/>
          <w:sz w:val="24"/>
          <w:lang w:val="pl-PL"/>
        </w:rPr>
        <w:t>Trybunał traktuje</w:t>
      </w:r>
      <w:r w:rsidRPr="00ED0C6A">
        <w:rPr>
          <w:rFonts w:asciiTheme="minorHAnsi" w:hAnsiTheme="minorHAnsi"/>
          <w:sz w:val="24"/>
          <w:lang w:val="pl-PL"/>
        </w:rPr>
        <w:t xml:space="preserve"> obowiązek wdrożenia stosownych ram regulacyjnych, zobowiązujących szpitale, tak prywatne, jak i publiczne, do przyjęcia odpowiednich środków w celu ochrony życia pacjentów. Środki te powinny obejmować </w:t>
      </w:r>
      <w:r w:rsidR="00876E9B" w:rsidRPr="00ED0C6A">
        <w:rPr>
          <w:rFonts w:asciiTheme="minorHAnsi" w:hAnsiTheme="minorHAnsi"/>
          <w:sz w:val="24"/>
          <w:lang w:val="pl-PL"/>
        </w:rPr>
        <w:t xml:space="preserve">też </w:t>
      </w:r>
      <w:r w:rsidRPr="00ED0C6A">
        <w:rPr>
          <w:rFonts w:asciiTheme="minorHAnsi" w:hAnsiTheme="minorHAnsi"/>
          <w:sz w:val="24"/>
          <w:lang w:val="pl-PL"/>
        </w:rPr>
        <w:t xml:space="preserve">mechanizmy </w:t>
      </w:r>
      <w:r w:rsidR="00876E9B" w:rsidRPr="00ED0C6A">
        <w:rPr>
          <w:rFonts w:asciiTheme="minorHAnsi" w:hAnsiTheme="minorHAnsi"/>
          <w:sz w:val="24"/>
          <w:lang w:val="pl-PL"/>
        </w:rPr>
        <w:t>ich</w:t>
      </w:r>
      <w:r w:rsidR="00335B71">
        <w:rPr>
          <w:rFonts w:asciiTheme="minorHAnsi" w:hAnsiTheme="minorHAnsi"/>
          <w:sz w:val="24"/>
          <w:lang w:val="pl-PL"/>
        </w:rPr>
        <w:t> </w:t>
      </w:r>
      <w:r w:rsidRPr="00ED0C6A">
        <w:rPr>
          <w:rFonts w:asciiTheme="minorHAnsi" w:hAnsiTheme="minorHAnsi"/>
          <w:sz w:val="24"/>
          <w:lang w:val="pl-PL"/>
        </w:rPr>
        <w:t>wdrożenia i kontroli, tak by były one przestrzegane w praktyce.</w:t>
      </w:r>
      <w:r w:rsidR="00876E9B" w:rsidRPr="00ED0C6A">
        <w:rPr>
          <w:rFonts w:asciiTheme="minorHAnsi" w:hAnsiTheme="minorHAnsi"/>
          <w:sz w:val="24"/>
          <w:lang w:val="pl-PL"/>
        </w:rPr>
        <w:t xml:space="preserve"> Państwa mają też</w:t>
      </w:r>
      <w:r w:rsidR="00335B71">
        <w:rPr>
          <w:rFonts w:asciiTheme="minorHAnsi" w:hAnsiTheme="minorHAnsi"/>
          <w:sz w:val="24"/>
          <w:lang w:val="pl-PL"/>
        </w:rPr>
        <w:t> </w:t>
      </w:r>
      <w:r w:rsidR="00876E9B" w:rsidRPr="00ED0C6A">
        <w:rPr>
          <w:rFonts w:asciiTheme="minorHAnsi" w:hAnsiTheme="minorHAnsi"/>
          <w:sz w:val="24"/>
          <w:lang w:val="pl-PL"/>
        </w:rPr>
        <w:t>obowiązek reagowania na sytuacje dysfunkcji systemowych w opiece szpitalnej skutkujących pozbawieniem pacjentów dostępu do ratującego życie leczenia w nagłych wypadkach, jeśli widziały lu</w:t>
      </w:r>
      <w:r w:rsidR="00E8579D" w:rsidRPr="00ED0C6A">
        <w:rPr>
          <w:rFonts w:asciiTheme="minorHAnsi" w:hAnsiTheme="minorHAnsi"/>
          <w:sz w:val="24"/>
          <w:lang w:val="pl-PL"/>
        </w:rPr>
        <w:t>b powinny były wiedzieć o takich dysfunkcjach</w:t>
      </w:r>
      <w:r w:rsidR="00876E9B" w:rsidRPr="00ED0C6A">
        <w:rPr>
          <w:rFonts w:asciiTheme="minorHAnsi" w:hAnsiTheme="minorHAnsi"/>
          <w:sz w:val="24"/>
          <w:lang w:val="pl-PL"/>
        </w:rPr>
        <w:t xml:space="preserve">. Państwa ponoszą także odpowiedzialność w przypadku świadomej odmowy przez pracowników służby zdrowia udzielenia świadczenia ratującego życie w takich przypadkach z narażeniem życia pacjenta. </w:t>
      </w:r>
      <w:r w:rsidR="00E51C21" w:rsidRPr="00ED0C6A">
        <w:rPr>
          <w:rFonts w:asciiTheme="minorHAnsi" w:hAnsiTheme="minorHAnsi"/>
          <w:sz w:val="24"/>
          <w:lang w:val="pl-PL"/>
        </w:rPr>
        <w:t xml:space="preserve">Trybunał wskazuje także przypadki, w których </w:t>
      </w:r>
      <w:r w:rsidR="00721A8D" w:rsidRPr="00ED0C6A">
        <w:rPr>
          <w:rFonts w:asciiTheme="minorHAnsi" w:hAnsiTheme="minorHAnsi"/>
          <w:sz w:val="24"/>
          <w:lang w:val="pl-PL"/>
        </w:rPr>
        <w:t xml:space="preserve">Państwa </w:t>
      </w:r>
      <w:r w:rsidR="00876E9B" w:rsidRPr="00ED0C6A">
        <w:rPr>
          <w:rFonts w:asciiTheme="minorHAnsi" w:hAnsiTheme="minorHAnsi"/>
          <w:sz w:val="24"/>
          <w:lang w:val="pl-PL"/>
        </w:rPr>
        <w:t>nie ponoszą odpowiedzialności w</w:t>
      </w:r>
      <w:r w:rsidR="00335B71">
        <w:rPr>
          <w:rFonts w:asciiTheme="minorHAnsi" w:hAnsiTheme="minorHAnsi"/>
          <w:sz w:val="24"/>
          <w:lang w:val="pl-PL"/>
        </w:rPr>
        <w:t> </w:t>
      </w:r>
      <w:r w:rsidR="00876E9B" w:rsidRPr="00ED0C6A">
        <w:rPr>
          <w:rFonts w:asciiTheme="minorHAnsi" w:hAnsiTheme="minorHAnsi"/>
          <w:sz w:val="24"/>
          <w:lang w:val="pl-PL"/>
        </w:rPr>
        <w:t xml:space="preserve">aspekcie materialnym za </w:t>
      </w:r>
      <w:r w:rsidR="00E51C21" w:rsidRPr="00ED0C6A">
        <w:rPr>
          <w:rFonts w:asciiTheme="minorHAnsi" w:hAnsiTheme="minorHAnsi"/>
          <w:sz w:val="24"/>
          <w:lang w:val="pl-PL"/>
        </w:rPr>
        <w:t xml:space="preserve">działania lub zaniechania </w:t>
      </w:r>
      <w:r w:rsidR="00876E9B" w:rsidRPr="00ED0C6A">
        <w:rPr>
          <w:rFonts w:asciiTheme="minorHAnsi" w:hAnsiTheme="minorHAnsi"/>
          <w:sz w:val="24"/>
          <w:lang w:val="pl-PL"/>
        </w:rPr>
        <w:t>pojedynczych pracowników</w:t>
      </w:r>
      <w:r w:rsidR="00E51C21" w:rsidRPr="00ED0C6A">
        <w:rPr>
          <w:rFonts w:asciiTheme="minorHAnsi" w:hAnsiTheme="minorHAnsi"/>
          <w:sz w:val="24"/>
          <w:lang w:val="pl-PL"/>
        </w:rPr>
        <w:t xml:space="preserve"> służby zdrowia</w:t>
      </w:r>
      <w:r w:rsidR="00876E9B" w:rsidRPr="00ED0C6A">
        <w:rPr>
          <w:rFonts w:asciiTheme="minorHAnsi" w:hAnsiTheme="minorHAnsi"/>
          <w:sz w:val="24"/>
          <w:lang w:val="pl-PL"/>
        </w:rPr>
        <w:t xml:space="preserve">. Tym niemniej, </w:t>
      </w:r>
      <w:r w:rsidR="00E51C21" w:rsidRPr="00ED0C6A">
        <w:rPr>
          <w:rFonts w:asciiTheme="minorHAnsi" w:hAnsiTheme="minorHAnsi"/>
          <w:sz w:val="24"/>
          <w:lang w:val="pl-PL"/>
        </w:rPr>
        <w:t xml:space="preserve">każdorazowo na </w:t>
      </w:r>
      <w:r w:rsidR="00721A8D" w:rsidRPr="00ED0C6A">
        <w:rPr>
          <w:rFonts w:asciiTheme="minorHAnsi" w:hAnsiTheme="minorHAnsi"/>
          <w:sz w:val="24"/>
          <w:lang w:val="pl-PL"/>
        </w:rPr>
        <w:t xml:space="preserve">Państwie </w:t>
      </w:r>
      <w:r w:rsidR="00E51C21" w:rsidRPr="00ED0C6A">
        <w:rPr>
          <w:rFonts w:asciiTheme="minorHAnsi" w:hAnsiTheme="minorHAnsi"/>
          <w:sz w:val="24"/>
          <w:lang w:val="pl-PL"/>
        </w:rPr>
        <w:t>ciążą obowiązki o charakterze proceduralnym zbadania przypadków śmierci pacjentów poprzez przeprowadzenie</w:t>
      </w:r>
      <w:r w:rsidR="00876E9B" w:rsidRPr="00ED0C6A">
        <w:rPr>
          <w:rFonts w:asciiTheme="minorHAnsi" w:hAnsiTheme="minorHAnsi"/>
          <w:sz w:val="24"/>
          <w:lang w:val="pl-PL"/>
        </w:rPr>
        <w:t xml:space="preserve"> skutecznego śledztwa i postępowania sądowego</w:t>
      </w:r>
      <w:r w:rsidR="00E51C21" w:rsidRPr="00ED0C6A">
        <w:rPr>
          <w:rFonts w:asciiTheme="minorHAnsi" w:hAnsiTheme="minorHAnsi"/>
          <w:sz w:val="24"/>
          <w:lang w:val="pl-PL"/>
        </w:rPr>
        <w:t>.</w:t>
      </w:r>
      <w:r w:rsidR="00876E9B" w:rsidRPr="00ED0C6A">
        <w:rPr>
          <w:rFonts w:asciiTheme="minorHAnsi" w:hAnsiTheme="minorHAnsi"/>
          <w:sz w:val="24"/>
          <w:lang w:val="pl-PL"/>
        </w:rPr>
        <w:t xml:space="preserve"> </w:t>
      </w:r>
      <w:r w:rsidR="00E51C21" w:rsidRPr="00ED0C6A">
        <w:rPr>
          <w:rFonts w:asciiTheme="minorHAnsi" w:hAnsiTheme="minorHAnsi"/>
          <w:sz w:val="24"/>
          <w:lang w:val="pl-PL"/>
        </w:rPr>
        <w:t xml:space="preserve">W przypadkach, w których </w:t>
      </w:r>
      <w:r w:rsidR="00876E9B" w:rsidRPr="00ED0C6A">
        <w:rPr>
          <w:rFonts w:asciiTheme="minorHAnsi" w:hAnsiTheme="minorHAnsi"/>
          <w:sz w:val="24"/>
          <w:lang w:val="pl-PL"/>
        </w:rPr>
        <w:t>istnieją uzasadnione przesłanki, by twierdzić, że śmierć pacjenta nastąpiła z uwagi na zaniedbanie medyczne</w:t>
      </w:r>
      <w:r w:rsidR="00E51C21" w:rsidRPr="00ED0C6A">
        <w:rPr>
          <w:rFonts w:asciiTheme="minorHAnsi" w:hAnsiTheme="minorHAnsi"/>
          <w:sz w:val="24"/>
          <w:lang w:val="pl-PL"/>
        </w:rPr>
        <w:t>,</w:t>
      </w:r>
      <w:r w:rsidR="00876E9B" w:rsidRPr="00ED0C6A">
        <w:rPr>
          <w:rFonts w:asciiTheme="minorHAnsi" w:hAnsiTheme="minorHAnsi"/>
          <w:sz w:val="24"/>
          <w:lang w:val="pl-PL"/>
        </w:rPr>
        <w:t xml:space="preserve"> </w:t>
      </w:r>
      <w:r w:rsidR="00E51C21" w:rsidRPr="00ED0C6A">
        <w:rPr>
          <w:rFonts w:asciiTheme="minorHAnsi" w:hAnsiTheme="minorHAnsi"/>
          <w:sz w:val="24"/>
          <w:lang w:val="pl-PL"/>
        </w:rPr>
        <w:t xml:space="preserve">władze </w:t>
      </w:r>
      <w:r w:rsidR="00876E9B" w:rsidRPr="00ED0C6A">
        <w:rPr>
          <w:rFonts w:asciiTheme="minorHAnsi" w:hAnsiTheme="minorHAnsi"/>
          <w:sz w:val="24"/>
          <w:lang w:val="pl-PL"/>
        </w:rPr>
        <w:t xml:space="preserve">nie mogą się ograniczać do ustalenia </w:t>
      </w:r>
      <w:r w:rsidR="00E51C21" w:rsidRPr="00ED0C6A">
        <w:rPr>
          <w:rFonts w:asciiTheme="minorHAnsi" w:hAnsiTheme="minorHAnsi"/>
          <w:sz w:val="24"/>
          <w:lang w:val="pl-PL"/>
        </w:rPr>
        <w:t>j</w:t>
      </w:r>
      <w:r w:rsidR="00876E9B" w:rsidRPr="00ED0C6A">
        <w:rPr>
          <w:rFonts w:asciiTheme="minorHAnsi" w:hAnsiTheme="minorHAnsi"/>
          <w:sz w:val="24"/>
          <w:lang w:val="pl-PL"/>
        </w:rPr>
        <w:t>edynie czasu i bezpośredniej przyczyny śmierci</w:t>
      </w:r>
      <w:r w:rsidR="00E51C21" w:rsidRPr="00ED0C6A">
        <w:rPr>
          <w:rFonts w:asciiTheme="minorHAnsi" w:hAnsiTheme="minorHAnsi"/>
          <w:sz w:val="24"/>
          <w:lang w:val="pl-PL"/>
        </w:rPr>
        <w:t xml:space="preserve"> i traktować ciągu wydarzeń jako serii niepowiązanych przypadków</w:t>
      </w:r>
      <w:r w:rsidR="00876E9B" w:rsidRPr="00ED0C6A">
        <w:rPr>
          <w:rFonts w:asciiTheme="minorHAnsi" w:hAnsiTheme="minorHAnsi"/>
          <w:sz w:val="24"/>
          <w:lang w:val="pl-PL"/>
        </w:rPr>
        <w:t xml:space="preserve">. </w:t>
      </w:r>
    </w:p>
    <w:p w:rsidR="00E51C21" w:rsidRPr="00ED0C6A" w:rsidRDefault="00E51C21" w:rsidP="00941F6C">
      <w:pPr>
        <w:pStyle w:val="ClinContent"/>
        <w:spacing w:before="0"/>
        <w:rPr>
          <w:rFonts w:asciiTheme="minorHAnsi" w:hAnsiTheme="minorHAnsi"/>
          <w:sz w:val="24"/>
          <w:lang w:val="pl-PL"/>
        </w:rPr>
      </w:pPr>
    </w:p>
    <w:p w:rsidR="00E51C21" w:rsidRPr="00ED0C6A" w:rsidRDefault="00E51C21" w:rsidP="00941F6C">
      <w:pPr>
        <w:pStyle w:val="ClinContent"/>
        <w:spacing w:before="0"/>
        <w:rPr>
          <w:rFonts w:asciiTheme="minorHAnsi" w:hAnsiTheme="minorHAnsi"/>
          <w:sz w:val="24"/>
          <w:lang w:val="pl-PL"/>
        </w:rPr>
      </w:pPr>
      <w:r w:rsidRPr="00ED0C6A">
        <w:rPr>
          <w:rFonts w:asciiTheme="minorHAnsi" w:hAnsiTheme="minorHAnsi"/>
          <w:sz w:val="24"/>
          <w:lang w:val="pl-PL"/>
        </w:rPr>
        <w:t xml:space="preserve">Ten szczegółowy wyrok, wymagających dogłębnej analizy, może mieć znaczenie zwłaszcza dla organów odpowiedzialnych za organizację i regulację służby zdrowia, </w:t>
      </w:r>
      <w:r w:rsidR="00D070B1" w:rsidRPr="00ED0C6A">
        <w:rPr>
          <w:rFonts w:asciiTheme="minorHAnsi" w:hAnsiTheme="minorHAnsi"/>
          <w:sz w:val="24"/>
          <w:lang w:val="pl-PL"/>
        </w:rPr>
        <w:t xml:space="preserve">dla </w:t>
      </w:r>
      <w:r w:rsidR="00837491" w:rsidRPr="00ED0C6A">
        <w:rPr>
          <w:rFonts w:asciiTheme="minorHAnsi" w:hAnsiTheme="minorHAnsi"/>
          <w:sz w:val="24"/>
          <w:lang w:val="pl-PL"/>
        </w:rPr>
        <w:t>mechanizmów i</w:t>
      </w:r>
      <w:r w:rsidR="00335B71">
        <w:rPr>
          <w:rFonts w:asciiTheme="minorHAnsi" w:hAnsiTheme="minorHAnsi"/>
          <w:sz w:val="24"/>
          <w:lang w:val="pl-PL"/>
        </w:rPr>
        <w:t> </w:t>
      </w:r>
      <w:r w:rsidRPr="00ED0C6A">
        <w:rPr>
          <w:rFonts w:asciiTheme="minorHAnsi" w:hAnsiTheme="minorHAnsi"/>
          <w:sz w:val="24"/>
          <w:lang w:val="pl-PL"/>
        </w:rPr>
        <w:t xml:space="preserve">organów kontrolnych </w:t>
      </w:r>
      <w:r w:rsidR="00837491" w:rsidRPr="00ED0C6A">
        <w:rPr>
          <w:rFonts w:asciiTheme="minorHAnsi" w:hAnsiTheme="minorHAnsi"/>
          <w:sz w:val="24"/>
          <w:lang w:val="pl-PL"/>
        </w:rPr>
        <w:t xml:space="preserve">oraz dyscyplinarnych </w:t>
      </w:r>
      <w:r w:rsidRPr="00ED0C6A">
        <w:rPr>
          <w:rFonts w:asciiTheme="minorHAnsi" w:hAnsiTheme="minorHAnsi"/>
          <w:sz w:val="24"/>
          <w:lang w:val="pl-PL"/>
        </w:rPr>
        <w:t>w służbie zdrowia, Rzecznika Praw Pacjenta, a</w:t>
      </w:r>
      <w:r w:rsidR="00335B71">
        <w:rPr>
          <w:rFonts w:asciiTheme="minorHAnsi" w:hAnsiTheme="minorHAnsi"/>
          <w:sz w:val="24"/>
          <w:lang w:val="pl-PL"/>
        </w:rPr>
        <w:t> </w:t>
      </w:r>
      <w:r w:rsidRPr="00ED0C6A">
        <w:rPr>
          <w:rFonts w:asciiTheme="minorHAnsi" w:hAnsiTheme="minorHAnsi"/>
          <w:sz w:val="24"/>
          <w:lang w:val="pl-PL"/>
        </w:rPr>
        <w:t>także poszczególnych jednostek służby zdrowia i pracowników. M</w:t>
      </w:r>
      <w:r w:rsidR="00837491" w:rsidRPr="00ED0C6A">
        <w:rPr>
          <w:rFonts w:asciiTheme="minorHAnsi" w:hAnsiTheme="minorHAnsi"/>
          <w:sz w:val="24"/>
          <w:lang w:val="pl-PL"/>
        </w:rPr>
        <w:t>oże</w:t>
      </w:r>
      <w:r w:rsidRPr="00ED0C6A">
        <w:rPr>
          <w:rFonts w:asciiTheme="minorHAnsi" w:hAnsiTheme="minorHAnsi"/>
          <w:sz w:val="24"/>
          <w:lang w:val="pl-PL"/>
        </w:rPr>
        <w:t xml:space="preserve"> też </w:t>
      </w:r>
      <w:r w:rsidR="00837491" w:rsidRPr="00ED0C6A">
        <w:rPr>
          <w:rFonts w:asciiTheme="minorHAnsi" w:hAnsiTheme="minorHAnsi"/>
          <w:sz w:val="24"/>
          <w:lang w:val="pl-PL"/>
        </w:rPr>
        <w:t xml:space="preserve">mieć </w:t>
      </w:r>
      <w:r w:rsidRPr="00ED0C6A">
        <w:rPr>
          <w:rFonts w:asciiTheme="minorHAnsi" w:hAnsiTheme="minorHAnsi"/>
          <w:sz w:val="24"/>
          <w:lang w:val="pl-PL"/>
        </w:rPr>
        <w:t>szczególne znaczenie dla sądów i prokuratury</w:t>
      </w:r>
      <w:r w:rsidR="00B51A59" w:rsidRPr="00ED0C6A">
        <w:rPr>
          <w:rFonts w:asciiTheme="minorHAnsi" w:hAnsiTheme="minorHAnsi"/>
          <w:sz w:val="24"/>
          <w:lang w:val="pl-PL"/>
        </w:rPr>
        <w:t xml:space="preserve"> rozpatrujących przypadki śmierci pacjentów</w:t>
      </w:r>
      <w:r w:rsidRPr="00ED0C6A">
        <w:rPr>
          <w:rFonts w:asciiTheme="minorHAnsi" w:hAnsiTheme="minorHAnsi"/>
          <w:sz w:val="24"/>
          <w:lang w:val="pl-PL"/>
        </w:rPr>
        <w:t xml:space="preserve">.  </w:t>
      </w:r>
    </w:p>
    <w:p w:rsidR="00E51C21" w:rsidRPr="00ED0C6A" w:rsidRDefault="00E51C21" w:rsidP="00941F6C">
      <w:pPr>
        <w:pStyle w:val="ClinContent"/>
        <w:spacing w:before="0"/>
        <w:rPr>
          <w:rFonts w:asciiTheme="minorHAnsi" w:hAnsiTheme="minorHAnsi"/>
          <w:sz w:val="24"/>
          <w:lang w:val="pl-PL"/>
        </w:rPr>
      </w:pPr>
    </w:p>
    <w:p w:rsidR="00BC0AD8" w:rsidRPr="00ED0C6A" w:rsidRDefault="00BC0AD8" w:rsidP="009333A7">
      <w:pPr>
        <w:pStyle w:val="Nagwek2"/>
        <w:spacing w:before="480"/>
        <w:rPr>
          <w:rFonts w:asciiTheme="minorHAnsi" w:hAnsiTheme="minorHAnsi"/>
          <w:color w:val="auto"/>
          <w:sz w:val="24"/>
          <w:szCs w:val="24"/>
        </w:rPr>
      </w:pPr>
      <w:bookmarkStart w:id="20" w:name="_Toc524696736"/>
      <w:r w:rsidRPr="00ED0C6A">
        <w:rPr>
          <w:rFonts w:asciiTheme="minorHAnsi" w:hAnsiTheme="minorHAnsi"/>
          <w:color w:val="auto"/>
          <w:sz w:val="24"/>
          <w:szCs w:val="24"/>
        </w:rPr>
        <w:t>M p. Holandii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2156/10</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133FDE" w:rsidRPr="00ED0C6A">
        <w:rPr>
          <w:rFonts w:asciiTheme="minorHAnsi" w:hAnsiTheme="minorHAnsi"/>
          <w:color w:val="auto"/>
          <w:sz w:val="24"/>
          <w:szCs w:val="24"/>
        </w:rPr>
        <w:t xml:space="preserve">Izby </w:t>
      </w:r>
      <w:r w:rsidRPr="00ED0C6A">
        <w:rPr>
          <w:rFonts w:asciiTheme="minorHAnsi" w:hAnsiTheme="minorHAnsi"/>
          <w:color w:val="auto"/>
          <w:sz w:val="24"/>
          <w:szCs w:val="24"/>
        </w:rPr>
        <w:t>z 25</w:t>
      </w:r>
      <w:r w:rsidR="00B4260D" w:rsidRPr="00ED0C6A">
        <w:rPr>
          <w:rFonts w:asciiTheme="minorHAnsi" w:hAnsiTheme="minorHAnsi"/>
          <w:color w:val="auto"/>
          <w:sz w:val="24"/>
          <w:szCs w:val="24"/>
        </w:rPr>
        <w:t xml:space="preserve"> lipca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20"/>
    </w:p>
    <w:p w:rsidR="00193D65" w:rsidRPr="00ED0C6A" w:rsidRDefault="00BC0AD8" w:rsidP="001145B0">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w:t>
      </w:r>
      <w:r w:rsidR="00193D65" w:rsidRPr="00ED0C6A">
        <w:rPr>
          <w:b/>
          <w:color w:val="000000" w:themeColor="text1"/>
          <w:sz w:val="24"/>
          <w:szCs w:val="24"/>
          <w:lang w:val="pl-PL"/>
        </w:rPr>
        <w:t xml:space="preserve"> </w:t>
      </w:r>
      <w:r w:rsidR="001145B0" w:rsidRPr="00ED0C6A">
        <w:rPr>
          <w:b/>
          <w:color w:val="000000" w:themeColor="text1"/>
          <w:sz w:val="24"/>
          <w:szCs w:val="24"/>
          <w:lang w:val="pl-PL"/>
        </w:rPr>
        <w:t>a</w:t>
      </w:r>
      <w:r w:rsidR="00193D65" w:rsidRPr="00ED0C6A">
        <w:rPr>
          <w:b/>
          <w:color w:val="000000" w:themeColor="text1"/>
          <w:sz w:val="24"/>
          <w:szCs w:val="24"/>
          <w:lang w:val="pl-PL"/>
        </w:rPr>
        <w:t xml:space="preserve">rt. 6 </w:t>
      </w:r>
      <w:r w:rsidR="001145B0" w:rsidRPr="00ED0C6A">
        <w:rPr>
          <w:b/>
          <w:color w:val="000000" w:themeColor="text1"/>
          <w:sz w:val="24"/>
          <w:szCs w:val="24"/>
          <w:lang w:val="pl-PL"/>
        </w:rPr>
        <w:t xml:space="preserve">ust. 1 i </w:t>
      </w:r>
      <w:r w:rsidR="00193D65" w:rsidRPr="00ED0C6A">
        <w:rPr>
          <w:b/>
          <w:color w:val="000000" w:themeColor="text1"/>
          <w:sz w:val="24"/>
          <w:szCs w:val="24"/>
          <w:lang w:val="pl-PL"/>
        </w:rPr>
        <w:t>ust. 3 lit. c</w:t>
      </w:r>
      <w:r w:rsidR="001145B0" w:rsidRPr="00ED0C6A">
        <w:rPr>
          <w:b/>
          <w:color w:val="000000" w:themeColor="text1"/>
          <w:sz w:val="24"/>
          <w:szCs w:val="24"/>
          <w:lang w:val="pl-PL"/>
        </w:rPr>
        <w:t xml:space="preserve"> Konwencji (prawo do rzetelnego procesu sądowego i prawo do bronienia się przez ustanowionego przez siebie obrońcę) w odniesieniu do</w:t>
      </w:r>
      <w:r w:rsidR="00335B71">
        <w:rPr>
          <w:b/>
          <w:color w:val="000000" w:themeColor="text1"/>
          <w:sz w:val="24"/>
          <w:szCs w:val="24"/>
          <w:lang w:val="pl-PL"/>
        </w:rPr>
        <w:t> </w:t>
      </w:r>
      <w:r w:rsidR="001145B0" w:rsidRPr="00ED0C6A">
        <w:rPr>
          <w:b/>
          <w:color w:val="000000" w:themeColor="text1"/>
          <w:sz w:val="24"/>
          <w:szCs w:val="24"/>
          <w:lang w:val="pl-PL"/>
        </w:rPr>
        <w:t>ograniczeń nałożonych na ujawnianie przez oskarżonego informacji niejawnych swojemu obrońcy</w:t>
      </w:r>
    </w:p>
    <w:p w:rsidR="00193D65" w:rsidRPr="00ED0C6A" w:rsidRDefault="00BC0AD8" w:rsidP="001145B0">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193D65" w:rsidRPr="00ED0C6A">
        <w:rPr>
          <w:b/>
          <w:color w:val="000000" w:themeColor="text1"/>
          <w:sz w:val="24"/>
          <w:szCs w:val="24"/>
          <w:lang w:val="pl-PL"/>
        </w:rPr>
        <w:t xml:space="preserve"> </w:t>
      </w:r>
      <w:r w:rsidR="00191601" w:rsidRPr="00ED0C6A">
        <w:rPr>
          <w:b/>
          <w:color w:val="000000" w:themeColor="text1"/>
          <w:sz w:val="24"/>
          <w:szCs w:val="24"/>
          <w:lang w:val="pl-PL"/>
        </w:rPr>
        <w:t>a</w:t>
      </w:r>
      <w:r w:rsidR="00193D65" w:rsidRPr="00ED0C6A">
        <w:rPr>
          <w:b/>
          <w:color w:val="000000" w:themeColor="text1"/>
          <w:sz w:val="24"/>
          <w:szCs w:val="24"/>
          <w:lang w:val="pl-PL"/>
        </w:rPr>
        <w:t xml:space="preserve">rt. 6 </w:t>
      </w:r>
      <w:r w:rsidR="001145B0" w:rsidRPr="00ED0C6A">
        <w:rPr>
          <w:b/>
          <w:color w:val="000000" w:themeColor="text1"/>
          <w:sz w:val="24"/>
          <w:szCs w:val="24"/>
          <w:lang w:val="pl-PL"/>
        </w:rPr>
        <w:t xml:space="preserve">ust. 1 i </w:t>
      </w:r>
      <w:r w:rsidR="00193D65" w:rsidRPr="00ED0C6A">
        <w:rPr>
          <w:b/>
          <w:color w:val="000000" w:themeColor="text1"/>
          <w:sz w:val="24"/>
          <w:szCs w:val="24"/>
          <w:lang w:val="pl-PL"/>
        </w:rPr>
        <w:t>ust. 3 lit. b</w:t>
      </w:r>
      <w:r w:rsidR="001145B0" w:rsidRPr="00ED0C6A">
        <w:rPr>
          <w:b/>
          <w:color w:val="000000" w:themeColor="text1"/>
          <w:sz w:val="24"/>
          <w:szCs w:val="24"/>
          <w:lang w:val="pl-PL"/>
        </w:rPr>
        <w:t xml:space="preserve"> Konwencji (prawo do rzetelnego procesu sądowego i prawo do obrony – aspekt dostępu do istotnych akt sprawy) w odniesieniu do ograniczeń nałożonych na dostęp obrony do informacji niejawnych</w:t>
      </w:r>
      <w:r w:rsidR="00735CB4" w:rsidRPr="00ED0C6A">
        <w:rPr>
          <w:b/>
          <w:color w:val="000000" w:themeColor="text1"/>
          <w:sz w:val="24"/>
          <w:szCs w:val="24"/>
          <w:lang w:val="pl-PL"/>
        </w:rPr>
        <w:t xml:space="preserve"> (przeredagowanie niektórych dokumentów,</w:t>
      </w:r>
      <w:r w:rsidR="00573DCF" w:rsidRPr="00ED0C6A">
        <w:rPr>
          <w:b/>
          <w:color w:val="000000" w:themeColor="text1"/>
          <w:sz w:val="24"/>
          <w:szCs w:val="24"/>
          <w:lang w:val="pl-PL"/>
        </w:rPr>
        <w:t xml:space="preserve"> rzekome </w:t>
      </w:r>
      <w:r w:rsidR="00735CB4" w:rsidRPr="00ED0C6A">
        <w:rPr>
          <w:b/>
          <w:color w:val="000000" w:themeColor="text1"/>
          <w:sz w:val="24"/>
          <w:szCs w:val="24"/>
          <w:lang w:val="pl-PL"/>
        </w:rPr>
        <w:t>nieudostępnienie innych)</w:t>
      </w:r>
    </w:p>
    <w:p w:rsidR="00BC0AD8" w:rsidRPr="00ED0C6A" w:rsidRDefault="00BC0AD8" w:rsidP="001145B0">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brak naruszenia </w:t>
      </w:r>
      <w:r w:rsidR="00191601" w:rsidRPr="00ED0C6A">
        <w:rPr>
          <w:b/>
          <w:color w:val="000000" w:themeColor="text1"/>
          <w:sz w:val="24"/>
          <w:szCs w:val="24"/>
          <w:lang w:val="pl-PL"/>
        </w:rPr>
        <w:t>a</w:t>
      </w:r>
      <w:r w:rsidR="001145B0" w:rsidRPr="00ED0C6A">
        <w:rPr>
          <w:b/>
          <w:color w:val="000000" w:themeColor="text1"/>
          <w:sz w:val="24"/>
          <w:szCs w:val="24"/>
          <w:lang w:val="pl-PL"/>
        </w:rPr>
        <w:t>rt. 6 ust. 3 lit. d</w:t>
      </w:r>
      <w:r w:rsidRPr="00ED0C6A">
        <w:rPr>
          <w:b/>
          <w:color w:val="000000" w:themeColor="text1"/>
          <w:sz w:val="24"/>
          <w:szCs w:val="24"/>
          <w:lang w:val="pl-PL"/>
        </w:rPr>
        <w:t xml:space="preserve"> </w:t>
      </w:r>
      <w:r w:rsidR="001145B0" w:rsidRPr="00ED0C6A">
        <w:rPr>
          <w:b/>
          <w:color w:val="000000" w:themeColor="text1"/>
          <w:sz w:val="24"/>
          <w:szCs w:val="24"/>
          <w:lang w:val="pl-PL"/>
        </w:rPr>
        <w:t>Konwencji (prawo do rzetelnego procesu sądowego i</w:t>
      </w:r>
      <w:r w:rsidR="00335B71">
        <w:rPr>
          <w:b/>
          <w:color w:val="000000" w:themeColor="text1"/>
          <w:sz w:val="24"/>
          <w:szCs w:val="24"/>
          <w:lang w:val="pl-PL"/>
        </w:rPr>
        <w:t> </w:t>
      </w:r>
      <w:r w:rsidR="001145B0" w:rsidRPr="00ED0C6A">
        <w:rPr>
          <w:b/>
          <w:color w:val="000000" w:themeColor="text1"/>
          <w:sz w:val="24"/>
          <w:szCs w:val="24"/>
          <w:lang w:val="pl-PL"/>
        </w:rPr>
        <w:t>prawo do obrony – aspekt przesłuchania świadków) w odniesieniu do ograniczeń nałożonych na dostęp do informacji niejawnych, które obrona chciała wykorzystać do</w:t>
      </w:r>
      <w:r w:rsidR="00335B71">
        <w:rPr>
          <w:b/>
          <w:color w:val="000000" w:themeColor="text1"/>
          <w:sz w:val="24"/>
          <w:szCs w:val="24"/>
          <w:lang w:val="pl-PL"/>
        </w:rPr>
        <w:t> </w:t>
      </w:r>
      <w:r w:rsidR="001145B0" w:rsidRPr="00ED0C6A">
        <w:rPr>
          <w:b/>
          <w:color w:val="000000" w:themeColor="text1"/>
          <w:sz w:val="24"/>
          <w:szCs w:val="24"/>
          <w:lang w:val="pl-PL"/>
        </w:rPr>
        <w:t>przesłuchania świadków</w:t>
      </w:r>
      <w:r w:rsidR="00735CB4" w:rsidRPr="00ED0C6A">
        <w:rPr>
          <w:b/>
          <w:color w:val="000000" w:themeColor="text1"/>
          <w:sz w:val="24"/>
          <w:szCs w:val="24"/>
          <w:lang w:val="pl-PL"/>
        </w:rPr>
        <w:t>, odmowy uwzględnienia niektórych świadków obrony i</w:t>
      </w:r>
      <w:r w:rsidR="00335B71">
        <w:rPr>
          <w:b/>
          <w:color w:val="000000" w:themeColor="text1"/>
          <w:sz w:val="24"/>
          <w:szCs w:val="24"/>
          <w:lang w:val="pl-PL"/>
        </w:rPr>
        <w:t> </w:t>
      </w:r>
      <w:r w:rsidR="00735CB4" w:rsidRPr="00ED0C6A">
        <w:rPr>
          <w:b/>
          <w:color w:val="000000" w:themeColor="text1"/>
          <w:sz w:val="24"/>
          <w:szCs w:val="24"/>
          <w:lang w:val="pl-PL"/>
        </w:rPr>
        <w:t xml:space="preserve">warunków przesłuchania </w:t>
      </w:r>
      <w:r w:rsidR="002E5778" w:rsidRPr="00ED0C6A">
        <w:rPr>
          <w:b/>
          <w:color w:val="000000" w:themeColor="text1"/>
          <w:sz w:val="24"/>
          <w:szCs w:val="24"/>
          <w:lang w:val="pl-PL"/>
        </w:rPr>
        <w:t>innych</w:t>
      </w:r>
      <w:r w:rsidR="00735CB4" w:rsidRPr="00ED0C6A">
        <w:rPr>
          <w:b/>
          <w:color w:val="000000" w:themeColor="text1"/>
          <w:sz w:val="24"/>
          <w:szCs w:val="24"/>
          <w:lang w:val="pl-PL"/>
        </w:rPr>
        <w:t xml:space="preserve"> świadków</w:t>
      </w:r>
      <w:r w:rsidR="002E5778" w:rsidRPr="00ED0C6A">
        <w:rPr>
          <w:b/>
          <w:color w:val="000000" w:themeColor="text1"/>
          <w:sz w:val="24"/>
          <w:szCs w:val="24"/>
          <w:lang w:val="pl-PL"/>
        </w:rPr>
        <w:t xml:space="preserve"> ze służby wywiadu</w:t>
      </w:r>
      <w:r w:rsidR="00735CB4" w:rsidRPr="00ED0C6A">
        <w:rPr>
          <w:b/>
          <w:color w:val="000000" w:themeColor="text1"/>
          <w:sz w:val="24"/>
          <w:szCs w:val="24"/>
          <w:lang w:val="pl-PL"/>
        </w:rPr>
        <w:t xml:space="preserve"> </w:t>
      </w: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Skarżący, były inżynier dźwięku oraz tłumacz pracujący dla Ogólnej Służby Wywiadu i</w:t>
      </w:r>
      <w:r w:rsidR="00335B71">
        <w:rPr>
          <w:rFonts w:asciiTheme="minorHAnsi" w:hAnsiTheme="minorHAnsi"/>
          <w:sz w:val="24"/>
          <w:lang w:val="pl-PL"/>
        </w:rPr>
        <w:t> </w:t>
      </w:r>
      <w:r w:rsidRPr="00ED0C6A">
        <w:rPr>
          <w:rFonts w:asciiTheme="minorHAnsi" w:hAnsiTheme="minorHAnsi"/>
          <w:sz w:val="24"/>
          <w:lang w:val="pl-PL"/>
        </w:rPr>
        <w:t>Bezpieczeństwa Holandii (</w:t>
      </w:r>
      <w:proofErr w:type="spellStart"/>
      <w:r w:rsidRPr="00ED0C6A">
        <w:rPr>
          <w:rFonts w:asciiTheme="minorHAnsi" w:hAnsiTheme="minorHAnsi"/>
          <w:i/>
          <w:sz w:val="24"/>
          <w:lang w:val="pl-PL"/>
        </w:rPr>
        <w:t>Algemene</w:t>
      </w:r>
      <w:proofErr w:type="spellEnd"/>
      <w:r w:rsidRPr="00ED0C6A">
        <w:rPr>
          <w:rFonts w:asciiTheme="minorHAnsi" w:hAnsiTheme="minorHAnsi"/>
          <w:i/>
          <w:sz w:val="24"/>
          <w:lang w:val="pl-PL"/>
        </w:rPr>
        <w:t xml:space="preserve"> </w:t>
      </w:r>
      <w:proofErr w:type="spellStart"/>
      <w:r w:rsidRPr="00ED0C6A">
        <w:rPr>
          <w:rFonts w:asciiTheme="minorHAnsi" w:hAnsiTheme="minorHAnsi"/>
          <w:i/>
          <w:sz w:val="24"/>
          <w:lang w:val="pl-PL"/>
        </w:rPr>
        <w:t>Inlichtingen</w:t>
      </w:r>
      <w:proofErr w:type="spellEnd"/>
      <w:r w:rsidRPr="00ED0C6A">
        <w:rPr>
          <w:rFonts w:asciiTheme="minorHAnsi" w:hAnsiTheme="minorHAnsi"/>
          <w:i/>
          <w:sz w:val="24"/>
          <w:lang w:val="pl-PL"/>
        </w:rPr>
        <w:t xml:space="preserve">- en </w:t>
      </w:r>
      <w:proofErr w:type="spellStart"/>
      <w:r w:rsidRPr="00ED0C6A">
        <w:rPr>
          <w:rFonts w:asciiTheme="minorHAnsi" w:hAnsiTheme="minorHAnsi"/>
          <w:i/>
          <w:sz w:val="24"/>
          <w:lang w:val="pl-PL"/>
        </w:rPr>
        <w:t>Veiligheidsdienst</w:t>
      </w:r>
      <w:proofErr w:type="spellEnd"/>
      <w:r w:rsidRPr="00ED0C6A">
        <w:rPr>
          <w:rFonts w:asciiTheme="minorHAnsi" w:hAnsiTheme="minorHAnsi"/>
          <w:sz w:val="24"/>
          <w:lang w:val="pl-PL"/>
        </w:rPr>
        <w:t xml:space="preserve"> – AIVD) został skazany za ujawnienie informacji stanowiącej tajemnicę państwową. Jego apelacje nie</w:t>
      </w:r>
      <w:r w:rsidR="00335B71">
        <w:rPr>
          <w:rFonts w:asciiTheme="minorHAnsi" w:hAnsiTheme="minorHAnsi"/>
          <w:sz w:val="24"/>
          <w:lang w:val="pl-PL"/>
        </w:rPr>
        <w:t> </w:t>
      </w:r>
      <w:r w:rsidRPr="00ED0C6A">
        <w:rPr>
          <w:rFonts w:asciiTheme="minorHAnsi" w:hAnsiTheme="minorHAnsi"/>
          <w:sz w:val="24"/>
          <w:lang w:val="pl-PL"/>
        </w:rPr>
        <w:t xml:space="preserve">przyniosły </w:t>
      </w:r>
      <w:r w:rsidR="000015BD" w:rsidRPr="00ED0C6A">
        <w:rPr>
          <w:rFonts w:asciiTheme="minorHAnsi" w:hAnsiTheme="minorHAnsi"/>
          <w:sz w:val="24"/>
          <w:lang w:val="pl-PL"/>
        </w:rPr>
        <w:t>skutku</w:t>
      </w:r>
      <w:r w:rsidRPr="00ED0C6A">
        <w:rPr>
          <w:rFonts w:asciiTheme="minorHAnsi" w:hAnsiTheme="minorHAnsi"/>
          <w:sz w:val="24"/>
          <w:lang w:val="pl-PL"/>
        </w:rPr>
        <w:t xml:space="preserve">. </w:t>
      </w:r>
    </w:p>
    <w:p w:rsidR="00A70402" w:rsidRPr="00ED0C6A" w:rsidRDefault="00A70402" w:rsidP="00380783">
      <w:pPr>
        <w:pStyle w:val="ClinContent"/>
        <w:spacing w:before="0"/>
        <w:rPr>
          <w:rFonts w:asciiTheme="minorHAnsi" w:hAnsiTheme="minorHAnsi"/>
          <w:sz w:val="24"/>
          <w:lang w:val="pl-PL"/>
        </w:rPr>
      </w:pPr>
    </w:p>
    <w:p w:rsidR="00BC0AD8" w:rsidRPr="00ED0C6A" w:rsidRDefault="00BC0AD8" w:rsidP="00380783">
      <w:pPr>
        <w:pStyle w:val="ClinContent"/>
        <w:spacing w:before="0"/>
        <w:rPr>
          <w:rFonts w:asciiTheme="minorHAnsi" w:hAnsiTheme="minorHAnsi"/>
          <w:sz w:val="24"/>
          <w:lang w:val="pl-PL"/>
        </w:rPr>
      </w:pPr>
      <w:r w:rsidRPr="00ED0C6A">
        <w:rPr>
          <w:rFonts w:asciiTheme="minorHAnsi" w:hAnsiTheme="minorHAnsi"/>
          <w:sz w:val="24"/>
          <w:lang w:val="pl-PL"/>
        </w:rPr>
        <w:t>Przed Trybunałem skarżący w szczególności zarzucał, że postępowanie karne prowadzone przeciwko niemu naruszało art. 6</w:t>
      </w:r>
      <w:r w:rsidR="00A70402" w:rsidRPr="00ED0C6A">
        <w:rPr>
          <w:rFonts w:asciiTheme="minorHAnsi" w:hAnsiTheme="minorHAnsi"/>
          <w:sz w:val="24"/>
          <w:lang w:val="pl-PL"/>
        </w:rPr>
        <w:t xml:space="preserve"> ust. 1 i ust. 3 lit. b, c i d </w:t>
      </w:r>
      <w:r w:rsidRPr="00ED0C6A">
        <w:rPr>
          <w:rFonts w:asciiTheme="minorHAnsi" w:hAnsiTheme="minorHAnsi"/>
          <w:sz w:val="24"/>
          <w:lang w:val="pl-PL"/>
        </w:rPr>
        <w:t>Konwencji z tego względu, że</w:t>
      </w:r>
      <w:r w:rsidR="00335B71">
        <w:rPr>
          <w:rFonts w:asciiTheme="minorHAnsi" w:hAnsiTheme="minorHAnsi"/>
          <w:sz w:val="24"/>
          <w:lang w:val="pl-PL"/>
        </w:rPr>
        <w:t> </w:t>
      </w:r>
      <w:r w:rsidRPr="00ED0C6A">
        <w:rPr>
          <w:rFonts w:asciiTheme="minorHAnsi" w:hAnsiTheme="minorHAnsi"/>
          <w:sz w:val="24"/>
          <w:lang w:val="pl-PL"/>
        </w:rPr>
        <w:t>AIVD</w:t>
      </w:r>
      <w:r w:rsidR="00335B71">
        <w:rPr>
          <w:rFonts w:asciiTheme="minorHAnsi" w:hAnsiTheme="minorHAnsi"/>
          <w:sz w:val="24"/>
          <w:lang w:val="pl-PL"/>
        </w:rPr>
        <w:t> </w:t>
      </w:r>
      <w:r w:rsidRPr="00ED0C6A">
        <w:rPr>
          <w:rFonts w:asciiTheme="minorHAnsi" w:hAnsiTheme="minorHAnsi"/>
          <w:sz w:val="24"/>
          <w:lang w:val="pl-PL"/>
        </w:rPr>
        <w:t>sprawowała decydującą kontrolę nad dowodami, ograniczając dostęp zarówno skarżącego, jak i sądów krajowych, do informacji zawartej w dokumentach i kontrolując jej</w:t>
      </w:r>
      <w:r w:rsidR="00335B71">
        <w:rPr>
          <w:rFonts w:asciiTheme="minorHAnsi" w:hAnsiTheme="minorHAnsi"/>
          <w:sz w:val="24"/>
          <w:lang w:val="pl-PL"/>
        </w:rPr>
        <w:t> </w:t>
      </w:r>
      <w:r w:rsidRPr="00ED0C6A">
        <w:rPr>
          <w:rFonts w:asciiTheme="minorHAnsi" w:hAnsiTheme="minorHAnsi"/>
          <w:sz w:val="24"/>
          <w:lang w:val="pl-PL"/>
        </w:rPr>
        <w:t xml:space="preserve">wykorzystanie oraz uniemożliwiając mu skuteczne przekazywanie poleceń swojemu obrońcy i przedstawianie dowodów ze świadków. </w:t>
      </w:r>
    </w:p>
    <w:p w:rsidR="00A70402" w:rsidRPr="00ED0C6A" w:rsidRDefault="00A70402" w:rsidP="00380783">
      <w:pPr>
        <w:pStyle w:val="ClinContent"/>
        <w:spacing w:before="0"/>
        <w:rPr>
          <w:rFonts w:asciiTheme="minorHAnsi" w:hAnsiTheme="minorHAnsi"/>
          <w:i/>
          <w:sz w:val="24"/>
          <w:lang w:val="pl-PL"/>
        </w:rPr>
      </w:pPr>
    </w:p>
    <w:p w:rsidR="00797361" w:rsidRPr="00ED0C6A" w:rsidRDefault="00B46ACD" w:rsidP="00380783">
      <w:pPr>
        <w:pStyle w:val="ClinContent"/>
        <w:spacing w:before="0"/>
        <w:rPr>
          <w:rFonts w:asciiTheme="minorHAnsi" w:hAnsiTheme="minorHAnsi"/>
          <w:i/>
          <w:sz w:val="24"/>
          <w:u w:val="single"/>
          <w:lang w:val="pl-PL"/>
        </w:rPr>
      </w:pPr>
      <w:r w:rsidRPr="00ED0C6A">
        <w:rPr>
          <w:rFonts w:asciiTheme="minorHAnsi" w:hAnsiTheme="minorHAnsi"/>
          <w:i/>
          <w:sz w:val="24"/>
          <w:u w:val="single"/>
          <w:lang w:val="pl-PL"/>
        </w:rPr>
        <w:t xml:space="preserve">Prawo do posiadania odpowiedniego czasu i możliwości do przygotowania obrony </w:t>
      </w:r>
      <w:r w:rsidR="00335B71">
        <w:rPr>
          <w:rFonts w:asciiTheme="minorHAnsi" w:hAnsiTheme="minorHAnsi"/>
          <w:i/>
          <w:sz w:val="24"/>
          <w:u w:val="single"/>
          <w:lang w:val="pl-PL"/>
        </w:rPr>
        <w:t>–</w:t>
      </w:r>
      <w:r w:rsidRPr="00ED0C6A">
        <w:rPr>
          <w:rFonts w:asciiTheme="minorHAnsi" w:hAnsiTheme="minorHAnsi"/>
          <w:i/>
          <w:sz w:val="24"/>
          <w:u w:val="single"/>
          <w:lang w:val="pl-PL"/>
        </w:rPr>
        <w:t xml:space="preserve"> a</w:t>
      </w:r>
      <w:r w:rsidR="00797361" w:rsidRPr="00ED0C6A">
        <w:rPr>
          <w:rFonts w:asciiTheme="minorHAnsi" w:hAnsiTheme="minorHAnsi"/>
          <w:i/>
          <w:sz w:val="24"/>
          <w:u w:val="single"/>
          <w:lang w:val="pl-PL"/>
        </w:rPr>
        <w:t>spekt</w:t>
      </w:r>
      <w:r w:rsidR="00335B71">
        <w:rPr>
          <w:rFonts w:asciiTheme="minorHAnsi" w:hAnsiTheme="minorHAnsi"/>
          <w:i/>
          <w:sz w:val="24"/>
          <w:u w:val="single"/>
          <w:lang w:val="pl-PL"/>
        </w:rPr>
        <w:t> </w:t>
      </w:r>
      <w:r w:rsidR="00797361" w:rsidRPr="00ED0C6A">
        <w:rPr>
          <w:rFonts w:asciiTheme="minorHAnsi" w:hAnsiTheme="minorHAnsi"/>
          <w:i/>
          <w:sz w:val="24"/>
          <w:u w:val="single"/>
          <w:lang w:val="pl-PL"/>
        </w:rPr>
        <w:t>dostępu do istotnych akt sprawy (</w:t>
      </w:r>
      <w:r w:rsidR="00A70402" w:rsidRPr="00ED0C6A">
        <w:rPr>
          <w:rFonts w:asciiTheme="minorHAnsi" w:hAnsiTheme="minorHAnsi"/>
          <w:i/>
          <w:sz w:val="24"/>
          <w:u w:val="single"/>
          <w:lang w:val="pl-PL"/>
        </w:rPr>
        <w:t>art.</w:t>
      </w:r>
      <w:r w:rsidR="00BC0AD8" w:rsidRPr="00ED0C6A">
        <w:rPr>
          <w:rFonts w:asciiTheme="minorHAnsi" w:hAnsiTheme="minorHAnsi"/>
          <w:i/>
          <w:sz w:val="24"/>
          <w:u w:val="single"/>
          <w:lang w:val="pl-PL"/>
        </w:rPr>
        <w:t xml:space="preserve"> 6 ust. 1 i ust. 3 lit. b</w:t>
      </w:r>
      <w:r w:rsidR="00A70402" w:rsidRPr="00ED0C6A">
        <w:rPr>
          <w:rFonts w:asciiTheme="minorHAnsi" w:hAnsiTheme="minorHAnsi"/>
          <w:i/>
          <w:sz w:val="24"/>
          <w:u w:val="single"/>
          <w:lang w:val="pl-PL"/>
        </w:rPr>
        <w:t>)</w:t>
      </w:r>
      <w:r w:rsidR="00BC0AD8" w:rsidRPr="00ED0C6A">
        <w:rPr>
          <w:rFonts w:asciiTheme="minorHAnsi" w:hAnsiTheme="minorHAnsi"/>
          <w:i/>
          <w:sz w:val="24"/>
          <w:u w:val="single"/>
          <w:lang w:val="pl-PL"/>
        </w:rPr>
        <w:t xml:space="preserve"> </w:t>
      </w:r>
    </w:p>
    <w:p w:rsidR="00E54130" w:rsidRPr="00ED0C6A" w:rsidRDefault="00E54130" w:rsidP="00380783">
      <w:pPr>
        <w:pStyle w:val="ClinContent"/>
        <w:spacing w:before="0"/>
        <w:rPr>
          <w:rFonts w:asciiTheme="minorHAnsi" w:hAnsiTheme="minorHAnsi"/>
          <w:i/>
          <w:sz w:val="24"/>
          <w:u w:val="single"/>
          <w:lang w:val="pl-PL"/>
        </w:rPr>
      </w:pPr>
    </w:p>
    <w:p w:rsidR="00BC0AD8" w:rsidRPr="00ED0C6A" w:rsidRDefault="00A70402" w:rsidP="00380783">
      <w:pPr>
        <w:pStyle w:val="ClinContent"/>
        <w:spacing w:before="0"/>
        <w:rPr>
          <w:rFonts w:asciiTheme="minorHAnsi" w:hAnsiTheme="minorHAnsi"/>
          <w:sz w:val="24"/>
          <w:lang w:val="pl-PL"/>
        </w:rPr>
      </w:pPr>
      <w:r w:rsidRPr="00ED0C6A">
        <w:rPr>
          <w:rFonts w:asciiTheme="minorHAnsi" w:hAnsiTheme="minorHAnsi"/>
          <w:sz w:val="24"/>
          <w:lang w:val="pl-PL"/>
        </w:rPr>
        <w:t>Trybunał zbadał zarzuty s</w:t>
      </w:r>
      <w:r w:rsidR="00BC0AD8" w:rsidRPr="00ED0C6A">
        <w:rPr>
          <w:rFonts w:asciiTheme="minorHAnsi" w:hAnsiTheme="minorHAnsi"/>
          <w:sz w:val="24"/>
          <w:lang w:val="pl-PL"/>
        </w:rPr>
        <w:t xml:space="preserve">karżący </w:t>
      </w:r>
      <w:r w:rsidRPr="00ED0C6A">
        <w:rPr>
          <w:rFonts w:asciiTheme="minorHAnsi" w:hAnsiTheme="minorHAnsi"/>
          <w:sz w:val="24"/>
          <w:lang w:val="pl-PL"/>
        </w:rPr>
        <w:t>dotyczące nieujawnienia mu</w:t>
      </w:r>
      <w:r w:rsidR="00BC0AD8" w:rsidRPr="00ED0C6A">
        <w:rPr>
          <w:rFonts w:asciiTheme="minorHAnsi" w:hAnsiTheme="minorHAnsi"/>
          <w:sz w:val="24"/>
          <w:lang w:val="pl-PL"/>
        </w:rPr>
        <w:t xml:space="preserve"> raportu z wewnętrznego śledztwa AIVD oraz </w:t>
      </w:r>
      <w:r w:rsidRPr="00ED0C6A">
        <w:rPr>
          <w:rFonts w:asciiTheme="minorHAnsi" w:hAnsiTheme="minorHAnsi"/>
          <w:sz w:val="24"/>
          <w:lang w:val="pl-PL"/>
        </w:rPr>
        <w:t>faktu, że fragmenty</w:t>
      </w:r>
      <w:r w:rsidR="00BC0AD8" w:rsidRPr="00ED0C6A">
        <w:rPr>
          <w:rFonts w:asciiTheme="minorHAnsi" w:hAnsiTheme="minorHAnsi"/>
          <w:sz w:val="24"/>
          <w:lang w:val="pl-PL"/>
        </w:rPr>
        <w:t xml:space="preserve"> dokumentów AIVD zawartych w aktach sprawy</w:t>
      </w:r>
      <w:r w:rsidRPr="00ED0C6A">
        <w:rPr>
          <w:rFonts w:asciiTheme="minorHAnsi" w:hAnsiTheme="minorHAnsi"/>
          <w:sz w:val="24"/>
          <w:lang w:val="pl-PL"/>
        </w:rPr>
        <w:t xml:space="preserve"> były przeredagowane</w:t>
      </w:r>
      <w:r w:rsidR="00BC0AD8" w:rsidRPr="00ED0C6A">
        <w:rPr>
          <w:rFonts w:asciiTheme="minorHAnsi" w:hAnsiTheme="minorHAnsi"/>
          <w:sz w:val="24"/>
          <w:lang w:val="pl-PL"/>
        </w:rPr>
        <w:t xml:space="preserve">. </w:t>
      </w:r>
    </w:p>
    <w:p w:rsidR="00D70F69" w:rsidRPr="00ED0C6A" w:rsidRDefault="00D70F69" w:rsidP="00380783">
      <w:pPr>
        <w:pStyle w:val="ClinContent"/>
        <w:spacing w:before="0"/>
        <w:rPr>
          <w:rFonts w:asciiTheme="minorHAnsi" w:hAnsiTheme="minorHAnsi"/>
          <w:sz w:val="24"/>
          <w:lang w:val="pl-PL"/>
        </w:rPr>
      </w:pPr>
    </w:p>
    <w:p w:rsidR="00BC0AD8" w:rsidRPr="00ED0C6A" w:rsidRDefault="00BC5C55"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odniesieniu do kwestii </w:t>
      </w:r>
      <w:r w:rsidR="00797361" w:rsidRPr="00ED0C6A">
        <w:rPr>
          <w:rFonts w:asciiTheme="minorHAnsi" w:hAnsiTheme="minorHAnsi"/>
          <w:i/>
          <w:sz w:val="24"/>
          <w:u w:val="single"/>
          <w:lang w:val="pl-PL"/>
        </w:rPr>
        <w:t xml:space="preserve">nieujawnienia </w:t>
      </w:r>
      <w:r w:rsidRPr="00ED0C6A">
        <w:rPr>
          <w:rFonts w:asciiTheme="minorHAnsi" w:hAnsiTheme="minorHAnsi"/>
          <w:i/>
          <w:sz w:val="24"/>
          <w:u w:val="single"/>
          <w:lang w:val="pl-PL"/>
        </w:rPr>
        <w:t>raportu z w</w:t>
      </w:r>
      <w:r w:rsidR="00BC0AD8" w:rsidRPr="00ED0C6A">
        <w:rPr>
          <w:rFonts w:asciiTheme="minorHAnsi" w:hAnsiTheme="minorHAnsi"/>
          <w:i/>
          <w:sz w:val="24"/>
          <w:u w:val="single"/>
          <w:lang w:val="pl-PL"/>
        </w:rPr>
        <w:t>ewnętrzne</w:t>
      </w:r>
      <w:r w:rsidRPr="00ED0C6A">
        <w:rPr>
          <w:rFonts w:asciiTheme="minorHAnsi" w:hAnsiTheme="minorHAnsi"/>
          <w:i/>
          <w:sz w:val="24"/>
          <w:u w:val="single"/>
          <w:lang w:val="pl-PL"/>
        </w:rPr>
        <w:t>go śledztwa</w:t>
      </w:r>
      <w:r w:rsidR="00BC0AD8" w:rsidRPr="00ED0C6A">
        <w:rPr>
          <w:rFonts w:asciiTheme="minorHAnsi" w:hAnsiTheme="minorHAnsi"/>
          <w:i/>
          <w:sz w:val="24"/>
          <w:u w:val="single"/>
          <w:lang w:val="pl-PL"/>
        </w:rPr>
        <w:t xml:space="preserve"> AIVD</w:t>
      </w:r>
      <w:r w:rsidRPr="00ED0C6A">
        <w:rPr>
          <w:rFonts w:asciiTheme="minorHAnsi" w:hAnsiTheme="minorHAnsi"/>
          <w:i/>
          <w:sz w:val="24"/>
          <w:lang w:val="pl-PL"/>
        </w:rPr>
        <w:t xml:space="preserve">, </w:t>
      </w:r>
      <w:r w:rsidRPr="00ED0C6A">
        <w:rPr>
          <w:rFonts w:asciiTheme="minorHAnsi" w:hAnsiTheme="minorHAnsi"/>
          <w:sz w:val="24"/>
          <w:lang w:val="pl-PL"/>
        </w:rPr>
        <w:t>Trybunał zauważył, że</w:t>
      </w:r>
      <w:r w:rsidRPr="00ED0C6A">
        <w:rPr>
          <w:rFonts w:asciiTheme="minorHAnsi" w:hAnsiTheme="minorHAnsi"/>
          <w:i/>
          <w:sz w:val="24"/>
          <w:lang w:val="pl-PL"/>
        </w:rPr>
        <w:t xml:space="preserve"> s</w:t>
      </w:r>
      <w:r w:rsidR="00BC0AD8" w:rsidRPr="00ED0C6A">
        <w:rPr>
          <w:rFonts w:asciiTheme="minorHAnsi" w:hAnsiTheme="minorHAnsi"/>
          <w:sz w:val="24"/>
          <w:lang w:val="pl-PL"/>
        </w:rPr>
        <w:t xml:space="preserve">ądy krajowe nie </w:t>
      </w:r>
      <w:r w:rsidR="000015BD" w:rsidRPr="00ED0C6A">
        <w:rPr>
          <w:rFonts w:asciiTheme="minorHAnsi" w:hAnsiTheme="minorHAnsi"/>
          <w:sz w:val="24"/>
          <w:lang w:val="pl-PL"/>
        </w:rPr>
        <w:t>uznały za</w:t>
      </w:r>
      <w:r w:rsidR="00BC0AD8" w:rsidRPr="00ED0C6A">
        <w:rPr>
          <w:rFonts w:asciiTheme="minorHAnsi" w:hAnsiTheme="minorHAnsi"/>
          <w:sz w:val="24"/>
          <w:lang w:val="pl-PL"/>
        </w:rPr>
        <w:t xml:space="preserve"> ustalone, że </w:t>
      </w:r>
      <w:r w:rsidR="000015BD" w:rsidRPr="00ED0C6A">
        <w:rPr>
          <w:rFonts w:asciiTheme="minorHAnsi" w:hAnsiTheme="minorHAnsi"/>
          <w:sz w:val="24"/>
          <w:lang w:val="pl-PL"/>
        </w:rPr>
        <w:t xml:space="preserve">faktycznie istniał </w:t>
      </w:r>
      <w:r w:rsidR="00BC0AD8" w:rsidRPr="00ED0C6A">
        <w:rPr>
          <w:rFonts w:asciiTheme="minorHAnsi" w:hAnsiTheme="minorHAnsi"/>
          <w:sz w:val="24"/>
          <w:lang w:val="pl-PL"/>
        </w:rPr>
        <w:t xml:space="preserve">jakikolwiek </w:t>
      </w:r>
      <w:r w:rsidR="000015BD" w:rsidRPr="00ED0C6A">
        <w:rPr>
          <w:rFonts w:asciiTheme="minorHAnsi" w:hAnsiTheme="minorHAnsi"/>
          <w:sz w:val="24"/>
          <w:lang w:val="pl-PL"/>
        </w:rPr>
        <w:t xml:space="preserve">taki </w:t>
      </w:r>
      <w:r w:rsidR="00BC0AD8" w:rsidRPr="00ED0C6A">
        <w:rPr>
          <w:rFonts w:asciiTheme="minorHAnsi" w:hAnsiTheme="minorHAnsi"/>
          <w:sz w:val="24"/>
          <w:lang w:val="pl-PL"/>
        </w:rPr>
        <w:t xml:space="preserve">raport. Trybunał uznał za wystarczające, że żaden dokument </w:t>
      </w:r>
      <w:r w:rsidR="000015BD" w:rsidRPr="00ED0C6A">
        <w:rPr>
          <w:rFonts w:asciiTheme="minorHAnsi" w:hAnsiTheme="minorHAnsi"/>
          <w:sz w:val="24"/>
          <w:lang w:val="pl-PL"/>
        </w:rPr>
        <w:t xml:space="preserve">tego rodzaju </w:t>
      </w:r>
      <w:r w:rsidR="00BC0AD8" w:rsidRPr="00ED0C6A">
        <w:rPr>
          <w:rFonts w:asciiTheme="minorHAnsi" w:hAnsiTheme="minorHAnsi"/>
          <w:sz w:val="24"/>
          <w:lang w:val="pl-PL"/>
        </w:rPr>
        <w:t>nie znajdował się w</w:t>
      </w:r>
      <w:r w:rsidR="00335B71">
        <w:rPr>
          <w:rFonts w:asciiTheme="minorHAnsi" w:hAnsiTheme="minorHAnsi"/>
          <w:sz w:val="24"/>
          <w:lang w:val="pl-PL"/>
        </w:rPr>
        <w:t> </w:t>
      </w:r>
      <w:r w:rsidR="00BC0AD8" w:rsidRPr="00ED0C6A">
        <w:rPr>
          <w:rFonts w:asciiTheme="minorHAnsi" w:hAnsiTheme="minorHAnsi"/>
          <w:sz w:val="24"/>
          <w:lang w:val="pl-PL"/>
        </w:rPr>
        <w:t xml:space="preserve">rękach prokuratury, a zatem nie mógł stanowić części </w:t>
      </w:r>
      <w:r w:rsidR="000015BD" w:rsidRPr="00ED0C6A">
        <w:rPr>
          <w:rFonts w:asciiTheme="minorHAnsi" w:hAnsiTheme="minorHAnsi"/>
          <w:sz w:val="24"/>
          <w:lang w:val="pl-PL"/>
        </w:rPr>
        <w:t xml:space="preserve">argumentacji </w:t>
      </w:r>
      <w:r w:rsidR="00BC0AD8" w:rsidRPr="00ED0C6A">
        <w:rPr>
          <w:rFonts w:asciiTheme="minorHAnsi" w:hAnsiTheme="minorHAnsi"/>
          <w:sz w:val="24"/>
          <w:lang w:val="pl-PL"/>
        </w:rPr>
        <w:t>prokuratury. W</w:t>
      </w:r>
      <w:r w:rsidR="00335B71">
        <w:rPr>
          <w:rFonts w:asciiTheme="minorHAnsi" w:hAnsiTheme="minorHAnsi"/>
          <w:sz w:val="24"/>
          <w:lang w:val="pl-PL"/>
        </w:rPr>
        <w:t> </w:t>
      </w:r>
      <w:r w:rsidR="00BC0AD8" w:rsidRPr="00ED0C6A">
        <w:rPr>
          <w:rFonts w:asciiTheme="minorHAnsi" w:hAnsiTheme="minorHAnsi"/>
          <w:sz w:val="24"/>
          <w:lang w:val="pl-PL"/>
        </w:rPr>
        <w:t xml:space="preserve">zakresie, w jakim skarżący chciał wykazać, że śledztwo </w:t>
      </w:r>
      <w:r w:rsidR="008041A6" w:rsidRPr="00ED0C6A">
        <w:rPr>
          <w:rFonts w:asciiTheme="minorHAnsi" w:hAnsiTheme="minorHAnsi"/>
          <w:sz w:val="24"/>
          <w:lang w:val="pl-PL"/>
        </w:rPr>
        <w:t xml:space="preserve">to </w:t>
      </w:r>
      <w:r w:rsidR="00BC0AD8" w:rsidRPr="00ED0C6A">
        <w:rPr>
          <w:rFonts w:asciiTheme="minorHAnsi" w:hAnsiTheme="minorHAnsi"/>
          <w:sz w:val="24"/>
          <w:lang w:val="pl-PL"/>
        </w:rPr>
        <w:t xml:space="preserve">mogło przynieść uniewinniające go informacje, Trybunał oddalił takie twierdzenie jako mające charakter całkowicie hipotetyczny.  </w:t>
      </w:r>
    </w:p>
    <w:p w:rsidR="00BC5C55" w:rsidRPr="00ED0C6A" w:rsidRDefault="00BC5C55" w:rsidP="00380783">
      <w:pPr>
        <w:pStyle w:val="ClinContent"/>
        <w:spacing w:before="0"/>
        <w:rPr>
          <w:rFonts w:asciiTheme="minorHAnsi" w:hAnsiTheme="minorHAnsi"/>
          <w:sz w:val="24"/>
          <w:lang w:val="pl-PL"/>
        </w:rPr>
      </w:pPr>
    </w:p>
    <w:p w:rsidR="00BC0AD8" w:rsidRPr="00ED0C6A" w:rsidRDefault="00BC5C55"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odniesieniu do </w:t>
      </w:r>
      <w:r w:rsidRPr="00ED0C6A">
        <w:rPr>
          <w:rFonts w:asciiTheme="minorHAnsi" w:hAnsiTheme="minorHAnsi"/>
          <w:i/>
          <w:sz w:val="24"/>
          <w:u w:val="single"/>
          <w:lang w:val="pl-PL"/>
        </w:rPr>
        <w:t>u</w:t>
      </w:r>
      <w:r w:rsidR="00E30E56" w:rsidRPr="00ED0C6A">
        <w:rPr>
          <w:rFonts w:asciiTheme="minorHAnsi" w:hAnsiTheme="minorHAnsi"/>
          <w:i/>
          <w:sz w:val="24"/>
          <w:u w:val="single"/>
          <w:lang w:val="pl-PL"/>
        </w:rPr>
        <w:t>jawnienia</w:t>
      </w:r>
      <w:r w:rsidR="00BC0AD8" w:rsidRPr="00ED0C6A">
        <w:rPr>
          <w:rFonts w:asciiTheme="minorHAnsi" w:hAnsiTheme="minorHAnsi"/>
          <w:i/>
          <w:sz w:val="24"/>
          <w:u w:val="single"/>
          <w:lang w:val="pl-PL"/>
        </w:rPr>
        <w:t xml:space="preserve"> dokumentów w przeredagowanej formie</w:t>
      </w:r>
      <w:r w:rsidRPr="00ED0C6A">
        <w:rPr>
          <w:rFonts w:asciiTheme="minorHAnsi" w:hAnsiTheme="minorHAnsi"/>
          <w:i/>
          <w:sz w:val="24"/>
          <w:lang w:val="pl-PL"/>
        </w:rPr>
        <w:t xml:space="preserve">, </w:t>
      </w:r>
      <w:r w:rsidRPr="00ED0C6A">
        <w:rPr>
          <w:rFonts w:asciiTheme="minorHAnsi" w:hAnsiTheme="minorHAnsi"/>
          <w:sz w:val="24"/>
          <w:lang w:val="pl-PL"/>
        </w:rPr>
        <w:t>Trybunał uznał, że</w:t>
      </w:r>
      <w:r w:rsidR="00335B71">
        <w:rPr>
          <w:rFonts w:asciiTheme="minorHAnsi" w:hAnsiTheme="minorHAnsi"/>
          <w:i/>
          <w:sz w:val="24"/>
          <w:lang w:val="pl-PL"/>
        </w:rPr>
        <w:t> </w:t>
      </w:r>
      <w:r w:rsidRPr="00ED0C6A">
        <w:rPr>
          <w:rFonts w:asciiTheme="minorHAnsi" w:hAnsiTheme="minorHAnsi"/>
          <w:i/>
          <w:sz w:val="24"/>
          <w:lang w:val="pl-PL"/>
        </w:rPr>
        <w:t>z</w:t>
      </w:r>
      <w:r w:rsidR="00BC0AD8" w:rsidRPr="00ED0C6A">
        <w:rPr>
          <w:rFonts w:asciiTheme="minorHAnsi" w:hAnsiTheme="minorHAnsi"/>
          <w:sz w:val="24"/>
          <w:lang w:val="pl-PL"/>
        </w:rPr>
        <w:t xml:space="preserve">aczerniona informacja nie mogła sama w sobie być pomocna dla obrony. Ponieważ skarżący został oskarżony o przekazywanie informacji stanowiących tajemnicę państwową osobom nieupoważnionym do zapoznawania się z nią, jedyną kwestią w odniesieniu do tych dokumentów było to, czy stanowiły one tajemnicę państwową. Dowody, na podstawie których skarżący został skazany, obejmowały </w:t>
      </w:r>
      <w:r w:rsidRPr="00ED0C6A">
        <w:rPr>
          <w:rFonts w:asciiTheme="minorHAnsi" w:hAnsiTheme="minorHAnsi"/>
          <w:sz w:val="24"/>
          <w:lang w:val="pl-PL"/>
        </w:rPr>
        <w:t xml:space="preserve">stwierdzenia </w:t>
      </w:r>
      <w:r w:rsidR="00BC0AD8" w:rsidRPr="00ED0C6A">
        <w:rPr>
          <w:rFonts w:asciiTheme="minorHAnsi" w:hAnsiTheme="minorHAnsi"/>
          <w:sz w:val="24"/>
          <w:lang w:val="pl-PL"/>
        </w:rPr>
        <w:t xml:space="preserve">AIVD </w:t>
      </w:r>
      <w:r w:rsidRPr="00ED0C6A">
        <w:rPr>
          <w:rFonts w:asciiTheme="minorHAnsi" w:hAnsiTheme="minorHAnsi"/>
          <w:sz w:val="24"/>
          <w:lang w:val="pl-PL"/>
        </w:rPr>
        <w:t>zaświadczające</w:t>
      </w:r>
      <w:r w:rsidR="00BC0AD8" w:rsidRPr="00ED0C6A">
        <w:rPr>
          <w:rFonts w:asciiTheme="minorHAnsi" w:hAnsiTheme="minorHAnsi"/>
          <w:sz w:val="24"/>
          <w:lang w:val="pl-PL"/>
        </w:rPr>
        <w:t>, że</w:t>
      </w:r>
      <w:r w:rsidR="00335B71">
        <w:rPr>
          <w:rFonts w:asciiTheme="minorHAnsi" w:hAnsiTheme="minorHAnsi"/>
          <w:sz w:val="24"/>
          <w:lang w:val="pl-PL"/>
        </w:rPr>
        <w:t> </w:t>
      </w:r>
      <w:r w:rsidR="00BC0AD8" w:rsidRPr="00ED0C6A">
        <w:rPr>
          <w:rFonts w:asciiTheme="minorHAnsi" w:hAnsiTheme="minorHAnsi"/>
          <w:sz w:val="24"/>
          <w:lang w:val="pl-PL"/>
        </w:rPr>
        <w:t xml:space="preserve">przedmiotowe dokumenty były </w:t>
      </w:r>
      <w:r w:rsidR="00E54130" w:rsidRPr="00ED0C6A">
        <w:rPr>
          <w:rFonts w:asciiTheme="minorHAnsi" w:hAnsiTheme="minorHAnsi"/>
          <w:sz w:val="24"/>
          <w:lang w:val="pl-PL"/>
        </w:rPr>
        <w:t>objęte tajemnicą państwową</w:t>
      </w:r>
      <w:r w:rsidR="00BC0AD8" w:rsidRPr="00ED0C6A">
        <w:rPr>
          <w:rFonts w:asciiTheme="minorHAnsi" w:hAnsiTheme="minorHAnsi"/>
          <w:sz w:val="24"/>
          <w:lang w:val="pl-PL"/>
        </w:rPr>
        <w:t>, i wyjaśniające potrzebę zachowania w tajemnicy informacji zawart</w:t>
      </w:r>
      <w:r w:rsidR="008041A6" w:rsidRPr="00ED0C6A">
        <w:rPr>
          <w:rFonts w:asciiTheme="minorHAnsi" w:hAnsiTheme="minorHAnsi"/>
          <w:sz w:val="24"/>
          <w:lang w:val="pl-PL"/>
        </w:rPr>
        <w:t>ych</w:t>
      </w:r>
      <w:r w:rsidR="00BC0AD8" w:rsidRPr="00ED0C6A">
        <w:rPr>
          <w:rFonts w:asciiTheme="minorHAnsi" w:hAnsiTheme="minorHAnsi"/>
          <w:sz w:val="24"/>
          <w:lang w:val="pl-PL"/>
        </w:rPr>
        <w:t xml:space="preserve"> w tych dokumentach. Krajowy Prokurator ds.</w:t>
      </w:r>
      <w:r w:rsidR="00335B71">
        <w:rPr>
          <w:rFonts w:asciiTheme="minorHAnsi" w:hAnsiTheme="minorHAnsi"/>
          <w:sz w:val="24"/>
          <w:lang w:val="pl-PL"/>
        </w:rPr>
        <w:t> </w:t>
      </w:r>
      <w:r w:rsidR="00BC0AD8" w:rsidRPr="00ED0C6A">
        <w:rPr>
          <w:rFonts w:asciiTheme="minorHAnsi" w:hAnsiTheme="minorHAnsi"/>
          <w:sz w:val="24"/>
          <w:lang w:val="pl-PL"/>
        </w:rPr>
        <w:t xml:space="preserve">walki z terroryzmem potwierdził, że dokumenty zawarte w aktach sprawy postępowania karnego były </w:t>
      </w:r>
      <w:r w:rsidR="00E54130" w:rsidRPr="00ED0C6A">
        <w:rPr>
          <w:rFonts w:asciiTheme="minorHAnsi" w:hAnsiTheme="minorHAnsi"/>
          <w:sz w:val="24"/>
          <w:lang w:val="pl-PL"/>
        </w:rPr>
        <w:t>w istocie</w:t>
      </w:r>
      <w:r w:rsidR="00BC0AD8" w:rsidRPr="00ED0C6A">
        <w:rPr>
          <w:rFonts w:asciiTheme="minorHAnsi" w:hAnsiTheme="minorHAnsi"/>
          <w:sz w:val="24"/>
          <w:lang w:val="pl-PL"/>
        </w:rPr>
        <w:t xml:space="preserve"> kopiami dokumentów, które miały odwzorowywać, a skarżący nie</w:t>
      </w:r>
      <w:r w:rsidR="00335B71">
        <w:rPr>
          <w:rFonts w:asciiTheme="minorHAnsi" w:hAnsiTheme="minorHAnsi"/>
          <w:sz w:val="24"/>
          <w:lang w:val="pl-PL"/>
        </w:rPr>
        <w:t> </w:t>
      </w:r>
      <w:r w:rsidR="00BC0AD8" w:rsidRPr="00ED0C6A">
        <w:rPr>
          <w:rFonts w:asciiTheme="minorHAnsi" w:hAnsiTheme="minorHAnsi"/>
          <w:sz w:val="24"/>
          <w:lang w:val="pl-PL"/>
        </w:rPr>
        <w:t>kwestionował</w:t>
      </w:r>
      <w:r w:rsidR="00E54130" w:rsidRPr="00ED0C6A">
        <w:rPr>
          <w:rFonts w:asciiTheme="minorHAnsi" w:hAnsiTheme="minorHAnsi"/>
          <w:sz w:val="24"/>
          <w:lang w:val="pl-PL"/>
        </w:rPr>
        <w:t xml:space="preserve"> tego faktu</w:t>
      </w:r>
      <w:r w:rsidR="00BC0AD8" w:rsidRPr="00ED0C6A">
        <w:rPr>
          <w:rFonts w:asciiTheme="minorHAnsi" w:hAnsiTheme="minorHAnsi"/>
          <w:sz w:val="24"/>
          <w:lang w:val="pl-PL"/>
        </w:rPr>
        <w:t>. Pozostał</w:t>
      </w:r>
      <w:r w:rsidR="00E54130" w:rsidRPr="00ED0C6A">
        <w:rPr>
          <w:rFonts w:asciiTheme="minorHAnsi" w:hAnsiTheme="minorHAnsi"/>
          <w:sz w:val="24"/>
          <w:lang w:val="pl-PL"/>
        </w:rPr>
        <w:t>e, niezaczernione informacje były wystarczające do</w:t>
      </w:r>
      <w:r w:rsidR="00335B71">
        <w:rPr>
          <w:rFonts w:asciiTheme="minorHAnsi" w:hAnsiTheme="minorHAnsi"/>
          <w:sz w:val="24"/>
          <w:lang w:val="pl-PL"/>
        </w:rPr>
        <w:t> </w:t>
      </w:r>
      <w:r w:rsidR="00E54130" w:rsidRPr="00ED0C6A">
        <w:rPr>
          <w:rFonts w:asciiTheme="minorHAnsi" w:hAnsiTheme="minorHAnsi"/>
          <w:sz w:val="24"/>
          <w:lang w:val="pl-PL"/>
        </w:rPr>
        <w:t>przeprowadzenia przez obronę i władze krajowe</w:t>
      </w:r>
      <w:r w:rsidR="008041A6" w:rsidRPr="00ED0C6A">
        <w:rPr>
          <w:rFonts w:asciiTheme="minorHAnsi" w:hAnsiTheme="minorHAnsi"/>
          <w:sz w:val="24"/>
          <w:lang w:val="pl-PL"/>
        </w:rPr>
        <w:t xml:space="preserve"> </w:t>
      </w:r>
      <w:r w:rsidR="00BC0AD8" w:rsidRPr="00ED0C6A">
        <w:rPr>
          <w:rFonts w:asciiTheme="minorHAnsi" w:hAnsiTheme="minorHAnsi"/>
          <w:sz w:val="24"/>
          <w:lang w:val="pl-PL"/>
        </w:rPr>
        <w:t>wiarygodnej ocen</w:t>
      </w:r>
      <w:r w:rsidR="00E54130" w:rsidRPr="00ED0C6A">
        <w:rPr>
          <w:rFonts w:asciiTheme="minorHAnsi" w:hAnsiTheme="minorHAnsi"/>
          <w:sz w:val="24"/>
          <w:lang w:val="pl-PL"/>
        </w:rPr>
        <w:t>y charakteru informacji zawartych</w:t>
      </w:r>
      <w:r w:rsidR="00BC0AD8" w:rsidRPr="00ED0C6A">
        <w:rPr>
          <w:rFonts w:asciiTheme="minorHAnsi" w:hAnsiTheme="minorHAnsi"/>
          <w:sz w:val="24"/>
          <w:lang w:val="pl-PL"/>
        </w:rPr>
        <w:t xml:space="preserve"> w dokumentach. </w:t>
      </w:r>
    </w:p>
    <w:p w:rsidR="00BC5C55" w:rsidRPr="00ED0C6A" w:rsidRDefault="00BC5C55" w:rsidP="00380783">
      <w:pPr>
        <w:pStyle w:val="ClinContent"/>
        <w:spacing w:before="0"/>
        <w:rPr>
          <w:rFonts w:asciiTheme="minorHAnsi" w:hAnsiTheme="minorHAnsi"/>
          <w:i/>
          <w:sz w:val="24"/>
          <w:lang w:val="pl-PL"/>
        </w:rPr>
      </w:pPr>
    </w:p>
    <w:p w:rsidR="00BC0AD8" w:rsidRPr="00ED0C6A" w:rsidRDefault="00304F0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Z tych względów Trybunał jednomyślnie stwierdził, że nie doszło do naruszenia </w:t>
      </w:r>
      <w:r w:rsidR="00C969F6" w:rsidRPr="00ED0C6A">
        <w:rPr>
          <w:rFonts w:asciiTheme="minorHAnsi" w:hAnsiTheme="minorHAnsi"/>
          <w:sz w:val="24"/>
          <w:lang w:val="pl-PL"/>
        </w:rPr>
        <w:t>prawa do</w:t>
      </w:r>
      <w:r w:rsidR="00335B71">
        <w:rPr>
          <w:rFonts w:asciiTheme="minorHAnsi" w:hAnsiTheme="minorHAnsi"/>
          <w:sz w:val="24"/>
          <w:lang w:val="pl-PL"/>
        </w:rPr>
        <w:t> </w:t>
      </w:r>
      <w:r w:rsidR="00C969F6" w:rsidRPr="00ED0C6A">
        <w:rPr>
          <w:rFonts w:asciiTheme="minorHAnsi" w:hAnsiTheme="minorHAnsi"/>
          <w:sz w:val="24"/>
          <w:lang w:val="pl-PL"/>
        </w:rPr>
        <w:t xml:space="preserve">rzetelnego procesu i </w:t>
      </w:r>
      <w:r w:rsidRPr="00ED0C6A">
        <w:rPr>
          <w:rFonts w:asciiTheme="minorHAnsi" w:hAnsiTheme="minorHAnsi"/>
          <w:sz w:val="24"/>
          <w:lang w:val="pl-PL"/>
        </w:rPr>
        <w:t xml:space="preserve">prawa do obrony gwarantowanego art. 6 ust. 1 i ust. 3 lit. b Konwencji w </w:t>
      </w:r>
      <w:r w:rsidR="008A7D37" w:rsidRPr="00ED0C6A">
        <w:rPr>
          <w:rFonts w:asciiTheme="minorHAnsi" w:hAnsiTheme="minorHAnsi"/>
          <w:sz w:val="24"/>
          <w:lang w:val="pl-PL"/>
        </w:rPr>
        <w:t xml:space="preserve">odniesieniu do </w:t>
      </w:r>
      <w:r w:rsidRPr="00ED0C6A">
        <w:rPr>
          <w:rFonts w:asciiTheme="minorHAnsi" w:hAnsiTheme="minorHAnsi"/>
          <w:sz w:val="24"/>
          <w:lang w:val="pl-PL"/>
        </w:rPr>
        <w:t>udostępnienia części dokumentów niejawnych w</w:t>
      </w:r>
      <w:r w:rsidR="00335B71">
        <w:rPr>
          <w:rFonts w:asciiTheme="minorHAnsi" w:hAnsiTheme="minorHAnsi"/>
          <w:sz w:val="24"/>
          <w:lang w:val="pl-PL"/>
        </w:rPr>
        <w:t> </w:t>
      </w:r>
      <w:r w:rsidRPr="00ED0C6A">
        <w:rPr>
          <w:rFonts w:asciiTheme="minorHAnsi" w:hAnsiTheme="minorHAnsi"/>
          <w:sz w:val="24"/>
          <w:lang w:val="pl-PL"/>
        </w:rPr>
        <w:t>przeredagowanej wersji</w:t>
      </w:r>
      <w:r w:rsidR="000A4BD9" w:rsidRPr="00ED0C6A">
        <w:rPr>
          <w:rFonts w:asciiTheme="minorHAnsi" w:hAnsiTheme="minorHAnsi"/>
          <w:sz w:val="24"/>
          <w:lang w:val="pl-PL"/>
        </w:rPr>
        <w:t xml:space="preserve"> i rzekomego nieudostępnienia innych dokumentów</w:t>
      </w:r>
      <w:r w:rsidRPr="00ED0C6A">
        <w:rPr>
          <w:rFonts w:asciiTheme="minorHAnsi" w:hAnsiTheme="minorHAnsi"/>
          <w:sz w:val="24"/>
          <w:lang w:val="pl-PL"/>
        </w:rPr>
        <w:t>.</w:t>
      </w:r>
    </w:p>
    <w:p w:rsidR="00304F02" w:rsidRPr="00ED0C6A" w:rsidRDefault="00304F02" w:rsidP="00380783">
      <w:pPr>
        <w:pStyle w:val="ClinContent"/>
        <w:spacing w:before="0"/>
        <w:rPr>
          <w:rFonts w:asciiTheme="minorHAnsi" w:hAnsiTheme="minorHAnsi"/>
          <w:sz w:val="24"/>
          <w:lang w:val="pl-PL"/>
        </w:rPr>
      </w:pPr>
    </w:p>
    <w:p w:rsidR="00E83F92" w:rsidRPr="00ED0C6A" w:rsidRDefault="00E83F92" w:rsidP="00380783">
      <w:pPr>
        <w:pStyle w:val="ClinContent"/>
        <w:spacing w:before="0"/>
        <w:rPr>
          <w:rFonts w:asciiTheme="minorHAnsi" w:hAnsiTheme="minorHAnsi"/>
          <w:i/>
          <w:sz w:val="24"/>
          <w:u w:val="single"/>
          <w:lang w:val="pl-PL"/>
        </w:rPr>
      </w:pPr>
      <w:r w:rsidRPr="00ED0C6A">
        <w:rPr>
          <w:rFonts w:asciiTheme="minorHAnsi" w:hAnsiTheme="minorHAnsi"/>
          <w:i/>
          <w:sz w:val="24"/>
          <w:u w:val="single"/>
          <w:lang w:val="pl-PL"/>
        </w:rPr>
        <w:t>Prawo przesłuchania lub spowodowania przesłuchania świadków oskarżenia oraz żądania obecności i przesłuchania świadków obrony (art. 6 ust. 1 i ust. 3 lit. d)</w:t>
      </w:r>
    </w:p>
    <w:p w:rsidR="00E54130" w:rsidRPr="00ED0C6A" w:rsidRDefault="00E54130" w:rsidP="00380783">
      <w:pPr>
        <w:pStyle w:val="ClinContent"/>
        <w:spacing w:before="0"/>
        <w:rPr>
          <w:rFonts w:asciiTheme="minorHAnsi" w:hAnsiTheme="minorHAnsi"/>
          <w:i/>
          <w:sz w:val="24"/>
          <w:u w:val="single"/>
          <w:lang w:val="pl-PL"/>
        </w:rPr>
      </w:pPr>
    </w:p>
    <w:p w:rsidR="00E83F92" w:rsidRPr="00ED0C6A" w:rsidRDefault="00E83F92" w:rsidP="00380783">
      <w:pPr>
        <w:pStyle w:val="ClinContent"/>
        <w:spacing w:before="0"/>
        <w:rPr>
          <w:rFonts w:asciiTheme="minorHAnsi" w:hAnsiTheme="minorHAnsi"/>
          <w:sz w:val="24"/>
          <w:lang w:val="pl-PL"/>
        </w:rPr>
      </w:pPr>
      <w:r w:rsidRPr="00ED0C6A">
        <w:rPr>
          <w:rFonts w:asciiTheme="minorHAnsi" w:hAnsiTheme="minorHAnsi"/>
          <w:sz w:val="24"/>
          <w:lang w:val="pl-PL"/>
        </w:rPr>
        <w:t>Trybunał zbadał zarzuty skarżącego dotyczące warunków, w jakich członkowie AIVD zostali przesłuchani jako świadkowie, a także odmowy wezwania niektórych członków AIVD jako</w:t>
      </w:r>
      <w:r w:rsidR="00335B71">
        <w:rPr>
          <w:rFonts w:asciiTheme="minorHAnsi" w:hAnsiTheme="minorHAnsi"/>
          <w:sz w:val="24"/>
          <w:lang w:val="pl-PL"/>
        </w:rPr>
        <w:t> </w:t>
      </w:r>
      <w:r w:rsidRPr="00ED0C6A">
        <w:rPr>
          <w:rFonts w:asciiTheme="minorHAnsi" w:hAnsiTheme="minorHAnsi"/>
          <w:sz w:val="24"/>
          <w:lang w:val="pl-PL"/>
        </w:rPr>
        <w:t>świadków obrony.</w:t>
      </w:r>
    </w:p>
    <w:p w:rsidR="00E83F92" w:rsidRPr="00ED0C6A" w:rsidRDefault="00E83F92"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BC0AD8" w:rsidRPr="00ED0C6A" w:rsidRDefault="00E83F92" w:rsidP="00380783">
      <w:pPr>
        <w:pStyle w:val="ClinContent"/>
        <w:spacing w:before="0"/>
        <w:rPr>
          <w:rFonts w:asciiTheme="minorHAnsi" w:hAnsiTheme="minorHAnsi"/>
          <w:sz w:val="24"/>
          <w:lang w:val="pl-PL"/>
        </w:rPr>
      </w:pPr>
      <w:r w:rsidRPr="00ED0C6A">
        <w:rPr>
          <w:rFonts w:asciiTheme="minorHAnsi" w:hAnsiTheme="minorHAnsi"/>
          <w:sz w:val="24"/>
          <w:lang w:val="pl-PL"/>
        </w:rPr>
        <w:t>Zauważył, że w tej sprawie o</w:t>
      </w:r>
      <w:r w:rsidR="00BC0AD8" w:rsidRPr="00ED0C6A">
        <w:rPr>
          <w:rFonts w:asciiTheme="minorHAnsi" w:hAnsiTheme="minorHAnsi"/>
          <w:sz w:val="24"/>
          <w:lang w:val="pl-PL"/>
        </w:rPr>
        <w:t>bronie nie</w:t>
      </w:r>
      <w:r w:rsidR="00582567" w:rsidRPr="00ED0C6A">
        <w:rPr>
          <w:rFonts w:asciiTheme="minorHAnsi" w:hAnsiTheme="minorHAnsi"/>
          <w:sz w:val="24"/>
          <w:lang w:val="pl-PL"/>
        </w:rPr>
        <w:t xml:space="preserve"> </w:t>
      </w:r>
      <w:r w:rsidR="00BC0AD8" w:rsidRPr="00ED0C6A">
        <w:rPr>
          <w:rFonts w:asciiTheme="minorHAnsi" w:hAnsiTheme="minorHAnsi"/>
          <w:sz w:val="24"/>
          <w:lang w:val="pl-PL"/>
        </w:rPr>
        <w:t>uniemożliwiono przesłuchania świadków oskarżenia w celu zweryfikowania prawdziwości zeznań, które złożyli na wcześniejszym etapie p</w:t>
      </w:r>
      <w:r w:rsidRPr="00ED0C6A">
        <w:rPr>
          <w:rFonts w:asciiTheme="minorHAnsi" w:hAnsiTheme="minorHAnsi"/>
          <w:sz w:val="24"/>
          <w:lang w:val="pl-PL"/>
        </w:rPr>
        <w:t>ostępowania. W sprawie skarżącego</w:t>
      </w:r>
      <w:r w:rsidR="00BC0AD8" w:rsidRPr="00ED0C6A">
        <w:rPr>
          <w:rFonts w:asciiTheme="minorHAnsi" w:hAnsiTheme="minorHAnsi"/>
          <w:sz w:val="24"/>
          <w:lang w:val="pl-PL"/>
        </w:rPr>
        <w:t xml:space="preserve"> chodziło raczej o to, że odmówiono mu dostępu do</w:t>
      </w:r>
      <w:r w:rsidR="00335B71">
        <w:rPr>
          <w:rFonts w:asciiTheme="minorHAnsi" w:hAnsiTheme="minorHAnsi"/>
          <w:sz w:val="24"/>
          <w:lang w:val="pl-PL"/>
        </w:rPr>
        <w:t> </w:t>
      </w:r>
      <w:r w:rsidR="00BC0AD8" w:rsidRPr="00ED0C6A">
        <w:rPr>
          <w:rFonts w:asciiTheme="minorHAnsi" w:hAnsiTheme="minorHAnsi"/>
          <w:sz w:val="24"/>
          <w:lang w:val="pl-PL"/>
        </w:rPr>
        <w:t>informacji, w które wtajemniczeni byli członkowie AIVD, a które byłyby w stanie poddać w</w:t>
      </w:r>
      <w:r w:rsidR="00335B71">
        <w:rPr>
          <w:rFonts w:asciiTheme="minorHAnsi" w:hAnsiTheme="minorHAnsi"/>
          <w:sz w:val="24"/>
          <w:lang w:val="pl-PL"/>
        </w:rPr>
        <w:t> </w:t>
      </w:r>
      <w:r w:rsidR="00BC0AD8" w:rsidRPr="00ED0C6A">
        <w:rPr>
          <w:rFonts w:asciiTheme="minorHAnsi" w:hAnsiTheme="minorHAnsi"/>
          <w:sz w:val="24"/>
          <w:lang w:val="pl-PL"/>
        </w:rPr>
        <w:t xml:space="preserve">wątpliwość jego winę. </w:t>
      </w:r>
    </w:p>
    <w:p w:rsidR="00E83F92" w:rsidRPr="00ED0C6A" w:rsidRDefault="00E83F92" w:rsidP="00380783">
      <w:pPr>
        <w:pStyle w:val="ClinContent"/>
        <w:spacing w:before="0"/>
        <w:rPr>
          <w:rFonts w:asciiTheme="minorHAnsi" w:hAnsiTheme="minorHAnsi"/>
          <w:sz w:val="24"/>
          <w:lang w:val="pl-PL"/>
        </w:rPr>
      </w:pPr>
    </w:p>
    <w:p w:rsidR="00BC0AD8" w:rsidRPr="00ED0C6A" w:rsidRDefault="00E83F92" w:rsidP="00380783">
      <w:pPr>
        <w:pStyle w:val="ClinContent"/>
        <w:spacing w:before="0"/>
        <w:rPr>
          <w:rFonts w:asciiTheme="minorHAnsi" w:hAnsiTheme="minorHAnsi"/>
          <w:sz w:val="24"/>
          <w:lang w:val="pl-PL"/>
        </w:rPr>
      </w:pPr>
      <w:r w:rsidRPr="00ED0C6A">
        <w:rPr>
          <w:rFonts w:asciiTheme="minorHAnsi" w:hAnsiTheme="minorHAnsi"/>
          <w:sz w:val="24"/>
          <w:lang w:val="pl-PL"/>
        </w:rPr>
        <w:t>Trybunał podkreślił, że c</w:t>
      </w:r>
      <w:r w:rsidR="00BC0AD8" w:rsidRPr="00ED0C6A">
        <w:rPr>
          <w:rFonts w:asciiTheme="minorHAnsi" w:hAnsiTheme="minorHAnsi"/>
          <w:sz w:val="24"/>
          <w:lang w:val="pl-PL"/>
        </w:rPr>
        <w:t xml:space="preserve">ałkowicie uprawniona jest strategia obrony w sprawach karnych zmierzająca do zasiania wątpliwości co do sprawstwa czynu poprzez wykazanie, że czyn mógł zostać popełniony przez kogoś innego. Nie uprawnia to jednak podejrzanego do składania </w:t>
      </w:r>
      <w:r w:rsidRPr="00ED0C6A">
        <w:rPr>
          <w:rFonts w:asciiTheme="minorHAnsi" w:hAnsiTheme="minorHAnsi"/>
          <w:sz w:val="24"/>
          <w:lang w:val="pl-PL"/>
        </w:rPr>
        <w:t>pokrętnych</w:t>
      </w:r>
      <w:r w:rsidR="00BC0AD8" w:rsidRPr="00ED0C6A">
        <w:rPr>
          <w:rFonts w:asciiTheme="minorHAnsi" w:hAnsiTheme="minorHAnsi"/>
          <w:sz w:val="24"/>
          <w:lang w:val="pl-PL"/>
        </w:rPr>
        <w:t xml:space="preserve"> wniosków o informację w nadziei, że przypadkiem pojawi się alternatywne wyjaśnienie. Dowody, na podstawie których sądy krajowe oparły skazanie skarżącego, obejmowały kilka elementów, które powiązały skarżącego bezpośrednio z dokumentami, które wyciekły, a także z nieupoważnionymi osobami, u których stwierdzono te dokumenty. W tych okolicznościach nie można twierdzić, że sądy krajowe działały w sposób nieuzasadniony lub arbitralny, gdy nie dopuściły wszystkich wnioskowanych przez niego świadków lub gdy uznały, że na jego obronę nie wpłynęły poważnie warunki, w których przesłuchano dopuszczonych świadków. </w:t>
      </w:r>
    </w:p>
    <w:p w:rsidR="00E83F92" w:rsidRPr="00ED0C6A" w:rsidRDefault="00E83F92" w:rsidP="00380783">
      <w:pPr>
        <w:pStyle w:val="ClinContent"/>
        <w:spacing w:before="0"/>
        <w:rPr>
          <w:rFonts w:asciiTheme="minorHAnsi" w:hAnsiTheme="minorHAnsi"/>
          <w:i/>
          <w:sz w:val="24"/>
          <w:lang w:val="pl-PL"/>
        </w:rPr>
      </w:pPr>
    </w:p>
    <w:p w:rsidR="00BC0AD8" w:rsidRPr="00ED0C6A" w:rsidRDefault="00E83F92" w:rsidP="00380783">
      <w:pPr>
        <w:pStyle w:val="ClinContent"/>
        <w:spacing w:before="0"/>
        <w:rPr>
          <w:rFonts w:asciiTheme="minorHAnsi" w:hAnsiTheme="minorHAnsi"/>
          <w:sz w:val="24"/>
          <w:lang w:val="pl-PL"/>
        </w:rPr>
      </w:pPr>
      <w:r w:rsidRPr="00ED0C6A">
        <w:rPr>
          <w:rFonts w:asciiTheme="minorHAnsi" w:hAnsiTheme="minorHAnsi"/>
          <w:sz w:val="24"/>
          <w:lang w:val="pl-PL"/>
        </w:rPr>
        <w:t>W tych okolicznościach Trybunał jednomyślnie orzekł, że</w:t>
      </w:r>
      <w:r w:rsidRPr="00ED0C6A">
        <w:rPr>
          <w:rFonts w:asciiTheme="minorHAnsi" w:hAnsiTheme="minorHAnsi"/>
          <w:i/>
          <w:sz w:val="24"/>
          <w:lang w:val="pl-PL"/>
        </w:rPr>
        <w:t xml:space="preserve"> </w:t>
      </w:r>
      <w:r w:rsidRPr="00ED0C6A">
        <w:rPr>
          <w:rFonts w:asciiTheme="minorHAnsi" w:hAnsiTheme="minorHAnsi"/>
          <w:sz w:val="24"/>
          <w:lang w:val="pl-PL"/>
        </w:rPr>
        <w:t>nie doszło do</w:t>
      </w:r>
      <w:r w:rsidRPr="00ED0C6A">
        <w:rPr>
          <w:rFonts w:asciiTheme="minorHAnsi" w:hAnsiTheme="minorHAnsi"/>
          <w:i/>
          <w:sz w:val="24"/>
          <w:lang w:val="pl-PL"/>
        </w:rPr>
        <w:t xml:space="preserve"> </w:t>
      </w:r>
      <w:r w:rsidR="00BC0AD8" w:rsidRPr="00ED0C6A">
        <w:rPr>
          <w:rFonts w:asciiTheme="minorHAnsi" w:hAnsiTheme="minorHAnsi"/>
          <w:sz w:val="24"/>
          <w:lang w:val="pl-PL"/>
        </w:rPr>
        <w:t xml:space="preserve">naruszenia </w:t>
      </w:r>
      <w:r w:rsidRPr="00ED0C6A">
        <w:rPr>
          <w:rFonts w:asciiTheme="minorHAnsi" w:hAnsiTheme="minorHAnsi"/>
          <w:sz w:val="24"/>
          <w:lang w:val="pl-PL"/>
        </w:rPr>
        <w:t>prawa do</w:t>
      </w:r>
      <w:r w:rsidR="00335B71">
        <w:rPr>
          <w:rFonts w:asciiTheme="minorHAnsi" w:hAnsiTheme="minorHAnsi"/>
          <w:sz w:val="24"/>
          <w:lang w:val="pl-PL"/>
        </w:rPr>
        <w:t> </w:t>
      </w:r>
      <w:r w:rsidRPr="00ED0C6A">
        <w:rPr>
          <w:rFonts w:asciiTheme="minorHAnsi" w:hAnsiTheme="minorHAnsi"/>
          <w:sz w:val="24"/>
          <w:lang w:val="pl-PL"/>
        </w:rPr>
        <w:t xml:space="preserve">rzetelnego procesu sądowego i prawa do </w:t>
      </w:r>
      <w:r w:rsidR="008A7D37" w:rsidRPr="00ED0C6A">
        <w:rPr>
          <w:rFonts w:asciiTheme="minorHAnsi" w:hAnsiTheme="minorHAnsi"/>
          <w:sz w:val="24"/>
          <w:lang w:val="pl-PL"/>
        </w:rPr>
        <w:t xml:space="preserve">obrony w zakresie prawa do </w:t>
      </w:r>
      <w:r w:rsidRPr="00ED0C6A">
        <w:rPr>
          <w:rFonts w:asciiTheme="minorHAnsi" w:hAnsiTheme="minorHAnsi"/>
          <w:sz w:val="24"/>
          <w:lang w:val="pl-PL"/>
        </w:rPr>
        <w:t xml:space="preserve">przesłuchania świadków (art. 6 ust. 1 i ust. 3 lit. d Konwencji). </w:t>
      </w:r>
    </w:p>
    <w:p w:rsidR="00E83F92" w:rsidRPr="00ED0C6A" w:rsidRDefault="00E83F92" w:rsidP="00380783">
      <w:pPr>
        <w:pStyle w:val="ClinContent"/>
        <w:spacing w:before="0"/>
        <w:rPr>
          <w:rFonts w:asciiTheme="minorHAnsi" w:hAnsiTheme="minorHAnsi"/>
          <w:sz w:val="24"/>
          <w:lang w:val="pl-PL"/>
        </w:rPr>
      </w:pPr>
    </w:p>
    <w:p w:rsidR="008A7D37" w:rsidRPr="00ED0C6A" w:rsidRDefault="008A7D37" w:rsidP="008A7D37">
      <w:pPr>
        <w:pStyle w:val="ClinContent"/>
        <w:spacing w:before="0"/>
        <w:rPr>
          <w:rFonts w:asciiTheme="minorHAnsi" w:hAnsiTheme="minorHAnsi"/>
          <w:i/>
          <w:sz w:val="24"/>
          <w:u w:val="single"/>
          <w:lang w:val="pl-PL"/>
        </w:rPr>
      </w:pPr>
      <w:r w:rsidRPr="00ED0C6A">
        <w:rPr>
          <w:rFonts w:asciiTheme="minorHAnsi" w:hAnsiTheme="minorHAnsi"/>
          <w:i/>
          <w:sz w:val="24"/>
          <w:u w:val="single"/>
          <w:lang w:val="pl-PL"/>
        </w:rPr>
        <w:t xml:space="preserve">Prawo do bronienia się osobiście lub przez ustanowionego obrońcę (art. 6. ust. 1 i ust. 3 lit. c) </w:t>
      </w:r>
    </w:p>
    <w:p w:rsidR="008A7D37" w:rsidRPr="00ED0C6A" w:rsidRDefault="008A7D37" w:rsidP="008A7D37">
      <w:pPr>
        <w:pStyle w:val="ClinContent"/>
        <w:spacing w:before="0"/>
        <w:rPr>
          <w:rFonts w:asciiTheme="minorHAnsi" w:hAnsiTheme="minorHAnsi"/>
          <w:sz w:val="24"/>
          <w:lang w:val="pl-PL"/>
        </w:rPr>
      </w:pPr>
    </w:p>
    <w:p w:rsidR="008A7D37" w:rsidRPr="00ED0C6A" w:rsidRDefault="008A7D37" w:rsidP="008A7D37">
      <w:pPr>
        <w:pStyle w:val="ClinContent"/>
        <w:spacing w:before="0"/>
        <w:rPr>
          <w:rFonts w:asciiTheme="minorHAnsi" w:hAnsiTheme="minorHAnsi"/>
          <w:sz w:val="24"/>
          <w:lang w:val="pl-PL"/>
        </w:rPr>
      </w:pPr>
      <w:r w:rsidRPr="00ED0C6A">
        <w:rPr>
          <w:rFonts w:asciiTheme="minorHAnsi" w:hAnsiTheme="minorHAnsi"/>
          <w:sz w:val="24"/>
          <w:lang w:val="pl-PL"/>
        </w:rPr>
        <w:t>Trybunał ocenił m.in. ograniczenia nałożone na prawo skarżącego do udzielania informacji i</w:t>
      </w:r>
      <w:r w:rsidR="00335B71">
        <w:rPr>
          <w:rFonts w:asciiTheme="minorHAnsi" w:hAnsiTheme="minorHAnsi"/>
          <w:sz w:val="24"/>
          <w:lang w:val="pl-PL"/>
        </w:rPr>
        <w:t> </w:t>
      </w:r>
      <w:r w:rsidRPr="00ED0C6A">
        <w:rPr>
          <w:rFonts w:asciiTheme="minorHAnsi" w:hAnsiTheme="minorHAnsi"/>
          <w:sz w:val="24"/>
          <w:lang w:val="pl-PL"/>
        </w:rPr>
        <w:t xml:space="preserve">instrukcji swemu obrońcy. Przypomniał, że w swym orzecznictwie dopuszczał </w:t>
      </w:r>
      <w:r w:rsidR="00E54130" w:rsidRPr="00ED0C6A">
        <w:rPr>
          <w:rFonts w:asciiTheme="minorHAnsi" w:hAnsiTheme="minorHAnsi"/>
          <w:sz w:val="24"/>
          <w:lang w:val="pl-PL"/>
        </w:rPr>
        <w:t>nałożenie pewnych ograniczeń</w:t>
      </w:r>
      <w:r w:rsidRPr="00ED0C6A">
        <w:rPr>
          <w:rFonts w:asciiTheme="minorHAnsi" w:hAnsiTheme="minorHAnsi"/>
          <w:sz w:val="24"/>
          <w:lang w:val="pl-PL"/>
        </w:rPr>
        <w:t xml:space="preserve"> na kontakty między klientem a jego adwokatem w sprawach dotyczących terroryzmu i przestępczości zorganizowanej. </w:t>
      </w:r>
    </w:p>
    <w:p w:rsidR="008A7D37" w:rsidRPr="00ED0C6A" w:rsidRDefault="008A7D37" w:rsidP="008A7D37">
      <w:pPr>
        <w:pStyle w:val="ClinContent"/>
        <w:spacing w:before="0"/>
        <w:rPr>
          <w:rFonts w:asciiTheme="minorHAnsi" w:hAnsiTheme="minorHAnsi"/>
          <w:sz w:val="24"/>
          <w:lang w:val="pl-PL"/>
        </w:rPr>
      </w:pPr>
    </w:p>
    <w:p w:rsidR="008A7D37" w:rsidRPr="00ED0C6A" w:rsidRDefault="008A7D37" w:rsidP="008A7D37">
      <w:pPr>
        <w:pStyle w:val="ClinContent"/>
        <w:spacing w:before="0"/>
        <w:rPr>
          <w:rFonts w:asciiTheme="minorHAnsi" w:hAnsiTheme="minorHAnsi"/>
          <w:sz w:val="24"/>
          <w:lang w:val="pl-PL"/>
        </w:rPr>
      </w:pPr>
      <w:r w:rsidRPr="00ED0C6A">
        <w:rPr>
          <w:rFonts w:asciiTheme="minorHAnsi" w:hAnsiTheme="minorHAnsi"/>
          <w:sz w:val="24"/>
          <w:lang w:val="pl-PL"/>
        </w:rPr>
        <w:t xml:space="preserve">Tym niemniej, </w:t>
      </w:r>
      <w:r w:rsidR="00E54130" w:rsidRPr="00ED0C6A">
        <w:rPr>
          <w:rFonts w:asciiTheme="minorHAnsi" w:hAnsiTheme="minorHAnsi"/>
          <w:sz w:val="24"/>
          <w:lang w:val="pl-PL"/>
        </w:rPr>
        <w:t>od fundamentalnej zasady poszanowania poufności między klientem a</w:t>
      </w:r>
      <w:r w:rsidR="00335B71">
        <w:rPr>
          <w:rFonts w:asciiTheme="minorHAnsi" w:hAnsiTheme="minorHAnsi"/>
          <w:sz w:val="24"/>
          <w:lang w:val="pl-PL"/>
        </w:rPr>
        <w:t> </w:t>
      </w:r>
      <w:r w:rsidR="00E54130" w:rsidRPr="00ED0C6A">
        <w:rPr>
          <w:rFonts w:asciiTheme="minorHAnsi" w:hAnsiTheme="minorHAnsi"/>
          <w:sz w:val="24"/>
          <w:lang w:val="pl-PL"/>
        </w:rPr>
        <w:t xml:space="preserve">adwokatem </w:t>
      </w:r>
      <w:r w:rsidRPr="00ED0C6A">
        <w:rPr>
          <w:rFonts w:asciiTheme="minorHAnsi" w:hAnsiTheme="minorHAnsi"/>
          <w:sz w:val="24"/>
          <w:lang w:val="pl-PL"/>
        </w:rPr>
        <w:t>można odstąpić</w:t>
      </w:r>
      <w:r w:rsidR="00E54130" w:rsidRPr="00ED0C6A">
        <w:rPr>
          <w:rFonts w:asciiTheme="minorHAnsi" w:hAnsiTheme="minorHAnsi"/>
          <w:sz w:val="24"/>
          <w:lang w:val="pl-PL"/>
        </w:rPr>
        <w:t xml:space="preserve"> jedynie w wyjątkowych okolicznościach oraz pod warunkiem wdrożenia odpowiednich i wystarczających zabezpieczeń przed nadużyciami</w:t>
      </w:r>
      <w:r w:rsidRPr="00ED0C6A">
        <w:rPr>
          <w:rFonts w:asciiTheme="minorHAnsi" w:hAnsiTheme="minorHAnsi"/>
          <w:sz w:val="24"/>
          <w:lang w:val="pl-PL"/>
        </w:rPr>
        <w:t>. Procedura, w</w:t>
      </w:r>
      <w:r w:rsidR="00335B71">
        <w:rPr>
          <w:rFonts w:asciiTheme="minorHAnsi" w:hAnsiTheme="minorHAnsi"/>
          <w:sz w:val="24"/>
          <w:lang w:val="pl-PL"/>
        </w:rPr>
        <w:t> </w:t>
      </w:r>
      <w:r w:rsidRPr="00ED0C6A">
        <w:rPr>
          <w:rFonts w:asciiTheme="minorHAnsi" w:hAnsiTheme="minorHAnsi"/>
          <w:sz w:val="24"/>
          <w:lang w:val="pl-PL"/>
        </w:rPr>
        <w:t>której</w:t>
      </w:r>
      <w:r w:rsidR="00E54130" w:rsidRPr="00ED0C6A">
        <w:rPr>
          <w:rFonts w:asciiTheme="minorHAnsi" w:hAnsiTheme="minorHAnsi"/>
          <w:sz w:val="24"/>
          <w:lang w:val="pl-PL"/>
        </w:rPr>
        <w:t xml:space="preserve"> to</w:t>
      </w:r>
      <w:r w:rsidRPr="00ED0C6A">
        <w:rPr>
          <w:rFonts w:asciiTheme="minorHAnsi" w:hAnsiTheme="minorHAnsi"/>
          <w:sz w:val="24"/>
          <w:lang w:val="pl-PL"/>
        </w:rPr>
        <w:t xml:space="preserve"> prokuratura sama próbuje ocenić znaczenie ukrytej informacji dla obrony i</w:t>
      </w:r>
      <w:r w:rsidR="00335B71">
        <w:rPr>
          <w:rFonts w:asciiTheme="minorHAnsi" w:hAnsiTheme="minorHAnsi"/>
          <w:sz w:val="24"/>
          <w:lang w:val="pl-PL"/>
        </w:rPr>
        <w:t> </w:t>
      </w:r>
      <w:r w:rsidRPr="00ED0C6A">
        <w:rPr>
          <w:rFonts w:asciiTheme="minorHAnsi" w:hAnsiTheme="minorHAnsi"/>
          <w:sz w:val="24"/>
          <w:lang w:val="pl-PL"/>
        </w:rPr>
        <w:t>dokonać wyważenia między interesami obrony a interesem ogólnym przemawiającym za</w:t>
      </w:r>
      <w:r w:rsidR="00335B71">
        <w:rPr>
          <w:rFonts w:asciiTheme="minorHAnsi" w:hAnsiTheme="minorHAnsi"/>
          <w:sz w:val="24"/>
          <w:lang w:val="pl-PL"/>
        </w:rPr>
        <w:t> </w:t>
      </w:r>
      <w:r w:rsidRPr="00ED0C6A">
        <w:rPr>
          <w:rFonts w:asciiTheme="minorHAnsi" w:hAnsiTheme="minorHAnsi"/>
          <w:sz w:val="24"/>
          <w:lang w:val="pl-PL"/>
        </w:rPr>
        <w:t xml:space="preserve">utrzymywaniem informacji w tajemnicy, nie może być zgodna z wymogami art. 6 ust. 1. </w:t>
      </w:r>
    </w:p>
    <w:p w:rsidR="008A7D37" w:rsidRPr="00ED0C6A" w:rsidRDefault="008A7D37" w:rsidP="008A7D37">
      <w:pPr>
        <w:pStyle w:val="ClinContent"/>
        <w:spacing w:before="0"/>
        <w:rPr>
          <w:rFonts w:asciiTheme="minorHAnsi" w:hAnsiTheme="minorHAnsi"/>
          <w:sz w:val="24"/>
          <w:lang w:val="pl-PL"/>
        </w:rPr>
      </w:pPr>
    </w:p>
    <w:p w:rsidR="008A7D37" w:rsidRPr="00ED0C6A" w:rsidRDefault="008A7D37" w:rsidP="008A7D37">
      <w:pPr>
        <w:pStyle w:val="ClinContent"/>
        <w:spacing w:before="0"/>
        <w:rPr>
          <w:rFonts w:asciiTheme="minorHAnsi" w:hAnsiTheme="minorHAnsi"/>
          <w:sz w:val="24"/>
          <w:lang w:val="pl-PL"/>
        </w:rPr>
      </w:pPr>
      <w:r w:rsidRPr="00ED0C6A">
        <w:rPr>
          <w:rFonts w:asciiTheme="minorHAnsi" w:hAnsiTheme="minorHAnsi"/>
          <w:sz w:val="24"/>
          <w:lang w:val="pl-PL"/>
        </w:rPr>
        <w:t xml:space="preserve">W obecnej sprawie skarżący nie został pozbawiony dostępu do dowodów prokuratury: nakazano mu </w:t>
      </w:r>
      <w:r w:rsidR="00E54130" w:rsidRPr="00ED0C6A">
        <w:rPr>
          <w:rFonts w:asciiTheme="minorHAnsi" w:hAnsiTheme="minorHAnsi"/>
          <w:sz w:val="24"/>
          <w:lang w:val="pl-PL"/>
        </w:rPr>
        <w:t xml:space="preserve">natomiast </w:t>
      </w:r>
      <w:r w:rsidRPr="00ED0C6A">
        <w:rPr>
          <w:rFonts w:asciiTheme="minorHAnsi" w:hAnsiTheme="minorHAnsi"/>
          <w:sz w:val="24"/>
          <w:lang w:val="pl-PL"/>
        </w:rPr>
        <w:t xml:space="preserve">nie ujawniać swemu obrońcy informacji </w:t>
      </w:r>
      <w:r w:rsidR="00E54130" w:rsidRPr="00ED0C6A">
        <w:rPr>
          <w:rFonts w:asciiTheme="minorHAnsi" w:hAnsiTheme="minorHAnsi"/>
          <w:sz w:val="24"/>
          <w:lang w:val="pl-PL"/>
        </w:rPr>
        <w:t>faktycznej, która mogłaby zostać wykorzystana do jego obrony</w:t>
      </w:r>
      <w:r w:rsidRPr="00ED0C6A">
        <w:rPr>
          <w:rFonts w:asciiTheme="minorHAnsi" w:hAnsiTheme="minorHAnsi"/>
          <w:sz w:val="24"/>
          <w:lang w:val="pl-PL"/>
        </w:rPr>
        <w:t>. Nie było ingerencji w poufność relacji między skarżącym a jego obrońcą. Nie zastosowano niezależnego mechanizmu monitorowania informacji przekazywan</w:t>
      </w:r>
      <w:r w:rsidR="00582567" w:rsidRPr="00ED0C6A">
        <w:rPr>
          <w:rFonts w:asciiTheme="minorHAnsi" w:hAnsiTheme="minorHAnsi"/>
          <w:sz w:val="24"/>
          <w:lang w:val="pl-PL"/>
        </w:rPr>
        <w:t xml:space="preserve">ych </w:t>
      </w:r>
      <w:r w:rsidRPr="00ED0C6A">
        <w:rPr>
          <w:rFonts w:asciiTheme="minorHAnsi" w:hAnsiTheme="minorHAnsi"/>
          <w:sz w:val="24"/>
          <w:lang w:val="pl-PL"/>
        </w:rPr>
        <w:t xml:space="preserve">między skarżącym a jego obrońcą, skarżący był natomiast zagrożony ściganiem w razie ujawnienia obrońcy tajnych informacji. </w:t>
      </w:r>
      <w:r w:rsidR="00E54130" w:rsidRPr="00ED0C6A">
        <w:rPr>
          <w:rFonts w:asciiTheme="minorHAnsi" w:hAnsiTheme="minorHAnsi"/>
          <w:sz w:val="24"/>
          <w:lang w:val="pl-PL"/>
        </w:rPr>
        <w:t>Istotny jest fakt</w:t>
      </w:r>
      <w:r w:rsidRPr="00ED0C6A">
        <w:rPr>
          <w:rFonts w:asciiTheme="minorHAnsi" w:hAnsiTheme="minorHAnsi"/>
          <w:sz w:val="24"/>
          <w:lang w:val="pl-PL"/>
        </w:rPr>
        <w:t>, że</w:t>
      </w:r>
      <w:r w:rsidR="00335B71">
        <w:rPr>
          <w:rFonts w:asciiTheme="minorHAnsi" w:hAnsiTheme="minorHAnsi"/>
          <w:sz w:val="24"/>
          <w:lang w:val="pl-PL"/>
        </w:rPr>
        <w:t> </w:t>
      </w:r>
      <w:r w:rsidR="00E54130" w:rsidRPr="00ED0C6A">
        <w:rPr>
          <w:rFonts w:asciiTheme="minorHAnsi" w:hAnsiTheme="minorHAnsi"/>
          <w:sz w:val="24"/>
          <w:lang w:val="pl-PL"/>
        </w:rPr>
        <w:t>komunikacja</w:t>
      </w:r>
      <w:r w:rsidRPr="00ED0C6A">
        <w:rPr>
          <w:rFonts w:asciiTheme="minorHAnsi" w:hAnsiTheme="minorHAnsi"/>
          <w:sz w:val="24"/>
          <w:lang w:val="pl-PL"/>
        </w:rPr>
        <w:t xml:space="preserve"> między skarżą</w:t>
      </w:r>
      <w:r w:rsidR="00E54130" w:rsidRPr="00ED0C6A">
        <w:rPr>
          <w:rFonts w:asciiTheme="minorHAnsi" w:hAnsiTheme="minorHAnsi"/>
          <w:sz w:val="24"/>
          <w:lang w:val="pl-PL"/>
        </w:rPr>
        <w:t>cym a jego obrońcą nie była swobodna i nieograniczona</w:t>
      </w:r>
      <w:r w:rsidRPr="00ED0C6A">
        <w:rPr>
          <w:rFonts w:asciiTheme="minorHAnsi" w:hAnsiTheme="minorHAnsi"/>
          <w:sz w:val="24"/>
          <w:lang w:val="pl-PL"/>
        </w:rPr>
        <w:t xml:space="preserve"> co</w:t>
      </w:r>
      <w:r w:rsidR="00335B71">
        <w:rPr>
          <w:rFonts w:asciiTheme="minorHAnsi" w:hAnsiTheme="minorHAnsi"/>
          <w:sz w:val="24"/>
          <w:lang w:val="pl-PL"/>
        </w:rPr>
        <w:t> </w:t>
      </w:r>
      <w:r w:rsidRPr="00ED0C6A">
        <w:rPr>
          <w:rFonts w:asciiTheme="minorHAnsi" w:hAnsiTheme="minorHAnsi"/>
          <w:sz w:val="24"/>
          <w:lang w:val="pl-PL"/>
        </w:rPr>
        <w:t>do</w:t>
      </w:r>
      <w:r w:rsidR="00335B71">
        <w:rPr>
          <w:rFonts w:asciiTheme="minorHAnsi" w:hAnsiTheme="minorHAnsi"/>
          <w:sz w:val="24"/>
          <w:lang w:val="pl-PL"/>
        </w:rPr>
        <w:t> </w:t>
      </w:r>
      <w:r w:rsidRPr="00ED0C6A">
        <w:rPr>
          <w:rFonts w:asciiTheme="minorHAnsi" w:hAnsiTheme="minorHAnsi"/>
          <w:sz w:val="24"/>
          <w:lang w:val="pl-PL"/>
        </w:rPr>
        <w:t>treści, czego wymaga</w:t>
      </w:r>
      <w:r w:rsidR="00E54130" w:rsidRPr="00ED0C6A">
        <w:rPr>
          <w:rFonts w:asciiTheme="minorHAnsi" w:hAnsiTheme="minorHAnsi"/>
          <w:sz w:val="24"/>
          <w:lang w:val="pl-PL"/>
        </w:rPr>
        <w:t>,</w:t>
      </w:r>
      <w:r w:rsidRPr="00ED0C6A">
        <w:rPr>
          <w:rFonts w:asciiTheme="minorHAnsi" w:hAnsiTheme="minorHAnsi"/>
          <w:sz w:val="24"/>
          <w:lang w:val="pl-PL"/>
        </w:rPr>
        <w:t xml:space="preserve"> co do zasady</w:t>
      </w:r>
      <w:r w:rsidR="00E54130" w:rsidRPr="00ED0C6A">
        <w:rPr>
          <w:rFonts w:asciiTheme="minorHAnsi" w:hAnsiTheme="minorHAnsi"/>
          <w:sz w:val="24"/>
          <w:lang w:val="pl-PL"/>
        </w:rPr>
        <w:t>,</w:t>
      </w:r>
      <w:r w:rsidRPr="00ED0C6A">
        <w:rPr>
          <w:rFonts w:asciiTheme="minorHAnsi" w:hAnsiTheme="minorHAnsi"/>
          <w:sz w:val="24"/>
          <w:lang w:val="pl-PL"/>
        </w:rPr>
        <w:t xml:space="preserve"> rzetelny proces. </w:t>
      </w:r>
    </w:p>
    <w:p w:rsidR="008A7D37" w:rsidRPr="00ED0C6A" w:rsidRDefault="008A7D37" w:rsidP="008A7D37">
      <w:pPr>
        <w:pStyle w:val="ClinContent"/>
        <w:spacing w:before="0"/>
        <w:rPr>
          <w:rFonts w:asciiTheme="minorHAnsi" w:hAnsiTheme="minorHAnsi"/>
          <w:sz w:val="24"/>
          <w:lang w:val="pl-PL"/>
        </w:rPr>
      </w:pPr>
    </w:p>
    <w:p w:rsidR="008A7D37" w:rsidRPr="00ED0C6A" w:rsidRDefault="008A7D37" w:rsidP="008A7D37">
      <w:pPr>
        <w:pStyle w:val="ClinContent"/>
        <w:spacing w:before="0"/>
        <w:rPr>
          <w:rFonts w:asciiTheme="minorHAnsi" w:hAnsiTheme="minorHAnsi"/>
          <w:sz w:val="24"/>
          <w:lang w:val="pl-PL"/>
        </w:rPr>
      </w:pPr>
      <w:r w:rsidRPr="00ED0C6A">
        <w:rPr>
          <w:rFonts w:asciiTheme="minorHAnsi" w:hAnsiTheme="minorHAnsi"/>
          <w:sz w:val="24"/>
          <w:lang w:val="pl-PL"/>
        </w:rPr>
        <w:t>Trybunał zgodził się, że zasady dotyczące poszanowania tajemnicy państwowej mają zastosowanie ogólne i zasadniczo brak jest powodów, by nie miały one mieć zastosowania w</w:t>
      </w:r>
      <w:r w:rsidR="00335B71">
        <w:rPr>
          <w:rFonts w:asciiTheme="minorHAnsi" w:hAnsiTheme="minorHAnsi"/>
          <w:sz w:val="24"/>
          <w:lang w:val="pl-PL"/>
        </w:rPr>
        <w:t> </w:t>
      </w:r>
      <w:r w:rsidRPr="00ED0C6A">
        <w:rPr>
          <w:rFonts w:asciiTheme="minorHAnsi" w:hAnsiTheme="minorHAnsi"/>
          <w:sz w:val="24"/>
          <w:lang w:val="pl-PL"/>
        </w:rPr>
        <w:t xml:space="preserve">przypadkach, gdy członkowie personelu służby bezpieczeństwa są ścigani za przestępstwa związane z ich </w:t>
      </w:r>
      <w:r w:rsidR="00E54130" w:rsidRPr="00ED0C6A">
        <w:rPr>
          <w:rFonts w:asciiTheme="minorHAnsi" w:hAnsiTheme="minorHAnsi"/>
          <w:sz w:val="24"/>
          <w:lang w:val="pl-PL"/>
        </w:rPr>
        <w:t>stosunkiem pracy</w:t>
      </w:r>
      <w:r w:rsidRPr="00ED0C6A">
        <w:rPr>
          <w:rFonts w:asciiTheme="minorHAnsi" w:hAnsiTheme="minorHAnsi"/>
          <w:sz w:val="24"/>
          <w:lang w:val="pl-PL"/>
        </w:rPr>
        <w:t>. Kwestią istotną dla Trybunału jest natomiast to, w</w:t>
      </w:r>
      <w:r w:rsidR="00335B71">
        <w:rPr>
          <w:rFonts w:asciiTheme="minorHAnsi" w:hAnsiTheme="minorHAnsi"/>
          <w:sz w:val="24"/>
          <w:lang w:val="pl-PL"/>
        </w:rPr>
        <w:t> </w:t>
      </w:r>
      <w:r w:rsidRPr="00ED0C6A">
        <w:rPr>
          <w:rFonts w:asciiTheme="minorHAnsi" w:hAnsiTheme="minorHAnsi"/>
          <w:sz w:val="24"/>
          <w:lang w:val="pl-PL"/>
        </w:rPr>
        <w:t>jaki</w:t>
      </w:r>
      <w:r w:rsidR="00335B71">
        <w:rPr>
          <w:rFonts w:asciiTheme="minorHAnsi" w:hAnsiTheme="minorHAnsi"/>
          <w:sz w:val="24"/>
          <w:lang w:val="pl-PL"/>
        </w:rPr>
        <w:t> </w:t>
      </w:r>
      <w:r w:rsidRPr="00ED0C6A">
        <w:rPr>
          <w:rFonts w:asciiTheme="minorHAnsi" w:hAnsiTheme="minorHAnsi"/>
          <w:sz w:val="24"/>
          <w:lang w:val="pl-PL"/>
        </w:rPr>
        <w:t>sposób zakaz ujawniania tajnych informacji wpływa na prawo do obrony podejrzanego, zarówno w związku z jego porozumiewaniem się ze swoimi obrońcami, jak</w:t>
      </w:r>
      <w:r w:rsidR="00335B71">
        <w:rPr>
          <w:rFonts w:asciiTheme="minorHAnsi" w:hAnsiTheme="minorHAnsi"/>
          <w:sz w:val="24"/>
          <w:lang w:val="pl-PL"/>
        </w:rPr>
        <w:t> </w:t>
      </w:r>
      <w:r w:rsidRPr="00ED0C6A">
        <w:rPr>
          <w:rFonts w:asciiTheme="minorHAnsi" w:hAnsiTheme="minorHAnsi"/>
          <w:sz w:val="24"/>
          <w:lang w:val="pl-PL"/>
        </w:rPr>
        <w:t>i</w:t>
      </w:r>
      <w:r w:rsidR="00335B71">
        <w:rPr>
          <w:rFonts w:asciiTheme="minorHAnsi" w:hAnsiTheme="minorHAnsi"/>
          <w:sz w:val="24"/>
          <w:lang w:val="pl-PL"/>
        </w:rPr>
        <w:t> </w:t>
      </w:r>
      <w:r w:rsidRPr="00ED0C6A">
        <w:rPr>
          <w:rFonts w:asciiTheme="minorHAnsi" w:hAnsiTheme="minorHAnsi"/>
          <w:sz w:val="24"/>
          <w:lang w:val="pl-PL"/>
        </w:rPr>
        <w:t>w</w:t>
      </w:r>
      <w:r w:rsidR="00335B71">
        <w:rPr>
          <w:rFonts w:asciiTheme="minorHAnsi" w:hAnsiTheme="minorHAnsi"/>
          <w:sz w:val="24"/>
          <w:lang w:val="pl-PL"/>
        </w:rPr>
        <w:t> </w:t>
      </w:r>
      <w:r w:rsidRPr="00ED0C6A">
        <w:rPr>
          <w:rFonts w:asciiTheme="minorHAnsi" w:hAnsiTheme="minorHAnsi"/>
          <w:sz w:val="24"/>
          <w:lang w:val="pl-PL"/>
        </w:rPr>
        <w:t xml:space="preserve">odniesieniu do postępowania przed sądem. </w:t>
      </w:r>
    </w:p>
    <w:p w:rsidR="008A7D37" w:rsidRPr="00ED0C6A" w:rsidRDefault="008A7D37" w:rsidP="008A7D37">
      <w:pPr>
        <w:pStyle w:val="ClinContent"/>
        <w:spacing w:before="0"/>
        <w:rPr>
          <w:rFonts w:asciiTheme="minorHAnsi" w:hAnsiTheme="minorHAnsi"/>
          <w:sz w:val="24"/>
          <w:lang w:val="pl-PL"/>
        </w:rPr>
      </w:pPr>
    </w:p>
    <w:p w:rsidR="008A7D37" w:rsidRPr="00ED0C6A" w:rsidRDefault="008A7D37" w:rsidP="008A7D37">
      <w:pPr>
        <w:pStyle w:val="ClinContent"/>
        <w:spacing w:before="0"/>
        <w:rPr>
          <w:rFonts w:asciiTheme="minorHAnsi" w:hAnsiTheme="minorHAnsi"/>
          <w:sz w:val="24"/>
          <w:lang w:val="pl-PL"/>
        </w:rPr>
      </w:pPr>
      <w:r w:rsidRPr="00ED0C6A">
        <w:rPr>
          <w:rFonts w:asciiTheme="minorHAnsi" w:hAnsiTheme="minorHAnsi"/>
          <w:sz w:val="24"/>
          <w:lang w:val="pl-PL"/>
        </w:rPr>
        <w:t>W obecnej sprawie Prokurator Generalny zobowiązał się, że skarżący nie będzie ścigany za</w:t>
      </w:r>
      <w:r w:rsidR="00335B71">
        <w:rPr>
          <w:rFonts w:asciiTheme="minorHAnsi" w:hAnsiTheme="minorHAnsi"/>
          <w:sz w:val="24"/>
          <w:lang w:val="pl-PL"/>
        </w:rPr>
        <w:t> </w:t>
      </w:r>
      <w:r w:rsidRPr="00ED0C6A">
        <w:rPr>
          <w:rFonts w:asciiTheme="minorHAnsi" w:hAnsiTheme="minorHAnsi"/>
          <w:sz w:val="24"/>
          <w:lang w:val="pl-PL"/>
        </w:rPr>
        <w:t xml:space="preserve">naruszenie obowiązku poszanowania tajemnicy, jeśli takie naruszenie </w:t>
      </w:r>
      <w:r w:rsidR="00E54130" w:rsidRPr="00ED0C6A">
        <w:rPr>
          <w:rFonts w:asciiTheme="minorHAnsi" w:hAnsiTheme="minorHAnsi"/>
          <w:sz w:val="24"/>
          <w:lang w:val="pl-PL"/>
        </w:rPr>
        <w:t>będzie</w:t>
      </w:r>
      <w:r w:rsidRPr="00ED0C6A">
        <w:rPr>
          <w:rFonts w:asciiTheme="minorHAnsi" w:hAnsiTheme="minorHAnsi"/>
          <w:sz w:val="24"/>
          <w:lang w:val="pl-PL"/>
        </w:rPr>
        <w:t xml:space="preserve"> uzasadnione prawem do obrony gwarantowanym przez art. 6 Konwencji. </w:t>
      </w:r>
      <w:r w:rsidR="00E54130" w:rsidRPr="00ED0C6A">
        <w:rPr>
          <w:rFonts w:asciiTheme="minorHAnsi" w:hAnsiTheme="minorHAnsi"/>
          <w:sz w:val="24"/>
          <w:lang w:val="pl-PL"/>
        </w:rPr>
        <w:t>Stworzyło to sytuację, w</w:t>
      </w:r>
      <w:r w:rsidR="0040200C">
        <w:rPr>
          <w:rFonts w:asciiTheme="minorHAnsi" w:hAnsiTheme="minorHAnsi"/>
          <w:sz w:val="24"/>
          <w:lang w:val="pl-PL"/>
        </w:rPr>
        <w:t> </w:t>
      </w:r>
      <w:r w:rsidR="00E54130" w:rsidRPr="00ED0C6A">
        <w:rPr>
          <w:rFonts w:asciiTheme="minorHAnsi" w:hAnsiTheme="minorHAnsi"/>
          <w:sz w:val="24"/>
          <w:lang w:val="pl-PL"/>
        </w:rPr>
        <w:t>której</w:t>
      </w:r>
      <w:r w:rsidR="0040200C">
        <w:rPr>
          <w:rFonts w:asciiTheme="minorHAnsi" w:hAnsiTheme="minorHAnsi"/>
          <w:sz w:val="24"/>
          <w:lang w:val="pl-PL"/>
        </w:rPr>
        <w:t> </w:t>
      </w:r>
      <w:r w:rsidR="00E54130" w:rsidRPr="00ED0C6A">
        <w:rPr>
          <w:rFonts w:asciiTheme="minorHAnsi" w:hAnsiTheme="minorHAnsi"/>
          <w:sz w:val="24"/>
          <w:lang w:val="pl-PL"/>
        </w:rPr>
        <w:t xml:space="preserve">to </w:t>
      </w:r>
      <w:r w:rsidRPr="00ED0C6A">
        <w:rPr>
          <w:rFonts w:asciiTheme="minorHAnsi" w:hAnsiTheme="minorHAnsi"/>
          <w:sz w:val="24"/>
          <w:lang w:val="pl-PL"/>
        </w:rPr>
        <w:t xml:space="preserve">na skarżącego </w:t>
      </w:r>
      <w:r w:rsidR="00E54130" w:rsidRPr="00ED0C6A">
        <w:rPr>
          <w:rFonts w:asciiTheme="minorHAnsi" w:hAnsiTheme="minorHAnsi"/>
          <w:sz w:val="24"/>
          <w:lang w:val="pl-PL"/>
        </w:rPr>
        <w:t xml:space="preserve">nałożono </w:t>
      </w:r>
      <w:r w:rsidRPr="00ED0C6A">
        <w:rPr>
          <w:rFonts w:asciiTheme="minorHAnsi" w:hAnsiTheme="minorHAnsi"/>
          <w:sz w:val="24"/>
          <w:lang w:val="pl-PL"/>
        </w:rPr>
        <w:t xml:space="preserve">ciężar decydowania, bez możliwości skorzystania z rady obrońcy, czy ujawnić fakty, które nie były jeszcze odnotowane w aktach sprawy, </w:t>
      </w:r>
      <w:r w:rsidR="00E54130" w:rsidRPr="00ED0C6A">
        <w:rPr>
          <w:rFonts w:asciiTheme="minorHAnsi" w:hAnsiTheme="minorHAnsi"/>
          <w:sz w:val="24"/>
          <w:lang w:val="pl-PL"/>
        </w:rPr>
        <w:t>narażając go</w:t>
      </w:r>
      <w:r w:rsidR="0040200C">
        <w:rPr>
          <w:rFonts w:asciiTheme="minorHAnsi" w:hAnsiTheme="minorHAnsi"/>
          <w:sz w:val="24"/>
          <w:lang w:val="pl-PL"/>
        </w:rPr>
        <w:t> </w:t>
      </w:r>
      <w:r w:rsidR="00E54130" w:rsidRPr="00ED0C6A">
        <w:rPr>
          <w:rFonts w:asciiTheme="minorHAnsi" w:hAnsiTheme="minorHAnsi"/>
          <w:sz w:val="24"/>
          <w:lang w:val="pl-PL"/>
        </w:rPr>
        <w:t>w</w:t>
      </w:r>
      <w:r w:rsidR="00335B71">
        <w:rPr>
          <w:rFonts w:asciiTheme="minorHAnsi" w:hAnsiTheme="minorHAnsi"/>
          <w:sz w:val="24"/>
          <w:lang w:val="pl-PL"/>
        </w:rPr>
        <w:t> </w:t>
      </w:r>
      <w:r w:rsidR="00E54130" w:rsidRPr="00ED0C6A">
        <w:rPr>
          <w:rFonts w:asciiTheme="minorHAnsi" w:hAnsiTheme="minorHAnsi"/>
          <w:sz w:val="24"/>
          <w:lang w:val="pl-PL"/>
        </w:rPr>
        <w:t>związku z tym na ryzyko</w:t>
      </w:r>
      <w:r w:rsidRPr="00ED0C6A">
        <w:rPr>
          <w:rFonts w:asciiTheme="minorHAnsi" w:hAnsiTheme="minorHAnsi"/>
          <w:sz w:val="24"/>
          <w:lang w:val="pl-PL"/>
        </w:rPr>
        <w:t xml:space="preserve"> kolejnego ścigania, </w:t>
      </w:r>
      <w:r w:rsidR="00E54130" w:rsidRPr="00ED0C6A">
        <w:rPr>
          <w:rFonts w:asciiTheme="minorHAnsi" w:hAnsiTheme="minorHAnsi"/>
          <w:sz w:val="24"/>
          <w:lang w:val="pl-PL"/>
        </w:rPr>
        <w:t>którego ewentualne podjęcie było</w:t>
      </w:r>
      <w:r w:rsidR="0040200C">
        <w:rPr>
          <w:rFonts w:asciiTheme="minorHAnsi" w:hAnsiTheme="minorHAnsi"/>
          <w:sz w:val="24"/>
          <w:lang w:val="pl-PL"/>
        </w:rPr>
        <w:t> </w:t>
      </w:r>
      <w:r w:rsidR="00E54130" w:rsidRPr="00ED0C6A">
        <w:rPr>
          <w:rFonts w:asciiTheme="minorHAnsi" w:hAnsiTheme="minorHAnsi"/>
          <w:sz w:val="24"/>
          <w:lang w:val="pl-PL"/>
        </w:rPr>
        <w:t xml:space="preserve">uzależnione wyłącznie </w:t>
      </w:r>
      <w:r w:rsidRPr="00ED0C6A">
        <w:rPr>
          <w:rFonts w:asciiTheme="minorHAnsi" w:hAnsiTheme="minorHAnsi"/>
          <w:sz w:val="24"/>
          <w:lang w:val="pl-PL"/>
        </w:rPr>
        <w:t>o</w:t>
      </w:r>
      <w:r w:rsidR="00E54130" w:rsidRPr="00ED0C6A">
        <w:rPr>
          <w:rFonts w:asciiTheme="minorHAnsi" w:hAnsiTheme="minorHAnsi"/>
          <w:sz w:val="24"/>
          <w:lang w:val="pl-PL"/>
        </w:rPr>
        <w:t>d</w:t>
      </w:r>
      <w:r w:rsidRPr="00ED0C6A">
        <w:rPr>
          <w:rFonts w:asciiTheme="minorHAnsi" w:hAnsiTheme="minorHAnsi"/>
          <w:sz w:val="24"/>
          <w:lang w:val="pl-PL"/>
        </w:rPr>
        <w:t xml:space="preserve"> uznania Prokuratora Generalnego. Trybunał uznał, że</w:t>
      </w:r>
      <w:r w:rsidR="0040200C">
        <w:rPr>
          <w:rFonts w:asciiTheme="minorHAnsi" w:hAnsiTheme="minorHAnsi"/>
          <w:sz w:val="24"/>
          <w:lang w:val="pl-PL"/>
        </w:rPr>
        <w:t> </w:t>
      </w:r>
      <w:r w:rsidRPr="00ED0C6A">
        <w:rPr>
          <w:rFonts w:asciiTheme="minorHAnsi" w:hAnsiTheme="minorHAnsi"/>
          <w:sz w:val="24"/>
          <w:lang w:val="pl-PL"/>
        </w:rPr>
        <w:t>nie</w:t>
      </w:r>
      <w:r w:rsidR="0040200C">
        <w:rPr>
          <w:rFonts w:asciiTheme="minorHAnsi" w:hAnsiTheme="minorHAnsi"/>
          <w:sz w:val="24"/>
          <w:lang w:val="pl-PL"/>
        </w:rPr>
        <w:t> </w:t>
      </w:r>
      <w:r w:rsidRPr="00ED0C6A">
        <w:rPr>
          <w:rFonts w:asciiTheme="minorHAnsi" w:hAnsiTheme="minorHAnsi"/>
          <w:sz w:val="24"/>
          <w:lang w:val="pl-PL"/>
        </w:rPr>
        <w:t>można oczekiwać od</w:t>
      </w:r>
      <w:r w:rsidR="00335B71">
        <w:rPr>
          <w:rFonts w:asciiTheme="minorHAnsi" w:hAnsiTheme="minorHAnsi"/>
          <w:sz w:val="24"/>
          <w:lang w:val="pl-PL"/>
        </w:rPr>
        <w:t> </w:t>
      </w:r>
      <w:r w:rsidRPr="00ED0C6A">
        <w:rPr>
          <w:rFonts w:asciiTheme="minorHAnsi" w:hAnsiTheme="minorHAnsi"/>
          <w:sz w:val="24"/>
          <w:lang w:val="pl-PL"/>
        </w:rPr>
        <w:t>podejrzanego o poważne przestępstwa, by był on w stanie przeprowadzić – bez pomocy specjalisty – ocenę korzyści wynikających z pełnego ujawnienia swej sprawy obrońcy w</w:t>
      </w:r>
      <w:r w:rsidR="00335B71">
        <w:rPr>
          <w:rFonts w:asciiTheme="minorHAnsi" w:hAnsiTheme="minorHAnsi"/>
          <w:sz w:val="24"/>
          <w:lang w:val="pl-PL"/>
        </w:rPr>
        <w:t> </w:t>
      </w:r>
      <w:r w:rsidRPr="00ED0C6A">
        <w:rPr>
          <w:rFonts w:asciiTheme="minorHAnsi" w:hAnsiTheme="minorHAnsi"/>
          <w:sz w:val="24"/>
          <w:lang w:val="pl-PL"/>
        </w:rPr>
        <w:t>stosunku do zagrożenia ściganiem wynikającym z</w:t>
      </w:r>
      <w:r w:rsidR="00E54130" w:rsidRPr="00ED0C6A">
        <w:rPr>
          <w:rFonts w:asciiTheme="minorHAnsi" w:hAnsiTheme="minorHAnsi"/>
          <w:sz w:val="24"/>
          <w:lang w:val="pl-PL"/>
        </w:rPr>
        <w:t xml:space="preserve"> takiego czynu</w:t>
      </w:r>
      <w:r w:rsidRPr="00ED0C6A">
        <w:rPr>
          <w:rFonts w:asciiTheme="minorHAnsi" w:hAnsiTheme="minorHAnsi"/>
          <w:sz w:val="24"/>
          <w:lang w:val="pl-PL"/>
        </w:rPr>
        <w:t xml:space="preserve">. </w:t>
      </w:r>
    </w:p>
    <w:p w:rsidR="008A7D37" w:rsidRPr="00ED0C6A" w:rsidRDefault="008A7D37" w:rsidP="008A7D37">
      <w:pPr>
        <w:pStyle w:val="ClinContent"/>
        <w:spacing w:before="0"/>
        <w:rPr>
          <w:rFonts w:asciiTheme="minorHAnsi" w:hAnsiTheme="minorHAnsi"/>
          <w:sz w:val="24"/>
          <w:lang w:val="pl-PL"/>
        </w:rPr>
      </w:pPr>
    </w:p>
    <w:p w:rsidR="008A7D37" w:rsidRPr="00ED0C6A" w:rsidRDefault="008A7D37" w:rsidP="008A7D37">
      <w:pPr>
        <w:pStyle w:val="ClinContent"/>
        <w:spacing w:before="0"/>
        <w:rPr>
          <w:rFonts w:asciiTheme="minorHAnsi" w:hAnsiTheme="minorHAnsi"/>
          <w:sz w:val="24"/>
          <w:lang w:val="pl-PL"/>
        </w:rPr>
      </w:pPr>
      <w:r w:rsidRPr="00ED0C6A">
        <w:rPr>
          <w:rFonts w:asciiTheme="minorHAnsi" w:hAnsiTheme="minorHAnsi"/>
          <w:sz w:val="24"/>
          <w:lang w:val="pl-PL"/>
        </w:rPr>
        <w:t xml:space="preserve">W tych okolicznościach rzetelność postępowania została nieodwracalnie </w:t>
      </w:r>
      <w:r w:rsidR="00E54130" w:rsidRPr="00ED0C6A">
        <w:rPr>
          <w:rFonts w:asciiTheme="minorHAnsi" w:hAnsiTheme="minorHAnsi"/>
          <w:sz w:val="24"/>
          <w:lang w:val="pl-PL"/>
        </w:rPr>
        <w:t>naruszona</w:t>
      </w:r>
      <w:r w:rsidRPr="00ED0C6A">
        <w:rPr>
          <w:rFonts w:asciiTheme="minorHAnsi" w:hAnsiTheme="minorHAnsi"/>
          <w:sz w:val="24"/>
          <w:lang w:val="pl-PL"/>
        </w:rPr>
        <w:t xml:space="preserve"> poprzez ingerencję w </w:t>
      </w:r>
      <w:r w:rsidR="00E54130" w:rsidRPr="00ED0C6A">
        <w:rPr>
          <w:rFonts w:asciiTheme="minorHAnsi" w:hAnsiTheme="minorHAnsi"/>
          <w:sz w:val="24"/>
          <w:lang w:val="pl-PL"/>
        </w:rPr>
        <w:t>komunikację</w:t>
      </w:r>
      <w:r w:rsidRPr="00ED0C6A">
        <w:rPr>
          <w:rFonts w:asciiTheme="minorHAnsi" w:hAnsiTheme="minorHAnsi"/>
          <w:sz w:val="24"/>
          <w:lang w:val="pl-PL"/>
        </w:rPr>
        <w:t xml:space="preserve"> między skarżącym a jego obrońcą. Trybunał jednomyślnie stwierdził, że doszło do naruszenia prawa do rzetelnego procesu i prawa do bronienia się</w:t>
      </w:r>
      <w:r w:rsidR="00335B71">
        <w:rPr>
          <w:rFonts w:asciiTheme="minorHAnsi" w:hAnsiTheme="minorHAnsi"/>
          <w:sz w:val="24"/>
          <w:lang w:val="pl-PL"/>
        </w:rPr>
        <w:t> </w:t>
      </w:r>
      <w:r w:rsidRPr="00ED0C6A">
        <w:rPr>
          <w:rFonts w:asciiTheme="minorHAnsi" w:hAnsiTheme="minorHAnsi"/>
          <w:sz w:val="24"/>
          <w:lang w:val="pl-PL"/>
        </w:rPr>
        <w:t>przez ustanowionego obrońcę gwarantowanych art. 6 ust. 1 i ust. 3 lit. c Konwencji.</w:t>
      </w:r>
    </w:p>
    <w:p w:rsidR="008A7D37" w:rsidRPr="00ED0C6A" w:rsidRDefault="008A7D37" w:rsidP="008A7D37">
      <w:pPr>
        <w:pStyle w:val="ClinContent"/>
        <w:spacing w:before="0"/>
        <w:rPr>
          <w:rFonts w:asciiTheme="minorHAnsi" w:hAnsiTheme="minorHAnsi"/>
          <w:sz w:val="24"/>
          <w:lang w:val="pl-PL"/>
        </w:rPr>
      </w:pPr>
    </w:p>
    <w:p w:rsidR="00BC0AD8" w:rsidRPr="00ED0C6A" w:rsidRDefault="00F04F54" w:rsidP="00380783">
      <w:pPr>
        <w:pStyle w:val="ClinContent"/>
        <w:spacing w:before="0"/>
        <w:rPr>
          <w:rFonts w:asciiTheme="minorHAnsi" w:hAnsiTheme="minorHAnsi"/>
          <w:sz w:val="24"/>
          <w:lang w:val="pl-PL"/>
        </w:rPr>
      </w:pPr>
      <w:r w:rsidRPr="00ED0C6A">
        <w:rPr>
          <w:rFonts w:asciiTheme="minorHAnsi" w:hAnsiTheme="minorHAnsi"/>
          <w:sz w:val="24"/>
          <w:lang w:val="pl-PL"/>
        </w:rPr>
        <w:t>Trybunał uznał również, że przeprowadzenie nowego</w:t>
      </w:r>
      <w:r w:rsidR="00BC0AD8" w:rsidRPr="00ED0C6A">
        <w:rPr>
          <w:rFonts w:asciiTheme="minorHAnsi" w:hAnsiTheme="minorHAnsi"/>
          <w:sz w:val="24"/>
          <w:lang w:val="pl-PL"/>
        </w:rPr>
        <w:t xml:space="preserve"> proces</w:t>
      </w:r>
      <w:r w:rsidRPr="00ED0C6A">
        <w:rPr>
          <w:rFonts w:asciiTheme="minorHAnsi" w:hAnsiTheme="minorHAnsi"/>
          <w:sz w:val="24"/>
          <w:lang w:val="pl-PL"/>
        </w:rPr>
        <w:t>u</w:t>
      </w:r>
      <w:r w:rsidR="00BC0AD8" w:rsidRPr="00ED0C6A">
        <w:rPr>
          <w:rFonts w:asciiTheme="minorHAnsi" w:hAnsiTheme="minorHAnsi"/>
          <w:sz w:val="24"/>
          <w:lang w:val="pl-PL"/>
        </w:rPr>
        <w:t xml:space="preserve"> lub wznowienie postępowania krajowego na wniosek skarżącego stanowi</w:t>
      </w:r>
      <w:r w:rsidRPr="00ED0C6A">
        <w:rPr>
          <w:rFonts w:asciiTheme="minorHAnsi" w:hAnsiTheme="minorHAnsi"/>
          <w:sz w:val="24"/>
          <w:lang w:val="pl-PL"/>
        </w:rPr>
        <w:t>ć będzie odpowiedni</w:t>
      </w:r>
      <w:r w:rsidR="00BC0AD8" w:rsidRPr="00ED0C6A">
        <w:rPr>
          <w:rFonts w:asciiTheme="minorHAnsi" w:hAnsiTheme="minorHAnsi"/>
          <w:sz w:val="24"/>
          <w:lang w:val="pl-PL"/>
        </w:rPr>
        <w:t xml:space="preserve"> środek naprawienia </w:t>
      </w:r>
      <w:r w:rsidRPr="00ED0C6A">
        <w:rPr>
          <w:rFonts w:asciiTheme="minorHAnsi" w:hAnsiTheme="minorHAnsi"/>
          <w:sz w:val="24"/>
          <w:lang w:val="pl-PL"/>
        </w:rPr>
        <w:t xml:space="preserve">stwierdzonego </w:t>
      </w:r>
      <w:r w:rsidR="00BC0AD8" w:rsidRPr="00ED0C6A">
        <w:rPr>
          <w:rFonts w:asciiTheme="minorHAnsi" w:hAnsiTheme="minorHAnsi"/>
          <w:sz w:val="24"/>
          <w:lang w:val="pl-PL"/>
        </w:rPr>
        <w:t>naruszenia</w:t>
      </w:r>
      <w:r w:rsidRPr="00ED0C6A">
        <w:rPr>
          <w:rFonts w:asciiTheme="minorHAnsi" w:hAnsiTheme="minorHAnsi"/>
          <w:sz w:val="24"/>
          <w:lang w:val="pl-PL"/>
        </w:rPr>
        <w:t>. S</w:t>
      </w:r>
      <w:r w:rsidR="00BC0AD8" w:rsidRPr="00ED0C6A">
        <w:rPr>
          <w:rFonts w:asciiTheme="minorHAnsi" w:hAnsiTheme="minorHAnsi"/>
          <w:sz w:val="24"/>
          <w:lang w:val="pl-PL"/>
        </w:rPr>
        <w:t xml:space="preserve">twierdzenie naruszenia stanowi </w:t>
      </w:r>
      <w:r w:rsidRPr="00ED0C6A">
        <w:rPr>
          <w:rFonts w:asciiTheme="minorHAnsi" w:hAnsiTheme="minorHAnsi"/>
          <w:sz w:val="24"/>
          <w:lang w:val="pl-PL"/>
        </w:rPr>
        <w:t xml:space="preserve">natomiast </w:t>
      </w:r>
      <w:r w:rsidR="00BC0AD8" w:rsidRPr="00ED0C6A">
        <w:rPr>
          <w:rFonts w:asciiTheme="minorHAnsi" w:hAnsiTheme="minorHAnsi"/>
          <w:sz w:val="24"/>
          <w:lang w:val="pl-PL"/>
        </w:rPr>
        <w:t>samo w sobie wystarczające słuszne zadośćuczynienie w odniesieniu do szkody niemajątkowej.</w:t>
      </w:r>
    </w:p>
    <w:p w:rsidR="00756E08" w:rsidRPr="00ED0C6A" w:rsidRDefault="00756E08" w:rsidP="00380783">
      <w:pPr>
        <w:pStyle w:val="ClinContent"/>
        <w:spacing w:before="0"/>
        <w:rPr>
          <w:rFonts w:asciiTheme="minorHAnsi" w:hAnsiTheme="minorHAnsi"/>
          <w:sz w:val="24"/>
          <w:lang w:val="pl-PL"/>
        </w:rPr>
      </w:pPr>
    </w:p>
    <w:p w:rsidR="007C5D0A" w:rsidRPr="00ED0C6A" w:rsidRDefault="007C5D0A" w:rsidP="00380783">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istotny wyrok Trybunału dotyczący poszanowania prawa do</w:t>
      </w:r>
      <w:r w:rsidR="00335B71">
        <w:rPr>
          <w:rFonts w:asciiTheme="minorHAnsi" w:hAnsiTheme="minorHAnsi"/>
          <w:sz w:val="24"/>
          <w:lang w:val="pl-PL"/>
        </w:rPr>
        <w:t> </w:t>
      </w:r>
      <w:r w:rsidRPr="00ED0C6A">
        <w:rPr>
          <w:rFonts w:asciiTheme="minorHAnsi" w:hAnsiTheme="minorHAnsi"/>
          <w:sz w:val="24"/>
          <w:lang w:val="pl-PL"/>
        </w:rPr>
        <w:t>porozumienia się oskarżonego ze swym obrońcą.</w:t>
      </w:r>
      <w:r w:rsidR="00EB0DD3" w:rsidRPr="00ED0C6A">
        <w:rPr>
          <w:rFonts w:asciiTheme="minorHAnsi" w:hAnsiTheme="minorHAnsi"/>
          <w:sz w:val="24"/>
          <w:lang w:val="pl-PL"/>
        </w:rPr>
        <w:t xml:space="preserve"> Wynika z niego, że poszanowana powinna być nie tylko poufność kontaktów, ale także swoboda porozumie</w:t>
      </w:r>
      <w:r w:rsidR="008212F5" w:rsidRPr="00ED0C6A">
        <w:rPr>
          <w:rFonts w:asciiTheme="minorHAnsi" w:hAnsiTheme="minorHAnsi"/>
          <w:sz w:val="24"/>
          <w:lang w:val="pl-PL"/>
        </w:rPr>
        <w:t>wa</w:t>
      </w:r>
      <w:r w:rsidR="00EB0DD3" w:rsidRPr="00ED0C6A">
        <w:rPr>
          <w:rFonts w:asciiTheme="minorHAnsi" w:hAnsiTheme="minorHAnsi"/>
          <w:sz w:val="24"/>
          <w:lang w:val="pl-PL"/>
        </w:rPr>
        <w:t>nia się i</w:t>
      </w:r>
      <w:r w:rsidR="00335B71">
        <w:rPr>
          <w:rFonts w:asciiTheme="minorHAnsi" w:hAnsiTheme="minorHAnsi"/>
          <w:sz w:val="24"/>
          <w:lang w:val="pl-PL"/>
        </w:rPr>
        <w:t> </w:t>
      </w:r>
      <w:r w:rsidR="00EB0DD3" w:rsidRPr="00ED0C6A">
        <w:rPr>
          <w:rFonts w:asciiTheme="minorHAnsi" w:hAnsiTheme="minorHAnsi"/>
          <w:sz w:val="24"/>
          <w:lang w:val="pl-PL"/>
        </w:rPr>
        <w:t>przekazywania obrońcy informacji dla sformułowania linii obrony.</w:t>
      </w:r>
      <w:r w:rsidRPr="00ED0C6A">
        <w:rPr>
          <w:rFonts w:asciiTheme="minorHAnsi" w:hAnsiTheme="minorHAnsi"/>
          <w:sz w:val="24"/>
          <w:lang w:val="pl-PL"/>
        </w:rPr>
        <w:t xml:space="preserve"> Nałożone ograniczenia na przekazywanie przez oskarżonego swemu obrońcy informacji </w:t>
      </w:r>
      <w:r w:rsidR="00EB0DD3" w:rsidRPr="00ED0C6A">
        <w:rPr>
          <w:rFonts w:asciiTheme="minorHAnsi" w:hAnsiTheme="minorHAnsi"/>
          <w:sz w:val="24"/>
          <w:lang w:val="pl-PL"/>
        </w:rPr>
        <w:t>niejawnych</w:t>
      </w:r>
      <w:r w:rsidRPr="00ED0C6A">
        <w:rPr>
          <w:rFonts w:asciiTheme="minorHAnsi" w:hAnsiTheme="minorHAnsi"/>
          <w:sz w:val="24"/>
          <w:lang w:val="pl-PL"/>
        </w:rPr>
        <w:t xml:space="preserve"> skutkowało w</w:t>
      </w:r>
      <w:r w:rsidR="00335B71">
        <w:rPr>
          <w:rFonts w:asciiTheme="minorHAnsi" w:hAnsiTheme="minorHAnsi"/>
          <w:sz w:val="24"/>
          <w:lang w:val="pl-PL"/>
        </w:rPr>
        <w:t> </w:t>
      </w:r>
      <w:r w:rsidRPr="00ED0C6A">
        <w:rPr>
          <w:rFonts w:asciiTheme="minorHAnsi" w:hAnsiTheme="minorHAnsi"/>
          <w:sz w:val="24"/>
          <w:lang w:val="pl-PL"/>
        </w:rPr>
        <w:t xml:space="preserve">przedmiotowej sprawie nieodwracalnym podważeniem prawa do rzetelnego procesu sądowego. </w:t>
      </w:r>
      <w:r w:rsidR="00EB0DD3" w:rsidRPr="00ED0C6A">
        <w:rPr>
          <w:rFonts w:asciiTheme="minorHAnsi" w:hAnsiTheme="minorHAnsi"/>
          <w:sz w:val="24"/>
          <w:lang w:val="pl-PL"/>
        </w:rPr>
        <w:t xml:space="preserve">Trybunał rozpatrywał także inne skutki </w:t>
      </w:r>
      <w:r w:rsidR="0058208E" w:rsidRPr="00ED0C6A">
        <w:rPr>
          <w:rFonts w:asciiTheme="minorHAnsi" w:hAnsiTheme="minorHAnsi"/>
          <w:sz w:val="24"/>
          <w:lang w:val="pl-PL"/>
        </w:rPr>
        <w:t xml:space="preserve">– </w:t>
      </w:r>
      <w:r w:rsidR="00EB0DD3" w:rsidRPr="00ED0C6A">
        <w:rPr>
          <w:rFonts w:asciiTheme="minorHAnsi" w:hAnsiTheme="minorHAnsi"/>
          <w:sz w:val="24"/>
          <w:lang w:val="pl-PL"/>
        </w:rPr>
        <w:t xml:space="preserve">dla prawa do obrony </w:t>
      </w:r>
      <w:r w:rsidR="0058208E" w:rsidRPr="00ED0C6A">
        <w:rPr>
          <w:rFonts w:asciiTheme="minorHAnsi" w:hAnsiTheme="minorHAnsi"/>
          <w:sz w:val="24"/>
          <w:lang w:val="pl-PL"/>
        </w:rPr>
        <w:t xml:space="preserve">– </w:t>
      </w:r>
      <w:r w:rsidR="00EB0DD3" w:rsidRPr="00ED0C6A">
        <w:rPr>
          <w:rFonts w:asciiTheme="minorHAnsi" w:hAnsiTheme="minorHAnsi"/>
          <w:sz w:val="24"/>
          <w:lang w:val="pl-PL"/>
        </w:rPr>
        <w:t>ograniczeń wynikających z dostęp</w:t>
      </w:r>
      <w:r w:rsidR="0058208E" w:rsidRPr="00ED0C6A">
        <w:rPr>
          <w:rFonts w:asciiTheme="minorHAnsi" w:hAnsiTheme="minorHAnsi"/>
          <w:sz w:val="24"/>
          <w:lang w:val="pl-PL"/>
        </w:rPr>
        <w:t>u</w:t>
      </w:r>
      <w:r w:rsidR="00EB0DD3" w:rsidRPr="00ED0C6A">
        <w:rPr>
          <w:rFonts w:asciiTheme="minorHAnsi" w:hAnsiTheme="minorHAnsi"/>
          <w:sz w:val="24"/>
          <w:lang w:val="pl-PL"/>
        </w:rPr>
        <w:t xml:space="preserve"> skarżącego do dowodów o charakterze niejawnym, a</w:t>
      </w:r>
      <w:r w:rsidR="00335B71">
        <w:rPr>
          <w:rFonts w:asciiTheme="minorHAnsi" w:hAnsiTheme="minorHAnsi"/>
          <w:sz w:val="24"/>
          <w:lang w:val="pl-PL"/>
        </w:rPr>
        <w:t> </w:t>
      </w:r>
      <w:r w:rsidR="00EB0DD3" w:rsidRPr="00ED0C6A">
        <w:rPr>
          <w:rFonts w:asciiTheme="minorHAnsi" w:hAnsiTheme="minorHAnsi"/>
          <w:sz w:val="24"/>
          <w:lang w:val="pl-PL"/>
        </w:rPr>
        <w:t>także</w:t>
      </w:r>
      <w:r w:rsidR="00335B71">
        <w:rPr>
          <w:rFonts w:asciiTheme="minorHAnsi" w:hAnsiTheme="minorHAnsi"/>
          <w:sz w:val="24"/>
          <w:lang w:val="pl-PL"/>
        </w:rPr>
        <w:t> </w:t>
      </w:r>
      <w:r w:rsidR="00EB0DD3" w:rsidRPr="00ED0C6A">
        <w:rPr>
          <w:rFonts w:asciiTheme="minorHAnsi" w:hAnsiTheme="minorHAnsi"/>
          <w:sz w:val="24"/>
          <w:lang w:val="pl-PL"/>
        </w:rPr>
        <w:t>warunków dopuszczania i przeprowadzania przez sąd takich dowodów. Z wyroku wynika, że pewne ograniczenia mogą być dopuszczalne, jeśli nie podważają ogólnie rzetelności postępowania, w tym środki takie jak przesłuchiwanie świadków ze służby wywiadu w sposób uniemożliwiający ich identyfikację, udostępnianie niejawnych dokumentów w formie przeredagowanej, jeśli w istocie nie ogranicza to skuteczności obrony. Trybunał nie wykluczył, że ograniczenia w powoływaniu się na argumenty przed</w:t>
      </w:r>
      <w:r w:rsidR="00335B71">
        <w:rPr>
          <w:rFonts w:asciiTheme="minorHAnsi" w:hAnsiTheme="minorHAnsi"/>
          <w:sz w:val="24"/>
          <w:lang w:val="pl-PL"/>
        </w:rPr>
        <w:t> </w:t>
      </w:r>
      <w:r w:rsidR="00EB0DD3" w:rsidRPr="00ED0C6A">
        <w:rPr>
          <w:rFonts w:asciiTheme="minorHAnsi" w:hAnsiTheme="minorHAnsi"/>
          <w:sz w:val="24"/>
          <w:lang w:val="pl-PL"/>
        </w:rPr>
        <w:t>sądem wynikające z obowiązku ochrony informacji niejawnych przez oskarżonego mogą też być objęte kontrolą Trybunału, choć w obecnej sprawie Trybunał nie zbadał tego</w:t>
      </w:r>
      <w:r w:rsidR="00335B71">
        <w:rPr>
          <w:rFonts w:asciiTheme="minorHAnsi" w:hAnsiTheme="minorHAnsi"/>
          <w:sz w:val="24"/>
          <w:lang w:val="pl-PL"/>
        </w:rPr>
        <w:t> </w:t>
      </w:r>
      <w:r w:rsidR="00EB0DD3" w:rsidRPr="00ED0C6A">
        <w:rPr>
          <w:rFonts w:asciiTheme="minorHAnsi" w:hAnsiTheme="minorHAnsi"/>
          <w:sz w:val="24"/>
          <w:lang w:val="pl-PL"/>
        </w:rPr>
        <w:t>wątku.</w:t>
      </w:r>
    </w:p>
    <w:p w:rsidR="00EB0DD3" w:rsidRPr="00ED0C6A" w:rsidRDefault="00EB0DD3" w:rsidP="00380783">
      <w:pPr>
        <w:pStyle w:val="ClinContent"/>
        <w:spacing w:before="0"/>
        <w:rPr>
          <w:rFonts w:asciiTheme="minorHAnsi" w:hAnsiTheme="minorHAnsi"/>
          <w:sz w:val="24"/>
          <w:lang w:val="pl-PL"/>
        </w:rPr>
      </w:pPr>
    </w:p>
    <w:p w:rsidR="00EB0DD3" w:rsidRPr="00ED0C6A" w:rsidRDefault="00EB0DD3"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Wyrok może mieć znaczenie </w:t>
      </w:r>
      <w:r w:rsidR="00D83C1A" w:rsidRPr="00ED0C6A">
        <w:rPr>
          <w:rFonts w:asciiTheme="minorHAnsi" w:hAnsiTheme="minorHAnsi"/>
          <w:sz w:val="24"/>
          <w:lang w:val="pl-PL"/>
        </w:rPr>
        <w:t xml:space="preserve">zwłaszcza </w:t>
      </w:r>
      <w:r w:rsidRPr="00ED0C6A">
        <w:rPr>
          <w:rFonts w:asciiTheme="minorHAnsi" w:hAnsiTheme="minorHAnsi"/>
          <w:sz w:val="24"/>
          <w:lang w:val="pl-PL"/>
        </w:rPr>
        <w:t>dla organów</w:t>
      </w:r>
      <w:r w:rsidR="00837491" w:rsidRPr="00ED0C6A">
        <w:rPr>
          <w:rFonts w:asciiTheme="minorHAnsi" w:hAnsiTheme="minorHAnsi"/>
          <w:sz w:val="24"/>
          <w:lang w:val="pl-PL"/>
        </w:rPr>
        <w:t xml:space="preserve"> właściwych ds. uregulowań prawnych i</w:t>
      </w:r>
      <w:r w:rsidR="00335B71">
        <w:rPr>
          <w:rFonts w:asciiTheme="minorHAnsi" w:hAnsiTheme="minorHAnsi"/>
          <w:sz w:val="24"/>
          <w:lang w:val="pl-PL"/>
        </w:rPr>
        <w:t> </w:t>
      </w:r>
      <w:r w:rsidR="00837491" w:rsidRPr="00ED0C6A">
        <w:rPr>
          <w:rFonts w:asciiTheme="minorHAnsi" w:hAnsiTheme="minorHAnsi"/>
          <w:sz w:val="24"/>
          <w:lang w:val="pl-PL"/>
        </w:rPr>
        <w:t>kontroli prawa</w:t>
      </w:r>
      <w:r w:rsidRPr="00ED0C6A">
        <w:rPr>
          <w:rFonts w:asciiTheme="minorHAnsi" w:hAnsiTheme="minorHAnsi"/>
          <w:sz w:val="24"/>
          <w:lang w:val="pl-PL"/>
        </w:rPr>
        <w:t xml:space="preserve"> w zakresie ochrony informacji niejawnych i dostępu do niej w toku postępowań karnych, a także </w:t>
      </w:r>
      <w:r w:rsidR="00EE04F4" w:rsidRPr="00ED0C6A">
        <w:rPr>
          <w:rFonts w:asciiTheme="minorHAnsi" w:hAnsiTheme="minorHAnsi"/>
          <w:sz w:val="24"/>
          <w:lang w:val="pl-PL"/>
        </w:rPr>
        <w:t xml:space="preserve">dla </w:t>
      </w:r>
      <w:r w:rsidRPr="00ED0C6A">
        <w:rPr>
          <w:rFonts w:asciiTheme="minorHAnsi" w:hAnsiTheme="minorHAnsi"/>
          <w:sz w:val="24"/>
          <w:lang w:val="pl-PL"/>
        </w:rPr>
        <w:t>stosujących to prawo sądów, służb i innych organów, a</w:t>
      </w:r>
      <w:r w:rsidR="00335B71">
        <w:rPr>
          <w:rFonts w:asciiTheme="minorHAnsi" w:hAnsiTheme="minorHAnsi"/>
          <w:sz w:val="24"/>
          <w:lang w:val="pl-PL"/>
        </w:rPr>
        <w:t> </w:t>
      </w:r>
      <w:r w:rsidRPr="00ED0C6A">
        <w:rPr>
          <w:rFonts w:asciiTheme="minorHAnsi" w:hAnsiTheme="minorHAnsi"/>
          <w:sz w:val="24"/>
          <w:lang w:val="pl-PL"/>
        </w:rPr>
        <w:t xml:space="preserve">także dla zawodów prawniczych (adwokatów i radców prawnych). </w:t>
      </w:r>
    </w:p>
    <w:p w:rsidR="00044A0A" w:rsidRPr="00ED0C6A" w:rsidRDefault="00044A0A" w:rsidP="009333A7">
      <w:pPr>
        <w:pStyle w:val="Nagwek2"/>
        <w:spacing w:before="480"/>
        <w:rPr>
          <w:rFonts w:asciiTheme="minorHAnsi" w:hAnsiTheme="minorHAnsi"/>
          <w:color w:val="auto"/>
          <w:sz w:val="24"/>
          <w:szCs w:val="24"/>
        </w:rPr>
      </w:pPr>
      <w:bookmarkStart w:id="21" w:name="_Toc524696737"/>
      <w:proofErr w:type="spellStart"/>
      <w:r w:rsidRPr="00ED0C6A">
        <w:rPr>
          <w:rFonts w:asciiTheme="minorHAnsi" w:hAnsiTheme="minorHAnsi"/>
          <w:color w:val="auto"/>
          <w:sz w:val="24"/>
          <w:szCs w:val="24"/>
        </w:rPr>
        <w:t>Medžlis</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Islamske</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Zajednice</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Brčko</w:t>
      </w:r>
      <w:proofErr w:type="spellEnd"/>
      <w:r w:rsidRPr="00ED0C6A">
        <w:rPr>
          <w:rFonts w:asciiTheme="minorHAnsi" w:hAnsiTheme="minorHAnsi"/>
          <w:color w:val="auto"/>
          <w:sz w:val="24"/>
          <w:szCs w:val="24"/>
        </w:rPr>
        <w:t xml:space="preserve"> i Inni p. Bośni i Hercegowinie</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17224/11</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133FDE"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 27</w:t>
      </w:r>
      <w:r w:rsidR="00B4260D" w:rsidRPr="00ED0C6A">
        <w:rPr>
          <w:rFonts w:asciiTheme="minorHAnsi" w:hAnsiTheme="minorHAnsi"/>
          <w:color w:val="auto"/>
          <w:sz w:val="24"/>
          <w:szCs w:val="24"/>
        </w:rPr>
        <w:t xml:space="preserve"> czerwca </w:t>
      </w:r>
      <w:r w:rsidRPr="00ED0C6A">
        <w:rPr>
          <w:rFonts w:asciiTheme="minorHAnsi" w:hAnsiTheme="minorHAnsi"/>
          <w:color w:val="auto"/>
          <w:sz w:val="24"/>
          <w:szCs w:val="24"/>
        </w:rPr>
        <w:t xml:space="preserve">2017 </w:t>
      </w:r>
      <w:r w:rsidR="00133FDE" w:rsidRPr="00ED0C6A">
        <w:rPr>
          <w:rFonts w:asciiTheme="minorHAnsi" w:hAnsiTheme="minorHAnsi"/>
          <w:color w:val="auto"/>
          <w:sz w:val="24"/>
          <w:szCs w:val="24"/>
        </w:rPr>
        <w:t>r.</w:t>
      </w:r>
      <w:r w:rsidR="00586E7E" w:rsidRPr="00ED0C6A">
        <w:rPr>
          <w:rFonts w:asciiTheme="minorHAnsi" w:hAnsiTheme="minorHAnsi"/>
          <w:color w:val="auto"/>
          <w:sz w:val="24"/>
          <w:szCs w:val="24"/>
        </w:rPr>
        <w:t>, ostateczny</w:t>
      </w:r>
      <w:bookmarkEnd w:id="21"/>
      <w:r w:rsidR="00133FDE" w:rsidRPr="00ED0C6A">
        <w:rPr>
          <w:rFonts w:asciiTheme="minorHAnsi" w:hAnsiTheme="minorHAnsi"/>
          <w:color w:val="auto"/>
          <w:sz w:val="24"/>
          <w:szCs w:val="24"/>
        </w:rPr>
        <w:t xml:space="preserve"> </w:t>
      </w:r>
    </w:p>
    <w:p w:rsidR="00044A0A" w:rsidRPr="00ED0C6A" w:rsidRDefault="00044A0A"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brak naruszenia </w:t>
      </w:r>
      <w:r w:rsidR="002E5778" w:rsidRPr="00ED0C6A">
        <w:rPr>
          <w:b/>
          <w:color w:val="000000" w:themeColor="text1"/>
          <w:sz w:val="24"/>
          <w:szCs w:val="24"/>
          <w:lang w:val="pl-PL"/>
        </w:rPr>
        <w:t xml:space="preserve">art. 10 </w:t>
      </w:r>
      <w:r w:rsidR="003B7D6C" w:rsidRPr="00ED0C6A">
        <w:rPr>
          <w:b/>
          <w:color w:val="000000" w:themeColor="text1"/>
          <w:sz w:val="24"/>
          <w:szCs w:val="24"/>
          <w:lang w:val="pl-PL"/>
        </w:rPr>
        <w:t>Konwencji (wolność wyrażania opinii) w odniesieniu do</w:t>
      </w:r>
      <w:r w:rsidR="00335B71">
        <w:rPr>
          <w:b/>
          <w:color w:val="000000" w:themeColor="text1"/>
          <w:sz w:val="24"/>
          <w:szCs w:val="24"/>
          <w:lang w:val="pl-PL"/>
        </w:rPr>
        <w:t> </w:t>
      </w:r>
      <w:r w:rsidR="003B7D6C" w:rsidRPr="00ED0C6A">
        <w:rPr>
          <w:b/>
          <w:color w:val="000000" w:themeColor="text1"/>
          <w:sz w:val="24"/>
          <w:szCs w:val="24"/>
          <w:lang w:val="pl-PL"/>
        </w:rPr>
        <w:t>zobowiązania organizacji pozarządowych do zweryfikowania oświadczeń na temat faktów zniesławiających osoby prywatne</w:t>
      </w: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Skarżący, muzułmańska wspólnota religijna oraz trzy organizacje pozarządowe etnicznych Bośniaków w dystrykcie </w:t>
      </w:r>
      <w:proofErr w:type="spellStart"/>
      <w:r w:rsidRPr="00ED0C6A">
        <w:rPr>
          <w:rFonts w:asciiTheme="minorHAnsi" w:hAnsiTheme="minorHAnsi"/>
          <w:sz w:val="24"/>
          <w:lang w:val="pl-PL"/>
        </w:rPr>
        <w:t>Brčko</w:t>
      </w:r>
      <w:proofErr w:type="spellEnd"/>
      <w:r w:rsidRPr="00ED0C6A">
        <w:rPr>
          <w:rFonts w:asciiTheme="minorHAnsi" w:hAnsiTheme="minorHAnsi"/>
          <w:sz w:val="24"/>
          <w:lang w:val="pl-PL"/>
        </w:rPr>
        <w:t>, wysłali list do najwyższych władz dystryktu, wyrażając swoje zaniepokojenie procedurą powołania dyrektora publicznej wieloetnicznej stacji radiowej i</w:t>
      </w:r>
      <w:r w:rsidR="00335B71">
        <w:rPr>
          <w:rFonts w:asciiTheme="minorHAnsi" w:hAnsiTheme="minorHAnsi"/>
          <w:sz w:val="24"/>
          <w:lang w:val="pl-PL"/>
        </w:rPr>
        <w:t> </w:t>
      </w:r>
      <w:r w:rsidRPr="00ED0C6A">
        <w:rPr>
          <w:rFonts w:asciiTheme="minorHAnsi" w:hAnsiTheme="minorHAnsi"/>
          <w:sz w:val="24"/>
          <w:lang w:val="pl-PL"/>
        </w:rPr>
        <w:t>zarzucając, że redaktor tej stacji, która została zaproponowana na stanowisko dyrektora, prowadziła działania, które były obraźliwe dla muzułmanów i etnicznych Bośniaków. Wkrótce potem list został opublikowany w trzech różnych dziennikach. Redaktor wytoczyła postępowanie cywilne o zniesławienie. Uznano, że skarżący ponoszą odpowiedzialność za</w:t>
      </w:r>
      <w:r w:rsidR="00335B71">
        <w:rPr>
          <w:rFonts w:asciiTheme="minorHAnsi" w:hAnsiTheme="minorHAnsi"/>
          <w:sz w:val="24"/>
          <w:lang w:val="pl-PL"/>
        </w:rPr>
        <w:t> </w:t>
      </w:r>
      <w:r w:rsidRPr="00ED0C6A">
        <w:rPr>
          <w:rFonts w:asciiTheme="minorHAnsi" w:hAnsiTheme="minorHAnsi"/>
          <w:sz w:val="24"/>
          <w:lang w:val="pl-PL"/>
        </w:rPr>
        <w:t xml:space="preserve">zniesławienie i nakazano im wycofanie listu, w przeciwnym razie mieliby zapłacić odszkodowanie za szkodę niemajątkową.   </w:t>
      </w:r>
    </w:p>
    <w:p w:rsidR="00756E08" w:rsidRPr="00ED0C6A" w:rsidRDefault="00756E08" w:rsidP="00380783">
      <w:pPr>
        <w:pStyle w:val="ClinContent"/>
        <w:spacing w:before="0"/>
        <w:rPr>
          <w:rFonts w:asciiTheme="minorHAnsi" w:hAnsiTheme="minorHAnsi"/>
          <w:sz w:val="24"/>
          <w:lang w:val="pl-PL"/>
        </w:rPr>
      </w:pPr>
    </w:p>
    <w:p w:rsidR="00756E08"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Przed Trybunałem skarżący zarzucali, że ukaranie ich stanowiło naruszenie ich prawa do</w:t>
      </w:r>
      <w:r w:rsidR="00335B71">
        <w:rPr>
          <w:rFonts w:asciiTheme="minorHAnsi" w:hAnsiTheme="minorHAnsi"/>
          <w:sz w:val="24"/>
          <w:lang w:val="pl-PL"/>
        </w:rPr>
        <w:t> </w:t>
      </w:r>
      <w:r w:rsidRPr="00ED0C6A">
        <w:rPr>
          <w:rFonts w:asciiTheme="minorHAnsi" w:hAnsiTheme="minorHAnsi"/>
          <w:sz w:val="24"/>
          <w:lang w:val="pl-PL"/>
        </w:rPr>
        <w:t>wolności wyrażania opinii gwarantowanego przez art. 10 Konwencji.</w:t>
      </w: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044A0A" w:rsidRPr="00ED0C6A" w:rsidRDefault="00756E08" w:rsidP="00380783">
      <w:pPr>
        <w:pStyle w:val="ClinContent"/>
        <w:spacing w:before="0"/>
        <w:rPr>
          <w:rFonts w:asciiTheme="minorHAnsi" w:hAnsiTheme="minorHAnsi"/>
          <w:sz w:val="24"/>
          <w:lang w:val="pl-PL"/>
        </w:rPr>
      </w:pPr>
      <w:r w:rsidRPr="00ED0C6A">
        <w:rPr>
          <w:rFonts w:asciiTheme="minorHAnsi" w:hAnsiTheme="minorHAnsi"/>
          <w:sz w:val="24"/>
          <w:lang w:val="pl-PL"/>
        </w:rPr>
        <w:t>Trybunał zgodził się, że</w:t>
      </w:r>
      <w:r w:rsidRPr="00ED0C6A">
        <w:rPr>
          <w:rFonts w:asciiTheme="minorHAnsi" w:hAnsiTheme="minorHAnsi"/>
          <w:i/>
          <w:sz w:val="24"/>
          <w:lang w:val="pl-PL"/>
        </w:rPr>
        <w:t xml:space="preserve"> </w:t>
      </w:r>
      <w:r w:rsidRPr="00ED0C6A">
        <w:rPr>
          <w:rFonts w:asciiTheme="minorHAnsi" w:hAnsiTheme="minorHAnsi"/>
          <w:sz w:val="24"/>
          <w:lang w:val="pl-PL"/>
        </w:rPr>
        <w:t>o</w:t>
      </w:r>
      <w:r w:rsidR="00044A0A" w:rsidRPr="00ED0C6A">
        <w:rPr>
          <w:rFonts w:asciiTheme="minorHAnsi" w:hAnsiTheme="minorHAnsi"/>
          <w:sz w:val="24"/>
          <w:lang w:val="pl-PL"/>
        </w:rPr>
        <w:t>rzeczenia sądów krajowych stanowiły ingerencję w wolność wyrażania opinii skarżących. Ingerencja ta była przewidziana przez ustawę i zmierzała do</w:t>
      </w:r>
      <w:r w:rsidR="00335B71">
        <w:rPr>
          <w:rFonts w:asciiTheme="minorHAnsi" w:hAnsiTheme="minorHAnsi"/>
          <w:sz w:val="24"/>
          <w:lang w:val="pl-PL"/>
        </w:rPr>
        <w:t> </w:t>
      </w:r>
      <w:r w:rsidR="00044A0A" w:rsidRPr="00ED0C6A">
        <w:rPr>
          <w:rFonts w:asciiTheme="minorHAnsi" w:hAnsiTheme="minorHAnsi"/>
          <w:sz w:val="24"/>
          <w:lang w:val="pl-PL"/>
        </w:rPr>
        <w:t xml:space="preserve">realizacji uprawnionego celu, a mianowicie ochrony dobrego imienia innych osób. Główną </w:t>
      </w:r>
      <w:r w:rsidRPr="00ED0C6A">
        <w:rPr>
          <w:rFonts w:asciiTheme="minorHAnsi" w:hAnsiTheme="minorHAnsi"/>
          <w:sz w:val="24"/>
          <w:lang w:val="pl-PL"/>
        </w:rPr>
        <w:t xml:space="preserve">zatem </w:t>
      </w:r>
      <w:r w:rsidR="00044A0A" w:rsidRPr="00ED0C6A">
        <w:rPr>
          <w:rFonts w:asciiTheme="minorHAnsi" w:hAnsiTheme="minorHAnsi"/>
          <w:sz w:val="24"/>
          <w:lang w:val="pl-PL"/>
        </w:rPr>
        <w:t>kwestią, którą musiał rozstrzygnąć Trybunał, była kwestia, czy ingerencja ta</w:t>
      </w:r>
      <w:r w:rsidR="009D64AD">
        <w:rPr>
          <w:rFonts w:asciiTheme="minorHAnsi" w:hAnsiTheme="minorHAnsi"/>
          <w:sz w:val="24"/>
          <w:lang w:val="pl-PL"/>
        </w:rPr>
        <w:t> </w:t>
      </w:r>
      <w:r w:rsidR="00044A0A" w:rsidRPr="00ED0C6A">
        <w:rPr>
          <w:rFonts w:asciiTheme="minorHAnsi" w:hAnsiTheme="minorHAnsi"/>
          <w:sz w:val="24"/>
          <w:lang w:val="pl-PL"/>
        </w:rPr>
        <w:t>była konieczna w społeczeństwie demokratycznym.</w:t>
      </w:r>
    </w:p>
    <w:p w:rsidR="00756E08" w:rsidRPr="00ED0C6A" w:rsidRDefault="00756E08" w:rsidP="00380783">
      <w:pPr>
        <w:pStyle w:val="ClinContent"/>
        <w:spacing w:before="0"/>
        <w:rPr>
          <w:rFonts w:asciiTheme="minorHAnsi" w:hAnsiTheme="minorHAnsi"/>
          <w:sz w:val="24"/>
          <w:lang w:val="pl-PL"/>
        </w:rPr>
      </w:pPr>
    </w:p>
    <w:p w:rsidR="00756E08" w:rsidRPr="00ED0C6A" w:rsidRDefault="00756E08" w:rsidP="00380783">
      <w:pPr>
        <w:pStyle w:val="ClinContent"/>
        <w:spacing w:before="0"/>
        <w:rPr>
          <w:rFonts w:asciiTheme="minorHAnsi" w:hAnsiTheme="minorHAnsi"/>
          <w:sz w:val="24"/>
          <w:lang w:val="pl-PL"/>
        </w:rPr>
      </w:pPr>
      <w:r w:rsidRPr="00ED0C6A">
        <w:rPr>
          <w:rFonts w:asciiTheme="minorHAnsi" w:hAnsiTheme="minorHAnsi"/>
          <w:sz w:val="24"/>
          <w:lang w:val="pl-PL"/>
        </w:rPr>
        <w:t>Trybunał zauważył, że o</w:t>
      </w:r>
      <w:r w:rsidR="00044A0A" w:rsidRPr="00ED0C6A">
        <w:rPr>
          <w:rFonts w:asciiTheme="minorHAnsi" w:hAnsiTheme="minorHAnsi"/>
          <w:sz w:val="24"/>
          <w:lang w:val="pl-PL"/>
        </w:rPr>
        <w:t xml:space="preserve">skarżenie redaktor o obraźliwe </w:t>
      </w:r>
      <w:r w:rsidR="00350152" w:rsidRPr="00ED0C6A">
        <w:rPr>
          <w:rFonts w:asciiTheme="minorHAnsi" w:hAnsiTheme="minorHAnsi"/>
          <w:sz w:val="24"/>
          <w:lang w:val="pl-PL"/>
        </w:rPr>
        <w:t>zachowanie</w:t>
      </w:r>
      <w:r w:rsidR="00044A0A" w:rsidRPr="00ED0C6A">
        <w:rPr>
          <w:rFonts w:asciiTheme="minorHAnsi" w:hAnsiTheme="minorHAnsi"/>
          <w:sz w:val="24"/>
          <w:lang w:val="pl-PL"/>
        </w:rPr>
        <w:t xml:space="preserve"> wobec osób innej narodowości lub religii mogło nie tylko zaszkodzić jej dobremu imieniu, ale także wyrządzić jej szkodę zarówno w jej środowisku zawodowym, jak i społecznym. A zatem, przedmiotowe oskarżenia były wystarczająco poważne, by móc naruszyć jej prawa chronione na podstawie art. 8 Konwencji</w:t>
      </w:r>
      <w:r w:rsidRPr="00ED0C6A">
        <w:rPr>
          <w:rFonts w:asciiTheme="minorHAnsi" w:hAnsiTheme="minorHAnsi"/>
          <w:sz w:val="24"/>
          <w:lang w:val="pl-PL"/>
        </w:rPr>
        <w:t xml:space="preserve"> (prawo do poszanowania życia prywatnego i rodzinnego)</w:t>
      </w:r>
      <w:r w:rsidR="00044A0A" w:rsidRPr="00ED0C6A">
        <w:rPr>
          <w:rFonts w:asciiTheme="minorHAnsi" w:hAnsiTheme="minorHAnsi"/>
          <w:sz w:val="24"/>
          <w:lang w:val="pl-PL"/>
        </w:rPr>
        <w:t xml:space="preserve">. </w:t>
      </w:r>
    </w:p>
    <w:p w:rsidR="00756E08" w:rsidRPr="00ED0C6A" w:rsidRDefault="00756E08"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Trybunał musiał więc zweryfikować, czy władze krajowe osiągnęły sprawiedliwą równowagę między dwiema wartościami gwarantowanymi przez Konwencję, a mianowicie, między wolnością wyrażania opinii skarżących chronioną na podstawie art. 10 </w:t>
      </w:r>
      <w:r w:rsidR="00756E08" w:rsidRPr="00ED0C6A">
        <w:rPr>
          <w:rFonts w:asciiTheme="minorHAnsi" w:hAnsiTheme="minorHAnsi"/>
          <w:sz w:val="24"/>
          <w:lang w:val="pl-PL"/>
        </w:rPr>
        <w:t xml:space="preserve">Konwencji </w:t>
      </w:r>
      <w:r w:rsidR="00350152" w:rsidRPr="00ED0C6A">
        <w:rPr>
          <w:rFonts w:asciiTheme="minorHAnsi" w:hAnsiTheme="minorHAnsi"/>
          <w:sz w:val="24"/>
          <w:lang w:val="pl-PL"/>
        </w:rPr>
        <w:t xml:space="preserve">z jednej strony </w:t>
      </w:r>
      <w:r w:rsidRPr="00ED0C6A">
        <w:rPr>
          <w:rFonts w:asciiTheme="minorHAnsi" w:hAnsiTheme="minorHAnsi"/>
          <w:sz w:val="24"/>
          <w:lang w:val="pl-PL"/>
        </w:rPr>
        <w:t>a prawem redaktor do poszanowania jej dobrego imienia na podstawie art. 8</w:t>
      </w:r>
      <w:r w:rsidR="00756E08" w:rsidRPr="00ED0C6A">
        <w:rPr>
          <w:rFonts w:asciiTheme="minorHAnsi" w:hAnsiTheme="minorHAnsi"/>
          <w:sz w:val="24"/>
          <w:lang w:val="pl-PL"/>
        </w:rPr>
        <w:t xml:space="preserve"> Konwencji</w:t>
      </w:r>
      <w:r w:rsidR="00350152" w:rsidRPr="00ED0C6A">
        <w:rPr>
          <w:rFonts w:asciiTheme="minorHAnsi" w:hAnsiTheme="minorHAnsi"/>
          <w:sz w:val="24"/>
          <w:lang w:val="pl-PL"/>
        </w:rPr>
        <w:t xml:space="preserve"> z drugiej strony</w:t>
      </w:r>
      <w:r w:rsidRPr="00ED0C6A">
        <w:rPr>
          <w:rFonts w:asciiTheme="minorHAnsi" w:hAnsiTheme="minorHAnsi"/>
          <w:sz w:val="24"/>
          <w:lang w:val="pl-PL"/>
        </w:rPr>
        <w:t xml:space="preserve">.  </w:t>
      </w:r>
    </w:p>
    <w:p w:rsidR="00756E08" w:rsidRPr="00ED0C6A" w:rsidRDefault="00756E08" w:rsidP="00380783">
      <w:pPr>
        <w:pStyle w:val="ClinContent"/>
        <w:spacing w:before="0"/>
        <w:rPr>
          <w:rFonts w:asciiTheme="minorHAnsi" w:hAnsiTheme="minorHAnsi"/>
          <w:sz w:val="24"/>
          <w:lang w:val="pl-PL"/>
        </w:rPr>
      </w:pPr>
    </w:p>
    <w:p w:rsidR="00756E08" w:rsidRPr="00ED0C6A" w:rsidRDefault="00756E08" w:rsidP="00380783">
      <w:pPr>
        <w:pStyle w:val="ClinContent"/>
        <w:spacing w:before="0"/>
        <w:rPr>
          <w:rFonts w:asciiTheme="minorHAnsi" w:hAnsiTheme="minorHAnsi"/>
          <w:sz w:val="24"/>
          <w:lang w:val="pl-PL"/>
        </w:rPr>
      </w:pPr>
      <w:r w:rsidRPr="00ED0C6A">
        <w:rPr>
          <w:rFonts w:asciiTheme="minorHAnsi" w:hAnsiTheme="minorHAnsi"/>
          <w:sz w:val="24"/>
          <w:lang w:val="pl-PL"/>
        </w:rPr>
        <w:t>Trybunał na wstępie zauważył, że s</w:t>
      </w:r>
      <w:r w:rsidR="00044A0A" w:rsidRPr="00ED0C6A">
        <w:rPr>
          <w:rFonts w:asciiTheme="minorHAnsi" w:hAnsiTheme="minorHAnsi"/>
          <w:sz w:val="24"/>
          <w:lang w:val="pl-PL"/>
        </w:rPr>
        <w:t xml:space="preserve">karżący w żaden sposób nie znajdowali się w sytuacji podległości wynikającej ze stosunku pracy z publicznym radiem, który nakładałby na nich obowiązek lojalności, powściągliwości i dyskrecji w stosunku do tego radia. Z tego względu Trybunał nie musiał rozważać </w:t>
      </w:r>
      <w:r w:rsidRPr="00ED0C6A">
        <w:rPr>
          <w:rFonts w:asciiTheme="minorHAnsi" w:hAnsiTheme="minorHAnsi"/>
          <w:sz w:val="24"/>
          <w:lang w:val="pl-PL"/>
        </w:rPr>
        <w:t xml:space="preserve">tej sprawy z punktu widzenia </w:t>
      </w:r>
      <w:r w:rsidR="00044A0A" w:rsidRPr="00ED0C6A">
        <w:rPr>
          <w:rFonts w:asciiTheme="minorHAnsi" w:hAnsiTheme="minorHAnsi"/>
          <w:sz w:val="24"/>
          <w:lang w:val="pl-PL"/>
        </w:rPr>
        <w:t xml:space="preserve">kwestii </w:t>
      </w:r>
      <w:r w:rsidRPr="00ED0C6A">
        <w:rPr>
          <w:rFonts w:asciiTheme="minorHAnsi" w:hAnsiTheme="minorHAnsi"/>
          <w:sz w:val="24"/>
          <w:lang w:val="pl-PL"/>
        </w:rPr>
        <w:t xml:space="preserve">zidentyfikowanych w jego orzecznictwie w odniesieniu do ochrony </w:t>
      </w:r>
      <w:r w:rsidR="00044A0A" w:rsidRPr="00ED0C6A">
        <w:rPr>
          <w:rFonts w:asciiTheme="minorHAnsi" w:hAnsiTheme="minorHAnsi"/>
          <w:sz w:val="24"/>
          <w:lang w:val="pl-PL"/>
        </w:rPr>
        <w:t>tzw. sygnalistów (</w:t>
      </w:r>
      <w:proofErr w:type="spellStart"/>
      <w:r w:rsidR="00044A0A" w:rsidRPr="00ED0C6A">
        <w:rPr>
          <w:rFonts w:asciiTheme="minorHAnsi" w:hAnsiTheme="minorHAnsi"/>
          <w:i/>
          <w:sz w:val="24"/>
          <w:lang w:val="pl-PL"/>
        </w:rPr>
        <w:t>whistle-blowing</w:t>
      </w:r>
      <w:proofErr w:type="spellEnd"/>
      <w:r w:rsidR="00044A0A" w:rsidRPr="00ED0C6A">
        <w:rPr>
          <w:rFonts w:asciiTheme="minorHAnsi" w:hAnsiTheme="minorHAnsi"/>
          <w:sz w:val="24"/>
          <w:lang w:val="pl-PL"/>
        </w:rPr>
        <w:t xml:space="preserve">). </w:t>
      </w:r>
    </w:p>
    <w:p w:rsidR="00756E08" w:rsidRPr="00ED0C6A" w:rsidRDefault="00756E08"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Trybunał zgodził się </w:t>
      </w:r>
      <w:r w:rsidR="00756E08" w:rsidRPr="00ED0C6A">
        <w:rPr>
          <w:rFonts w:asciiTheme="minorHAnsi" w:hAnsiTheme="minorHAnsi"/>
          <w:sz w:val="24"/>
          <w:lang w:val="pl-PL"/>
        </w:rPr>
        <w:t xml:space="preserve">także </w:t>
      </w:r>
      <w:r w:rsidRPr="00ED0C6A">
        <w:rPr>
          <w:rFonts w:asciiTheme="minorHAnsi" w:hAnsiTheme="minorHAnsi"/>
          <w:sz w:val="24"/>
          <w:lang w:val="pl-PL"/>
        </w:rPr>
        <w:t>z organami krajowym, że odpowiedzialność skarżących za</w:t>
      </w:r>
      <w:r w:rsidR="00335B71">
        <w:rPr>
          <w:rFonts w:asciiTheme="minorHAnsi" w:hAnsiTheme="minorHAnsi"/>
          <w:sz w:val="24"/>
          <w:lang w:val="pl-PL"/>
        </w:rPr>
        <w:t> </w:t>
      </w:r>
      <w:r w:rsidRPr="00ED0C6A">
        <w:rPr>
          <w:rFonts w:asciiTheme="minorHAnsi" w:hAnsiTheme="minorHAnsi"/>
          <w:sz w:val="24"/>
          <w:lang w:val="pl-PL"/>
        </w:rPr>
        <w:t xml:space="preserve">zniesławienie powinna być oceniana jedynie w odniesieniu do ich prywatnej korespondencji </w:t>
      </w:r>
      <w:r w:rsidR="00350152" w:rsidRPr="00ED0C6A">
        <w:rPr>
          <w:rFonts w:asciiTheme="minorHAnsi" w:hAnsiTheme="minorHAnsi"/>
          <w:sz w:val="24"/>
          <w:lang w:val="pl-PL"/>
        </w:rPr>
        <w:t>z</w:t>
      </w:r>
      <w:r w:rsidRPr="00ED0C6A">
        <w:rPr>
          <w:rFonts w:asciiTheme="minorHAnsi" w:hAnsiTheme="minorHAnsi"/>
          <w:sz w:val="24"/>
          <w:lang w:val="pl-PL"/>
        </w:rPr>
        <w:t xml:space="preserve"> władz</w:t>
      </w:r>
      <w:r w:rsidR="00350152" w:rsidRPr="00ED0C6A">
        <w:rPr>
          <w:rFonts w:asciiTheme="minorHAnsi" w:hAnsiTheme="minorHAnsi"/>
          <w:sz w:val="24"/>
          <w:lang w:val="pl-PL"/>
        </w:rPr>
        <w:t xml:space="preserve">ami lokalnymi </w:t>
      </w:r>
      <w:r w:rsidRPr="00ED0C6A">
        <w:rPr>
          <w:rFonts w:asciiTheme="minorHAnsi" w:hAnsiTheme="minorHAnsi"/>
          <w:sz w:val="24"/>
          <w:lang w:val="pl-PL"/>
        </w:rPr>
        <w:t xml:space="preserve">a nie publikacji listu w mediach, </w:t>
      </w:r>
      <w:r w:rsidR="00970574" w:rsidRPr="00ED0C6A">
        <w:rPr>
          <w:rFonts w:asciiTheme="minorHAnsi" w:hAnsiTheme="minorHAnsi"/>
          <w:sz w:val="24"/>
          <w:lang w:val="pl-PL"/>
        </w:rPr>
        <w:t>ponieważ</w:t>
      </w:r>
      <w:r w:rsidR="009D64AD">
        <w:rPr>
          <w:rFonts w:asciiTheme="minorHAnsi" w:hAnsiTheme="minorHAnsi"/>
          <w:sz w:val="24"/>
          <w:lang w:val="pl-PL"/>
        </w:rPr>
        <w:t> </w:t>
      </w:r>
      <w:r w:rsidRPr="00ED0C6A">
        <w:rPr>
          <w:rFonts w:asciiTheme="minorHAnsi" w:hAnsiTheme="minorHAnsi"/>
          <w:sz w:val="24"/>
          <w:lang w:val="pl-PL"/>
        </w:rPr>
        <w:t>nie</w:t>
      </w:r>
      <w:r w:rsidR="00335B71">
        <w:rPr>
          <w:rFonts w:asciiTheme="minorHAnsi" w:hAnsiTheme="minorHAnsi"/>
          <w:sz w:val="24"/>
          <w:lang w:val="pl-PL"/>
        </w:rPr>
        <w:t> </w:t>
      </w:r>
      <w:r w:rsidRPr="00ED0C6A">
        <w:rPr>
          <w:rFonts w:asciiTheme="minorHAnsi" w:hAnsiTheme="minorHAnsi"/>
          <w:sz w:val="24"/>
          <w:lang w:val="pl-PL"/>
        </w:rPr>
        <w:t xml:space="preserve">udowodniono, by byli oni odpowiedzialni za jego publikację.  </w:t>
      </w:r>
    </w:p>
    <w:p w:rsidR="00970574" w:rsidRPr="00ED0C6A" w:rsidRDefault="00970574" w:rsidP="00380783">
      <w:pPr>
        <w:pStyle w:val="ClinContent"/>
        <w:spacing w:before="0"/>
        <w:rPr>
          <w:rFonts w:asciiTheme="minorHAnsi" w:hAnsiTheme="minorHAnsi"/>
          <w:sz w:val="24"/>
          <w:lang w:val="pl-PL"/>
        </w:rPr>
      </w:pPr>
    </w:p>
    <w:p w:rsidR="00970574" w:rsidRPr="00ED0C6A" w:rsidRDefault="00970574" w:rsidP="00380783">
      <w:pPr>
        <w:pStyle w:val="ClinContent"/>
        <w:spacing w:before="0"/>
        <w:rPr>
          <w:rFonts w:asciiTheme="minorHAnsi" w:hAnsiTheme="minorHAnsi"/>
          <w:sz w:val="24"/>
          <w:lang w:val="pl-PL"/>
        </w:rPr>
      </w:pPr>
      <w:r w:rsidRPr="00ED0C6A">
        <w:rPr>
          <w:rFonts w:asciiTheme="minorHAnsi" w:hAnsiTheme="minorHAnsi"/>
          <w:sz w:val="24"/>
          <w:lang w:val="pl-PL"/>
        </w:rPr>
        <w:t>Trybunał podkreślił, że g</w:t>
      </w:r>
      <w:r w:rsidR="00044A0A" w:rsidRPr="00ED0C6A">
        <w:rPr>
          <w:rFonts w:asciiTheme="minorHAnsi" w:hAnsiTheme="minorHAnsi"/>
          <w:sz w:val="24"/>
          <w:lang w:val="pl-PL"/>
        </w:rPr>
        <w:t>dy organizacja pozarządowa zwraca uwagę na sprawy dotyczące interesu publicznego, spełnia ona rolę stróża publicznego (</w:t>
      </w:r>
      <w:r w:rsidR="00044A0A" w:rsidRPr="00ED0C6A">
        <w:rPr>
          <w:rFonts w:asciiTheme="minorHAnsi" w:hAnsiTheme="minorHAnsi"/>
          <w:i/>
          <w:sz w:val="24"/>
          <w:lang w:val="pl-PL"/>
        </w:rPr>
        <w:t xml:space="preserve">public </w:t>
      </w:r>
      <w:proofErr w:type="spellStart"/>
      <w:r w:rsidR="00044A0A" w:rsidRPr="00ED0C6A">
        <w:rPr>
          <w:rFonts w:asciiTheme="minorHAnsi" w:hAnsiTheme="minorHAnsi"/>
          <w:i/>
          <w:sz w:val="24"/>
          <w:lang w:val="pl-PL"/>
        </w:rPr>
        <w:t>watchdog</w:t>
      </w:r>
      <w:proofErr w:type="spellEnd"/>
      <w:r w:rsidR="00044A0A" w:rsidRPr="00ED0C6A">
        <w:rPr>
          <w:rFonts w:asciiTheme="minorHAnsi" w:hAnsiTheme="minorHAnsi"/>
          <w:sz w:val="24"/>
          <w:lang w:val="pl-PL"/>
        </w:rPr>
        <w:t>) o podobnej doniosłości jak rola prasy</w:t>
      </w:r>
      <w:r w:rsidRPr="00ED0C6A">
        <w:rPr>
          <w:rFonts w:asciiTheme="minorHAnsi" w:hAnsiTheme="minorHAnsi"/>
          <w:sz w:val="24"/>
          <w:lang w:val="pl-PL"/>
        </w:rPr>
        <w:t>.</w:t>
      </w:r>
      <w:r w:rsidR="00044A0A" w:rsidRPr="00ED0C6A">
        <w:rPr>
          <w:rFonts w:asciiTheme="minorHAnsi" w:hAnsiTheme="minorHAnsi"/>
          <w:sz w:val="24"/>
          <w:lang w:val="pl-PL"/>
        </w:rPr>
        <w:t xml:space="preserve"> </w:t>
      </w:r>
      <w:r w:rsidRPr="00ED0C6A">
        <w:rPr>
          <w:rFonts w:asciiTheme="minorHAnsi" w:hAnsiTheme="minorHAnsi"/>
          <w:sz w:val="24"/>
          <w:lang w:val="pl-PL"/>
        </w:rPr>
        <w:t>M</w:t>
      </w:r>
      <w:r w:rsidR="00044A0A" w:rsidRPr="00ED0C6A">
        <w:rPr>
          <w:rFonts w:asciiTheme="minorHAnsi" w:hAnsiTheme="minorHAnsi"/>
          <w:sz w:val="24"/>
          <w:lang w:val="pl-PL"/>
        </w:rPr>
        <w:t>oże być ona określona jako rola stróża społecznego (</w:t>
      </w:r>
      <w:proofErr w:type="spellStart"/>
      <w:r w:rsidR="00044A0A" w:rsidRPr="00ED0C6A">
        <w:rPr>
          <w:rFonts w:asciiTheme="minorHAnsi" w:hAnsiTheme="minorHAnsi"/>
          <w:i/>
          <w:sz w:val="24"/>
          <w:lang w:val="pl-PL"/>
        </w:rPr>
        <w:t>social</w:t>
      </w:r>
      <w:proofErr w:type="spellEnd"/>
      <w:r w:rsidR="00044A0A" w:rsidRPr="00ED0C6A">
        <w:rPr>
          <w:rFonts w:asciiTheme="minorHAnsi" w:hAnsiTheme="minorHAnsi"/>
          <w:i/>
          <w:sz w:val="24"/>
          <w:lang w:val="pl-PL"/>
        </w:rPr>
        <w:t xml:space="preserve"> </w:t>
      </w:r>
      <w:proofErr w:type="spellStart"/>
      <w:r w:rsidR="00044A0A" w:rsidRPr="00ED0C6A">
        <w:rPr>
          <w:rFonts w:asciiTheme="minorHAnsi" w:hAnsiTheme="minorHAnsi"/>
          <w:i/>
          <w:sz w:val="24"/>
          <w:lang w:val="pl-PL"/>
        </w:rPr>
        <w:t>watchdog</w:t>
      </w:r>
      <w:proofErr w:type="spellEnd"/>
      <w:r w:rsidR="00044A0A" w:rsidRPr="00ED0C6A">
        <w:rPr>
          <w:rFonts w:asciiTheme="minorHAnsi" w:hAnsiTheme="minorHAnsi"/>
          <w:sz w:val="24"/>
          <w:lang w:val="pl-PL"/>
        </w:rPr>
        <w:t xml:space="preserve">). </w:t>
      </w:r>
    </w:p>
    <w:p w:rsidR="00970574" w:rsidRPr="00ED0C6A" w:rsidRDefault="00970574"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Z uwagi na obowiązki i odpowiedzialność nieodłącznie związane z korzystaniem z wolności wyrażania opinii, w obszarze dotyczącym wolności prasy gwarancje przyznane </w:t>
      </w:r>
      <w:r w:rsidR="00350152" w:rsidRPr="00ED0C6A">
        <w:rPr>
          <w:rFonts w:asciiTheme="minorHAnsi" w:hAnsiTheme="minorHAnsi"/>
          <w:sz w:val="24"/>
          <w:lang w:val="pl-PL"/>
        </w:rPr>
        <w:t xml:space="preserve">przez art. 10 </w:t>
      </w:r>
      <w:r w:rsidRPr="00ED0C6A">
        <w:rPr>
          <w:rFonts w:asciiTheme="minorHAnsi" w:hAnsiTheme="minorHAnsi"/>
          <w:sz w:val="24"/>
          <w:lang w:val="pl-PL"/>
        </w:rPr>
        <w:t>dziennikarzom w związku z relacjonowaniem kwestii w interesie ogólnym stosują się z</w:t>
      </w:r>
      <w:r w:rsidR="00335B71">
        <w:rPr>
          <w:rFonts w:asciiTheme="minorHAnsi" w:hAnsiTheme="minorHAnsi"/>
          <w:sz w:val="24"/>
          <w:lang w:val="pl-PL"/>
        </w:rPr>
        <w:t> </w:t>
      </w:r>
      <w:r w:rsidRPr="00ED0C6A">
        <w:rPr>
          <w:rFonts w:asciiTheme="minorHAnsi" w:hAnsiTheme="minorHAnsi"/>
          <w:sz w:val="24"/>
          <w:lang w:val="pl-PL"/>
        </w:rPr>
        <w:t>zastrzeżeniem, że działają oni w dobrej wierze w celu przedstawienia dokładnej i</w:t>
      </w:r>
      <w:r w:rsidR="00335B71">
        <w:rPr>
          <w:rFonts w:asciiTheme="minorHAnsi" w:hAnsiTheme="minorHAnsi"/>
          <w:sz w:val="24"/>
          <w:lang w:val="pl-PL"/>
        </w:rPr>
        <w:t> </w:t>
      </w:r>
      <w:r w:rsidRPr="00ED0C6A">
        <w:rPr>
          <w:rFonts w:asciiTheme="minorHAnsi" w:hAnsiTheme="minorHAnsi"/>
          <w:sz w:val="24"/>
          <w:lang w:val="pl-PL"/>
        </w:rPr>
        <w:t xml:space="preserve">wiarygodnej informacji zgodnie z etyką dziennikarską. Te same względy mają zastosowanie do organizacji pozarządowych podejmujących się roli stróża społecznego.      </w:t>
      </w:r>
    </w:p>
    <w:p w:rsidR="00970574" w:rsidRPr="00ED0C6A" w:rsidRDefault="00970574" w:rsidP="00380783">
      <w:pPr>
        <w:pStyle w:val="ClinContent"/>
        <w:spacing w:before="0"/>
        <w:rPr>
          <w:rFonts w:asciiTheme="minorHAnsi" w:hAnsiTheme="minorHAnsi"/>
          <w:sz w:val="24"/>
          <w:lang w:val="pl-PL"/>
        </w:rPr>
      </w:pPr>
    </w:p>
    <w:p w:rsidR="00970574" w:rsidRPr="00ED0C6A" w:rsidRDefault="00970574" w:rsidP="00380783">
      <w:pPr>
        <w:pStyle w:val="ClinContent"/>
        <w:spacing w:before="0"/>
        <w:rPr>
          <w:rFonts w:asciiTheme="minorHAnsi" w:hAnsiTheme="minorHAnsi"/>
          <w:sz w:val="24"/>
          <w:lang w:val="pl-PL"/>
        </w:rPr>
      </w:pPr>
      <w:r w:rsidRPr="00ED0C6A">
        <w:rPr>
          <w:rFonts w:asciiTheme="minorHAnsi" w:hAnsiTheme="minorHAnsi"/>
          <w:sz w:val="24"/>
          <w:lang w:val="pl-PL"/>
        </w:rPr>
        <w:t>Trybunał uznał też, że w</w:t>
      </w:r>
      <w:r w:rsidR="00044A0A" w:rsidRPr="00ED0C6A">
        <w:rPr>
          <w:rFonts w:asciiTheme="minorHAnsi" w:hAnsiTheme="minorHAnsi"/>
          <w:sz w:val="24"/>
          <w:lang w:val="pl-PL"/>
        </w:rPr>
        <w:t xml:space="preserve"> procesie ważenia wchodzących w grę konkurujących interesów należy uwzględnić kryteria, które mają generalne zastosowanie w odniesieniu do</w:t>
      </w:r>
      <w:r w:rsidR="00335B71">
        <w:rPr>
          <w:rFonts w:asciiTheme="minorHAnsi" w:hAnsiTheme="minorHAnsi"/>
          <w:sz w:val="24"/>
          <w:lang w:val="pl-PL"/>
        </w:rPr>
        <w:t> </w:t>
      </w:r>
      <w:r w:rsidR="00044A0A" w:rsidRPr="00ED0C6A">
        <w:rPr>
          <w:rFonts w:asciiTheme="minorHAnsi" w:hAnsiTheme="minorHAnsi"/>
          <w:sz w:val="24"/>
          <w:lang w:val="pl-PL"/>
        </w:rPr>
        <w:t xml:space="preserve">rozpowszechniania zniesławiających wypowiedzi przez media </w:t>
      </w:r>
      <w:r w:rsidR="00350152" w:rsidRPr="00ED0C6A">
        <w:rPr>
          <w:rFonts w:asciiTheme="minorHAnsi" w:hAnsiTheme="minorHAnsi"/>
          <w:sz w:val="24"/>
          <w:lang w:val="pl-PL"/>
        </w:rPr>
        <w:t>występujące w roli</w:t>
      </w:r>
      <w:r w:rsidR="00044A0A" w:rsidRPr="00ED0C6A">
        <w:rPr>
          <w:rFonts w:asciiTheme="minorHAnsi" w:hAnsiTheme="minorHAnsi"/>
          <w:sz w:val="24"/>
          <w:lang w:val="pl-PL"/>
        </w:rPr>
        <w:t xml:space="preserve"> stróża publicznego.</w:t>
      </w:r>
      <w:r w:rsidRPr="00ED0C6A">
        <w:rPr>
          <w:rFonts w:asciiTheme="minorHAnsi" w:hAnsiTheme="minorHAnsi"/>
          <w:sz w:val="24"/>
          <w:lang w:val="pl-PL"/>
        </w:rPr>
        <w:t xml:space="preserve"> </w:t>
      </w:r>
    </w:p>
    <w:p w:rsidR="00970574" w:rsidRPr="00ED0C6A" w:rsidRDefault="00970574" w:rsidP="00380783">
      <w:pPr>
        <w:pStyle w:val="ClinContent"/>
        <w:spacing w:before="0"/>
        <w:rPr>
          <w:rFonts w:asciiTheme="minorHAnsi" w:hAnsiTheme="minorHAnsi"/>
          <w:sz w:val="24"/>
          <w:lang w:val="pl-PL"/>
        </w:rPr>
      </w:pPr>
    </w:p>
    <w:p w:rsidR="00970574" w:rsidRPr="00ED0C6A" w:rsidRDefault="00970574" w:rsidP="00380783">
      <w:pPr>
        <w:pStyle w:val="ClinContent"/>
        <w:spacing w:before="0"/>
        <w:rPr>
          <w:rFonts w:asciiTheme="minorHAnsi" w:hAnsiTheme="minorHAnsi"/>
          <w:sz w:val="24"/>
          <w:lang w:val="pl-PL"/>
        </w:rPr>
      </w:pPr>
      <w:r w:rsidRPr="00ED0C6A">
        <w:rPr>
          <w:rFonts w:asciiTheme="minorHAnsi" w:hAnsiTheme="minorHAnsi"/>
          <w:sz w:val="24"/>
          <w:lang w:val="pl-PL"/>
        </w:rPr>
        <w:t>Trybunał zbadał więc obecną sprawę z punktu widzenia tych kryteriów, a mianowicie:</w:t>
      </w: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(a) </w:t>
      </w:r>
      <w:r w:rsidRPr="00ED0C6A">
        <w:rPr>
          <w:rFonts w:asciiTheme="minorHAnsi" w:hAnsiTheme="minorHAnsi"/>
          <w:i/>
          <w:sz w:val="24"/>
          <w:u w:val="single"/>
          <w:lang w:val="pl-PL"/>
        </w:rPr>
        <w:t xml:space="preserve">Na ile </w:t>
      </w:r>
      <w:r w:rsidR="00350152" w:rsidRPr="00ED0C6A">
        <w:rPr>
          <w:rFonts w:asciiTheme="minorHAnsi" w:hAnsiTheme="minorHAnsi"/>
          <w:i/>
          <w:sz w:val="24"/>
          <w:u w:val="single"/>
          <w:lang w:val="pl-PL"/>
        </w:rPr>
        <w:t>rozpoznawalna</w:t>
      </w:r>
      <w:r w:rsidRPr="00ED0C6A">
        <w:rPr>
          <w:rFonts w:asciiTheme="minorHAnsi" w:hAnsiTheme="minorHAnsi"/>
          <w:i/>
          <w:sz w:val="24"/>
          <w:u w:val="single"/>
          <w:lang w:val="pl-PL"/>
        </w:rPr>
        <w:t xml:space="preserve"> jest osoba zainteresowana i co było przedmiotem zarzutów</w:t>
      </w:r>
      <w:r w:rsidRPr="00ED0C6A">
        <w:rPr>
          <w:rFonts w:asciiTheme="minorHAnsi" w:hAnsiTheme="minorHAnsi"/>
          <w:i/>
          <w:sz w:val="24"/>
          <w:lang w:val="pl-PL"/>
        </w:rPr>
        <w:t xml:space="preserve"> –</w:t>
      </w:r>
      <w:r w:rsidR="00350152" w:rsidRPr="00ED0C6A">
        <w:rPr>
          <w:rFonts w:asciiTheme="minorHAnsi" w:hAnsiTheme="minorHAnsi"/>
          <w:sz w:val="24"/>
          <w:lang w:val="pl-PL"/>
        </w:rPr>
        <w:t>zważywszy na</w:t>
      </w:r>
      <w:r w:rsidR="00350152" w:rsidRPr="00ED0C6A">
        <w:rPr>
          <w:rFonts w:asciiTheme="minorHAnsi" w:hAnsiTheme="minorHAnsi"/>
          <w:i/>
          <w:sz w:val="24"/>
          <w:lang w:val="pl-PL"/>
        </w:rPr>
        <w:t xml:space="preserve"> </w:t>
      </w:r>
      <w:r w:rsidRPr="00ED0C6A">
        <w:rPr>
          <w:rFonts w:asciiTheme="minorHAnsi" w:hAnsiTheme="minorHAnsi"/>
          <w:sz w:val="24"/>
          <w:lang w:val="pl-PL"/>
        </w:rPr>
        <w:t xml:space="preserve">ubieganie się </w:t>
      </w:r>
      <w:r w:rsidR="006E3DC5">
        <w:rPr>
          <w:rFonts w:asciiTheme="minorHAnsi" w:hAnsiTheme="minorHAnsi"/>
          <w:sz w:val="24"/>
          <w:lang w:val="pl-PL"/>
        </w:rPr>
        <w:t xml:space="preserve">przez redaktor </w:t>
      </w:r>
      <w:r w:rsidRPr="00ED0C6A">
        <w:rPr>
          <w:rFonts w:asciiTheme="minorHAnsi" w:hAnsiTheme="minorHAnsi"/>
          <w:sz w:val="24"/>
          <w:lang w:val="pl-PL"/>
        </w:rPr>
        <w:t xml:space="preserve">o stanowisko dyrektora stacji radiowej i biorąc pod uwagę, że informacja zawarta w liście poruszała kwestie w interesie publicznym, </w:t>
      </w:r>
      <w:r w:rsidR="00350152" w:rsidRPr="00ED0C6A">
        <w:rPr>
          <w:rFonts w:asciiTheme="minorHAnsi" w:hAnsiTheme="minorHAnsi"/>
          <w:sz w:val="24"/>
          <w:lang w:val="pl-PL"/>
        </w:rPr>
        <w:t>Trybunał uznał, że</w:t>
      </w:r>
      <w:r w:rsidR="00350152" w:rsidRPr="00ED0C6A">
        <w:rPr>
          <w:rFonts w:asciiTheme="minorHAnsi" w:hAnsiTheme="minorHAnsi"/>
          <w:i/>
          <w:sz w:val="24"/>
          <w:lang w:val="pl-PL"/>
        </w:rPr>
        <w:t xml:space="preserve"> </w:t>
      </w:r>
      <w:r w:rsidRPr="00ED0C6A">
        <w:rPr>
          <w:rFonts w:asciiTheme="minorHAnsi" w:hAnsiTheme="minorHAnsi"/>
          <w:sz w:val="24"/>
          <w:lang w:val="pl-PL"/>
        </w:rPr>
        <w:t>redaktor w sposób nieunikniony i świadomy weszła do domeny publicznej i sama poddała się dokładnej kontroli swych działań. W tych okolicznościach granice dopuszczalnej krytyki są odpowiednio szersze niż w przypadku, gdyby chodziło o zwykłą osobę wykonującą swój zawód.</w:t>
      </w:r>
    </w:p>
    <w:p w:rsidR="00970574" w:rsidRPr="00ED0C6A" w:rsidRDefault="00970574"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(b) </w:t>
      </w:r>
      <w:r w:rsidRPr="00ED0C6A">
        <w:rPr>
          <w:rFonts w:asciiTheme="minorHAnsi" w:hAnsiTheme="minorHAnsi"/>
          <w:i/>
          <w:sz w:val="24"/>
          <w:u w:val="single"/>
          <w:lang w:val="pl-PL"/>
        </w:rPr>
        <w:t>Treść, forma i skutki informacji przekazanej władzom</w:t>
      </w:r>
      <w:r w:rsidRPr="00ED0C6A">
        <w:rPr>
          <w:rFonts w:asciiTheme="minorHAnsi" w:hAnsiTheme="minorHAnsi"/>
          <w:i/>
          <w:sz w:val="24"/>
          <w:lang w:val="pl-PL"/>
        </w:rPr>
        <w:t xml:space="preserve"> – </w:t>
      </w:r>
      <w:r w:rsidRPr="00ED0C6A">
        <w:rPr>
          <w:rFonts w:asciiTheme="minorHAnsi" w:hAnsiTheme="minorHAnsi"/>
          <w:sz w:val="24"/>
          <w:lang w:val="pl-PL"/>
        </w:rPr>
        <w:t>Istotnym czynnikiem</w:t>
      </w:r>
      <w:r w:rsidRPr="00ED0C6A">
        <w:rPr>
          <w:rFonts w:asciiTheme="minorHAnsi" w:hAnsiTheme="minorHAnsi"/>
          <w:i/>
          <w:sz w:val="24"/>
          <w:lang w:val="pl-PL"/>
        </w:rPr>
        <w:t xml:space="preserve"> </w:t>
      </w:r>
      <w:r w:rsidR="00970574" w:rsidRPr="00ED0C6A">
        <w:rPr>
          <w:rFonts w:asciiTheme="minorHAnsi" w:hAnsiTheme="minorHAnsi"/>
          <w:sz w:val="24"/>
          <w:lang w:val="pl-PL"/>
        </w:rPr>
        <w:t>dla</w:t>
      </w:r>
      <w:r w:rsidR="00335B71">
        <w:rPr>
          <w:rFonts w:asciiTheme="minorHAnsi" w:hAnsiTheme="minorHAnsi"/>
          <w:sz w:val="24"/>
          <w:lang w:val="pl-PL"/>
        </w:rPr>
        <w:t> </w:t>
      </w:r>
      <w:r w:rsidR="00970574" w:rsidRPr="00ED0C6A">
        <w:rPr>
          <w:rFonts w:asciiTheme="minorHAnsi" w:hAnsiTheme="minorHAnsi"/>
          <w:sz w:val="24"/>
          <w:lang w:val="pl-PL"/>
        </w:rPr>
        <w:t>Trybunału</w:t>
      </w:r>
      <w:r w:rsidR="00970574" w:rsidRPr="00ED0C6A">
        <w:rPr>
          <w:rFonts w:asciiTheme="minorHAnsi" w:hAnsiTheme="minorHAnsi"/>
          <w:i/>
          <w:sz w:val="24"/>
          <w:lang w:val="pl-PL"/>
        </w:rPr>
        <w:t xml:space="preserve"> </w:t>
      </w:r>
      <w:r w:rsidRPr="00ED0C6A">
        <w:rPr>
          <w:rFonts w:asciiTheme="minorHAnsi" w:hAnsiTheme="minorHAnsi"/>
          <w:sz w:val="24"/>
          <w:lang w:val="pl-PL"/>
        </w:rPr>
        <w:t>było słownictwo użyte przez skarżących w zakwestionowanym liście. Nie</w:t>
      </w:r>
      <w:r w:rsidR="00335B71">
        <w:rPr>
          <w:rFonts w:asciiTheme="minorHAnsi" w:hAnsiTheme="minorHAnsi"/>
          <w:sz w:val="24"/>
          <w:lang w:val="pl-PL"/>
        </w:rPr>
        <w:t> </w:t>
      </w:r>
      <w:r w:rsidRPr="00ED0C6A">
        <w:rPr>
          <w:rFonts w:asciiTheme="minorHAnsi" w:hAnsiTheme="minorHAnsi"/>
          <w:sz w:val="24"/>
          <w:lang w:val="pl-PL"/>
        </w:rPr>
        <w:t xml:space="preserve">stwierdzili </w:t>
      </w:r>
      <w:r w:rsidR="00970574" w:rsidRPr="00ED0C6A">
        <w:rPr>
          <w:rFonts w:asciiTheme="minorHAnsi" w:hAnsiTheme="minorHAnsi"/>
          <w:sz w:val="24"/>
          <w:lang w:val="pl-PL"/>
        </w:rPr>
        <w:t xml:space="preserve">oni bowiem </w:t>
      </w:r>
      <w:r w:rsidRPr="00ED0C6A">
        <w:rPr>
          <w:rFonts w:asciiTheme="minorHAnsi" w:hAnsiTheme="minorHAnsi"/>
          <w:sz w:val="24"/>
          <w:lang w:val="pl-PL"/>
        </w:rPr>
        <w:t>wyraźnie, że część informacji, które przekazali władzom, pochodziła z innych źródeł, takich jak pracownicy radia. Swój list rozpoczęli słowami „w</w:t>
      </w:r>
      <w:r w:rsidR="00335B71">
        <w:rPr>
          <w:rFonts w:asciiTheme="minorHAnsi" w:hAnsiTheme="minorHAnsi"/>
          <w:sz w:val="24"/>
          <w:lang w:val="pl-PL"/>
        </w:rPr>
        <w:t> </w:t>
      </w:r>
      <w:r w:rsidRPr="00ED0C6A">
        <w:rPr>
          <w:rFonts w:asciiTheme="minorHAnsi" w:hAnsiTheme="minorHAnsi"/>
          <w:sz w:val="24"/>
          <w:lang w:val="pl-PL"/>
        </w:rPr>
        <w:t xml:space="preserve">świetle naszych informacji”, </w:t>
      </w:r>
      <w:r w:rsidR="00970574" w:rsidRPr="00ED0C6A">
        <w:rPr>
          <w:rFonts w:asciiTheme="minorHAnsi" w:hAnsiTheme="minorHAnsi"/>
          <w:sz w:val="24"/>
          <w:lang w:val="pl-PL"/>
        </w:rPr>
        <w:t xml:space="preserve">i </w:t>
      </w:r>
      <w:r w:rsidRPr="00ED0C6A">
        <w:rPr>
          <w:rFonts w:asciiTheme="minorHAnsi" w:hAnsiTheme="minorHAnsi"/>
          <w:sz w:val="24"/>
          <w:lang w:val="pl-PL"/>
        </w:rPr>
        <w:t>nie wska</w:t>
      </w:r>
      <w:r w:rsidR="00970574" w:rsidRPr="00ED0C6A">
        <w:rPr>
          <w:rFonts w:asciiTheme="minorHAnsi" w:hAnsiTheme="minorHAnsi"/>
          <w:sz w:val="24"/>
          <w:lang w:val="pl-PL"/>
        </w:rPr>
        <w:t>zali w jasny sposób, że działają</w:t>
      </w:r>
      <w:r w:rsidRPr="00ED0C6A">
        <w:rPr>
          <w:rFonts w:asciiTheme="minorHAnsi" w:hAnsiTheme="minorHAnsi"/>
          <w:sz w:val="24"/>
          <w:lang w:val="pl-PL"/>
        </w:rPr>
        <w:t xml:space="preserve"> jako osoby przekazujące wiadomość. </w:t>
      </w:r>
      <w:r w:rsidR="00970574" w:rsidRPr="00ED0C6A">
        <w:rPr>
          <w:rFonts w:asciiTheme="minorHAnsi" w:hAnsiTheme="minorHAnsi"/>
          <w:sz w:val="24"/>
          <w:lang w:val="pl-PL"/>
        </w:rPr>
        <w:t xml:space="preserve">Trybunał uznał </w:t>
      </w:r>
      <w:r w:rsidRPr="00ED0C6A">
        <w:rPr>
          <w:rFonts w:asciiTheme="minorHAnsi" w:hAnsiTheme="minorHAnsi"/>
          <w:sz w:val="24"/>
          <w:lang w:val="pl-PL"/>
        </w:rPr>
        <w:t>zatem</w:t>
      </w:r>
      <w:r w:rsidR="00970574" w:rsidRPr="00ED0C6A">
        <w:rPr>
          <w:rFonts w:asciiTheme="minorHAnsi" w:hAnsiTheme="minorHAnsi"/>
          <w:sz w:val="24"/>
          <w:lang w:val="pl-PL"/>
        </w:rPr>
        <w:t>, że</w:t>
      </w:r>
      <w:r w:rsidRPr="00ED0C6A">
        <w:rPr>
          <w:rFonts w:asciiTheme="minorHAnsi" w:hAnsiTheme="minorHAnsi"/>
          <w:sz w:val="24"/>
          <w:lang w:val="pl-PL"/>
        </w:rPr>
        <w:t xml:space="preserve"> w sposób do</w:t>
      </w:r>
      <w:r w:rsidR="00FF1A77" w:rsidRPr="00ED0C6A">
        <w:rPr>
          <w:rFonts w:asciiTheme="minorHAnsi" w:hAnsiTheme="minorHAnsi"/>
          <w:sz w:val="24"/>
          <w:lang w:val="pl-PL"/>
        </w:rPr>
        <w:t>rozumiany</w:t>
      </w:r>
      <w:r w:rsidRPr="00ED0C6A">
        <w:rPr>
          <w:rFonts w:asciiTheme="minorHAnsi" w:hAnsiTheme="minorHAnsi"/>
          <w:sz w:val="24"/>
          <w:lang w:val="pl-PL"/>
        </w:rPr>
        <w:t xml:space="preserve"> zaprezentowali się jako osoby mające bezpośredni dostęp do tej informacji i w tych okolicznościach przyjęli oni odpowiedzialność za te wypowiedzi. </w:t>
      </w:r>
    </w:p>
    <w:p w:rsidR="00970574" w:rsidRPr="00ED0C6A" w:rsidRDefault="00970574" w:rsidP="00380783">
      <w:pPr>
        <w:pStyle w:val="ClinContent"/>
        <w:spacing w:before="0"/>
        <w:rPr>
          <w:rFonts w:asciiTheme="minorHAnsi" w:hAnsiTheme="minorHAnsi"/>
          <w:sz w:val="24"/>
          <w:u w:val="single"/>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Innym istotnym </w:t>
      </w:r>
      <w:r w:rsidR="00350152" w:rsidRPr="00ED0C6A">
        <w:rPr>
          <w:rFonts w:asciiTheme="minorHAnsi" w:hAnsiTheme="minorHAnsi"/>
          <w:sz w:val="24"/>
          <w:lang w:val="pl-PL"/>
        </w:rPr>
        <w:t xml:space="preserve">dla Trybunału </w:t>
      </w:r>
      <w:r w:rsidRPr="00ED0C6A">
        <w:rPr>
          <w:rFonts w:asciiTheme="minorHAnsi" w:hAnsiTheme="minorHAnsi"/>
          <w:sz w:val="24"/>
          <w:lang w:val="pl-PL"/>
        </w:rPr>
        <w:t xml:space="preserve">czynnikiem była kwestia, czy </w:t>
      </w:r>
      <w:r w:rsidR="00970574" w:rsidRPr="00ED0C6A">
        <w:rPr>
          <w:rFonts w:asciiTheme="minorHAnsi" w:hAnsiTheme="minorHAnsi"/>
          <w:sz w:val="24"/>
          <w:lang w:val="pl-PL"/>
        </w:rPr>
        <w:t xml:space="preserve">głównym </w:t>
      </w:r>
      <w:r w:rsidRPr="00ED0C6A">
        <w:rPr>
          <w:rFonts w:asciiTheme="minorHAnsi" w:hAnsiTheme="minorHAnsi"/>
          <w:sz w:val="24"/>
          <w:lang w:val="pl-PL"/>
        </w:rPr>
        <w:t>celem</w:t>
      </w:r>
      <w:r w:rsidR="00335B71">
        <w:rPr>
          <w:rFonts w:asciiTheme="minorHAnsi" w:hAnsiTheme="minorHAnsi"/>
          <w:sz w:val="24"/>
          <w:lang w:val="pl-PL"/>
        </w:rPr>
        <w:t> </w:t>
      </w:r>
      <w:r w:rsidRPr="00ED0C6A">
        <w:rPr>
          <w:rFonts w:asciiTheme="minorHAnsi" w:hAnsiTheme="minorHAnsi"/>
          <w:sz w:val="24"/>
          <w:lang w:val="pl-PL"/>
        </w:rPr>
        <w:t>zakwestionowanych wypowiedzi było przede wszystkim oskarżenie redaktor, czy</w:t>
      </w:r>
      <w:r w:rsidR="00335B71">
        <w:rPr>
          <w:rFonts w:asciiTheme="minorHAnsi" w:hAnsiTheme="minorHAnsi"/>
          <w:sz w:val="24"/>
          <w:lang w:val="pl-PL"/>
        </w:rPr>
        <w:t> </w:t>
      </w:r>
      <w:r w:rsidRPr="00ED0C6A">
        <w:rPr>
          <w:rFonts w:asciiTheme="minorHAnsi" w:hAnsiTheme="minorHAnsi"/>
          <w:sz w:val="24"/>
          <w:lang w:val="pl-PL"/>
        </w:rPr>
        <w:t>też</w:t>
      </w:r>
      <w:r w:rsidR="00335B71">
        <w:rPr>
          <w:rFonts w:asciiTheme="minorHAnsi" w:hAnsiTheme="minorHAnsi"/>
          <w:sz w:val="24"/>
          <w:lang w:val="pl-PL"/>
        </w:rPr>
        <w:t> </w:t>
      </w:r>
      <w:r w:rsidRPr="00ED0C6A">
        <w:rPr>
          <w:rFonts w:asciiTheme="minorHAnsi" w:hAnsiTheme="minorHAnsi"/>
          <w:sz w:val="24"/>
          <w:lang w:val="pl-PL"/>
        </w:rPr>
        <w:t>zawiadomienie właściwych funkcjonariuszy publicznych o zachowaniu, które</w:t>
      </w:r>
      <w:r w:rsidR="00335B71">
        <w:rPr>
          <w:rFonts w:asciiTheme="minorHAnsi" w:hAnsiTheme="minorHAnsi"/>
          <w:sz w:val="24"/>
          <w:lang w:val="pl-PL"/>
        </w:rPr>
        <w:t> </w:t>
      </w:r>
      <w:r w:rsidRPr="00ED0C6A">
        <w:rPr>
          <w:rFonts w:asciiTheme="minorHAnsi" w:hAnsiTheme="minorHAnsi"/>
          <w:sz w:val="24"/>
          <w:lang w:val="pl-PL"/>
        </w:rPr>
        <w:t xml:space="preserve">wydawało im się nieprawidłowe lub bezprawne. Skarżący twierdzili, że ich intencją było poinformowanie właściwych władz o pewnych nieprawidłowościach i spowodowanie zbadania </w:t>
      </w:r>
      <w:r w:rsidR="00350152" w:rsidRPr="00ED0C6A">
        <w:rPr>
          <w:rFonts w:asciiTheme="minorHAnsi" w:hAnsiTheme="minorHAnsi"/>
          <w:sz w:val="24"/>
          <w:lang w:val="pl-PL"/>
        </w:rPr>
        <w:t>oraz</w:t>
      </w:r>
      <w:r w:rsidRPr="00ED0C6A">
        <w:rPr>
          <w:rFonts w:asciiTheme="minorHAnsi" w:hAnsiTheme="minorHAnsi"/>
          <w:sz w:val="24"/>
          <w:lang w:val="pl-PL"/>
        </w:rPr>
        <w:t xml:space="preserve"> zweryfikowania przez </w:t>
      </w:r>
      <w:r w:rsidR="00970574" w:rsidRPr="00ED0C6A">
        <w:rPr>
          <w:rFonts w:asciiTheme="minorHAnsi" w:hAnsiTheme="minorHAnsi"/>
          <w:sz w:val="24"/>
          <w:lang w:val="pl-PL"/>
        </w:rPr>
        <w:t xml:space="preserve">te władze </w:t>
      </w:r>
      <w:r w:rsidRPr="00ED0C6A">
        <w:rPr>
          <w:rFonts w:asciiTheme="minorHAnsi" w:hAnsiTheme="minorHAnsi"/>
          <w:sz w:val="24"/>
          <w:lang w:val="pl-PL"/>
        </w:rPr>
        <w:t>zarzutów sf</w:t>
      </w:r>
      <w:r w:rsidR="00350152" w:rsidRPr="00ED0C6A">
        <w:rPr>
          <w:rFonts w:asciiTheme="minorHAnsi" w:hAnsiTheme="minorHAnsi"/>
          <w:sz w:val="24"/>
          <w:lang w:val="pl-PL"/>
        </w:rPr>
        <w:t>ormułowanych w liście. Jednakże</w:t>
      </w:r>
      <w:r w:rsidRPr="00ED0C6A">
        <w:rPr>
          <w:rFonts w:asciiTheme="minorHAnsi" w:hAnsiTheme="minorHAnsi"/>
          <w:sz w:val="24"/>
          <w:lang w:val="pl-PL"/>
        </w:rPr>
        <w:t xml:space="preserve"> </w:t>
      </w:r>
      <w:r w:rsidR="00970574" w:rsidRPr="00ED0C6A">
        <w:rPr>
          <w:rFonts w:asciiTheme="minorHAnsi" w:hAnsiTheme="minorHAnsi"/>
          <w:sz w:val="24"/>
          <w:lang w:val="pl-PL"/>
        </w:rPr>
        <w:t xml:space="preserve">Trybunał zauważył, że </w:t>
      </w:r>
      <w:r w:rsidRPr="00ED0C6A">
        <w:rPr>
          <w:rFonts w:asciiTheme="minorHAnsi" w:hAnsiTheme="minorHAnsi"/>
          <w:sz w:val="24"/>
          <w:lang w:val="pl-PL"/>
        </w:rPr>
        <w:t xml:space="preserve">zakwestionowany list nie zawierał żadnej prośby o przeprowadzenie badania i weryfikacji zarzutów. </w:t>
      </w:r>
    </w:p>
    <w:p w:rsidR="00970574" w:rsidRPr="00ED0C6A" w:rsidRDefault="00970574" w:rsidP="00380783">
      <w:pPr>
        <w:pStyle w:val="ClinContent"/>
        <w:spacing w:before="0"/>
        <w:rPr>
          <w:rFonts w:asciiTheme="minorHAnsi" w:hAnsiTheme="minorHAnsi"/>
          <w:sz w:val="24"/>
          <w:lang w:val="pl-PL"/>
        </w:rPr>
      </w:pPr>
    </w:p>
    <w:p w:rsidR="00970574" w:rsidRPr="00ED0C6A" w:rsidRDefault="00970574" w:rsidP="00380783">
      <w:pPr>
        <w:pStyle w:val="ClinContent"/>
        <w:spacing w:before="0"/>
        <w:rPr>
          <w:rFonts w:asciiTheme="minorHAnsi" w:hAnsiTheme="minorHAnsi"/>
          <w:sz w:val="24"/>
          <w:lang w:val="pl-PL"/>
        </w:rPr>
      </w:pPr>
      <w:r w:rsidRPr="00ED0C6A">
        <w:rPr>
          <w:rFonts w:asciiTheme="minorHAnsi" w:hAnsiTheme="minorHAnsi"/>
          <w:sz w:val="24"/>
          <w:lang w:val="pl-PL"/>
        </w:rPr>
        <w:t>Oceniając zaś skutki</w:t>
      </w:r>
      <w:r w:rsidR="00044A0A" w:rsidRPr="00ED0C6A">
        <w:rPr>
          <w:rFonts w:asciiTheme="minorHAnsi" w:hAnsiTheme="minorHAnsi"/>
          <w:sz w:val="24"/>
          <w:lang w:val="pl-PL"/>
        </w:rPr>
        <w:t xml:space="preserve"> powyższych oskarżeń przekazanych władzom, </w:t>
      </w:r>
      <w:r w:rsidRPr="00ED0C6A">
        <w:rPr>
          <w:rFonts w:asciiTheme="minorHAnsi" w:hAnsiTheme="minorHAnsi"/>
          <w:sz w:val="24"/>
          <w:lang w:val="pl-PL"/>
        </w:rPr>
        <w:t xml:space="preserve">Trybunał </w:t>
      </w:r>
      <w:r w:rsidR="00044A0A" w:rsidRPr="00ED0C6A">
        <w:rPr>
          <w:rFonts w:asciiTheme="minorHAnsi" w:hAnsiTheme="minorHAnsi"/>
          <w:sz w:val="24"/>
          <w:lang w:val="pl-PL"/>
        </w:rPr>
        <w:t>nie m</w:t>
      </w:r>
      <w:r w:rsidRPr="00ED0C6A">
        <w:rPr>
          <w:rFonts w:asciiTheme="minorHAnsi" w:hAnsiTheme="minorHAnsi"/>
          <w:sz w:val="24"/>
          <w:lang w:val="pl-PL"/>
        </w:rPr>
        <w:t>iał</w:t>
      </w:r>
      <w:r w:rsidR="00044A0A" w:rsidRPr="00ED0C6A">
        <w:rPr>
          <w:rFonts w:asciiTheme="minorHAnsi" w:hAnsiTheme="minorHAnsi"/>
          <w:sz w:val="24"/>
          <w:lang w:val="pl-PL"/>
        </w:rPr>
        <w:t xml:space="preserve"> praktycznie wątpliwości, że rozważając je łącznie i w szczególnym kontekście, w jakim zostały one podniesione, zachowanie przypisane redaktor miało być postrzegane jako szczególnie niewłaściwe z punktu widzenia moralnego i społecznego. Zarzuty stawiały ją w bardzo niekorzystnym świetle i jako osobę nieokazującą szacunku oraz mającą pogardliwe poglądy i</w:t>
      </w:r>
      <w:r w:rsidR="00335B71">
        <w:rPr>
          <w:rFonts w:asciiTheme="minorHAnsi" w:hAnsiTheme="minorHAnsi"/>
          <w:sz w:val="24"/>
          <w:lang w:val="pl-PL"/>
        </w:rPr>
        <w:t> </w:t>
      </w:r>
      <w:r w:rsidR="00044A0A" w:rsidRPr="00ED0C6A">
        <w:rPr>
          <w:rFonts w:asciiTheme="minorHAnsi" w:hAnsiTheme="minorHAnsi"/>
          <w:sz w:val="24"/>
          <w:lang w:val="pl-PL"/>
        </w:rPr>
        <w:t>uczucia wobec muzułmanów i etnicznych Bośniaków. Sądy krajowe uznały, że</w:t>
      </w:r>
      <w:r w:rsidR="00335B71">
        <w:rPr>
          <w:rFonts w:asciiTheme="minorHAnsi" w:hAnsiTheme="minorHAnsi"/>
          <w:sz w:val="24"/>
          <w:lang w:val="pl-PL"/>
        </w:rPr>
        <w:t> </w:t>
      </w:r>
      <w:r w:rsidR="00044A0A" w:rsidRPr="00ED0C6A">
        <w:rPr>
          <w:rFonts w:asciiTheme="minorHAnsi" w:hAnsiTheme="minorHAnsi"/>
          <w:sz w:val="24"/>
          <w:lang w:val="pl-PL"/>
        </w:rPr>
        <w:t xml:space="preserve">przedmiotowe wypowiedzi zawierały zniesławiające oskarżenia, które wyrządziły szkodę jej dobremu imieniu, a Trybunał nie znalazł powodów, by uznać inaczej. </w:t>
      </w:r>
    </w:p>
    <w:p w:rsidR="00970574" w:rsidRPr="00ED0C6A" w:rsidRDefault="00970574"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Fakt, że oskarżenia zostały przekazane ograniczonej liczbie funkcjonariuszy publicznych za</w:t>
      </w:r>
      <w:r w:rsidR="00335B71">
        <w:rPr>
          <w:rFonts w:asciiTheme="minorHAnsi" w:hAnsiTheme="minorHAnsi"/>
          <w:sz w:val="24"/>
          <w:lang w:val="pl-PL"/>
        </w:rPr>
        <w:t> </w:t>
      </w:r>
      <w:r w:rsidRPr="00ED0C6A">
        <w:rPr>
          <w:rFonts w:asciiTheme="minorHAnsi" w:hAnsiTheme="minorHAnsi"/>
          <w:sz w:val="24"/>
          <w:lang w:val="pl-PL"/>
        </w:rPr>
        <w:t>pomocą prywatnej korespondencji</w:t>
      </w:r>
      <w:r w:rsidR="00350152" w:rsidRPr="00ED0C6A">
        <w:rPr>
          <w:rFonts w:asciiTheme="minorHAnsi" w:hAnsiTheme="minorHAnsi"/>
          <w:sz w:val="24"/>
          <w:lang w:val="pl-PL"/>
        </w:rPr>
        <w:t>,</w:t>
      </w:r>
      <w:r w:rsidRPr="00ED0C6A">
        <w:rPr>
          <w:rFonts w:asciiTheme="minorHAnsi" w:hAnsiTheme="minorHAnsi"/>
          <w:sz w:val="24"/>
          <w:lang w:val="pl-PL"/>
        </w:rPr>
        <w:t xml:space="preserve"> nie eliminował możliwych szkodliwych skutków dla</w:t>
      </w:r>
      <w:r w:rsidR="00335B71">
        <w:rPr>
          <w:rFonts w:asciiTheme="minorHAnsi" w:hAnsiTheme="minorHAnsi"/>
          <w:sz w:val="24"/>
          <w:lang w:val="pl-PL"/>
        </w:rPr>
        <w:t> </w:t>
      </w:r>
      <w:r w:rsidRPr="00ED0C6A">
        <w:rPr>
          <w:rFonts w:asciiTheme="minorHAnsi" w:hAnsiTheme="minorHAnsi"/>
          <w:sz w:val="24"/>
          <w:lang w:val="pl-PL"/>
        </w:rPr>
        <w:t xml:space="preserve">perspektyw zawodowych redaktor jako urzędnika cywilnego i dla jej reputacji zawodowej jako dziennikarza. Niezależnie </w:t>
      </w:r>
      <w:r w:rsidR="00970574" w:rsidRPr="00ED0C6A">
        <w:rPr>
          <w:rFonts w:asciiTheme="minorHAnsi" w:hAnsiTheme="minorHAnsi"/>
          <w:sz w:val="24"/>
          <w:lang w:val="pl-PL"/>
        </w:rPr>
        <w:t xml:space="preserve">też </w:t>
      </w:r>
      <w:r w:rsidRPr="00ED0C6A">
        <w:rPr>
          <w:rFonts w:asciiTheme="minorHAnsi" w:hAnsiTheme="minorHAnsi"/>
          <w:sz w:val="24"/>
          <w:lang w:val="pl-PL"/>
        </w:rPr>
        <w:t>od tego, w jaki sposób list dostał się do mediów, można</w:t>
      </w:r>
      <w:r w:rsidR="00335B71">
        <w:rPr>
          <w:rFonts w:asciiTheme="minorHAnsi" w:hAnsiTheme="minorHAnsi"/>
          <w:sz w:val="24"/>
          <w:lang w:val="pl-PL"/>
        </w:rPr>
        <w:t> </w:t>
      </w:r>
      <w:r w:rsidRPr="00ED0C6A">
        <w:rPr>
          <w:rFonts w:asciiTheme="minorHAnsi" w:hAnsiTheme="minorHAnsi"/>
          <w:sz w:val="24"/>
          <w:lang w:val="pl-PL"/>
        </w:rPr>
        <w:t>przyjąć, że jego opublikowanie umożliwiło debatę publiczną i spotęgowało szkodę wyrządzoną jej godności i reputacji zawodowej.</w:t>
      </w:r>
    </w:p>
    <w:p w:rsidR="00970574" w:rsidRPr="00ED0C6A" w:rsidRDefault="00970574" w:rsidP="00380783">
      <w:pPr>
        <w:pStyle w:val="ClinContent"/>
        <w:spacing w:before="0"/>
        <w:rPr>
          <w:rFonts w:asciiTheme="minorHAnsi" w:hAnsiTheme="minorHAnsi"/>
          <w:sz w:val="24"/>
          <w:lang w:val="pl-PL"/>
        </w:rPr>
      </w:pPr>
    </w:p>
    <w:p w:rsidR="00970574"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(c) </w:t>
      </w:r>
      <w:r w:rsidRPr="00ED0C6A">
        <w:rPr>
          <w:rFonts w:asciiTheme="minorHAnsi" w:hAnsiTheme="minorHAnsi"/>
          <w:i/>
          <w:sz w:val="24"/>
          <w:u w:val="single"/>
          <w:lang w:val="pl-PL"/>
        </w:rPr>
        <w:t>Autentyczność ujawnionej informacji</w:t>
      </w:r>
      <w:r w:rsidRPr="00ED0C6A">
        <w:rPr>
          <w:rFonts w:asciiTheme="minorHAnsi" w:hAnsiTheme="minorHAnsi"/>
          <w:sz w:val="24"/>
          <w:lang w:val="pl-PL"/>
        </w:rPr>
        <w:t xml:space="preserve"> – Najistotniejszym czynnikiem </w:t>
      </w:r>
      <w:r w:rsidR="00350152" w:rsidRPr="00ED0C6A">
        <w:rPr>
          <w:rFonts w:asciiTheme="minorHAnsi" w:hAnsiTheme="minorHAnsi"/>
          <w:sz w:val="24"/>
          <w:lang w:val="pl-PL"/>
        </w:rPr>
        <w:t>w procesie</w:t>
      </w:r>
      <w:r w:rsidRPr="00ED0C6A">
        <w:rPr>
          <w:rFonts w:asciiTheme="minorHAnsi" w:hAnsiTheme="minorHAnsi"/>
          <w:sz w:val="24"/>
          <w:lang w:val="pl-PL"/>
        </w:rPr>
        <w:t xml:space="preserve"> ważenia interesów w obecnej sprawie była </w:t>
      </w:r>
      <w:r w:rsidR="00970574" w:rsidRPr="00ED0C6A">
        <w:rPr>
          <w:rFonts w:asciiTheme="minorHAnsi" w:hAnsiTheme="minorHAnsi"/>
          <w:sz w:val="24"/>
          <w:lang w:val="pl-PL"/>
        </w:rPr>
        <w:t xml:space="preserve">dla Trybunału </w:t>
      </w:r>
      <w:r w:rsidRPr="00ED0C6A">
        <w:rPr>
          <w:rFonts w:asciiTheme="minorHAnsi" w:hAnsiTheme="minorHAnsi"/>
          <w:sz w:val="24"/>
          <w:lang w:val="pl-PL"/>
        </w:rPr>
        <w:t xml:space="preserve">kwestia autentyczności informacji przekazanej władzom. </w:t>
      </w:r>
      <w:r w:rsidR="00970574" w:rsidRPr="00ED0C6A">
        <w:rPr>
          <w:rFonts w:asciiTheme="minorHAnsi" w:hAnsiTheme="minorHAnsi"/>
          <w:sz w:val="24"/>
          <w:lang w:val="pl-PL"/>
        </w:rPr>
        <w:t>Trybunał przypomniał, że w</w:t>
      </w:r>
      <w:r w:rsidRPr="00ED0C6A">
        <w:rPr>
          <w:rFonts w:asciiTheme="minorHAnsi" w:hAnsiTheme="minorHAnsi"/>
          <w:sz w:val="24"/>
          <w:lang w:val="pl-PL"/>
        </w:rPr>
        <w:t xml:space="preserve"> kontekście wolności prasy wymagane są szczególne podstawy, by media mogły zostać zwolnione ze swego zwykłego obowiązku weryfikacji wypowiedzi o faktach, które są zniesławiające dla osób prywatnych. </w:t>
      </w:r>
    </w:p>
    <w:p w:rsidR="00970574" w:rsidRPr="00ED0C6A" w:rsidRDefault="00970574"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Podobnie jak w przypadk</w:t>
      </w:r>
      <w:r w:rsidR="00FF1A77" w:rsidRPr="00ED0C6A">
        <w:rPr>
          <w:rFonts w:asciiTheme="minorHAnsi" w:hAnsiTheme="minorHAnsi"/>
          <w:sz w:val="24"/>
          <w:lang w:val="pl-PL"/>
        </w:rPr>
        <w:t>u</w:t>
      </w:r>
      <w:r w:rsidRPr="00ED0C6A">
        <w:rPr>
          <w:rFonts w:asciiTheme="minorHAnsi" w:hAnsiTheme="minorHAnsi"/>
          <w:sz w:val="24"/>
          <w:lang w:val="pl-PL"/>
        </w:rPr>
        <w:t xml:space="preserve"> prasy, skarżący byli zobowiązani do zweryfikowania prawdziwości p</w:t>
      </w:r>
      <w:r w:rsidR="00350152" w:rsidRPr="00ED0C6A">
        <w:rPr>
          <w:rFonts w:asciiTheme="minorHAnsi" w:hAnsiTheme="minorHAnsi"/>
          <w:sz w:val="24"/>
          <w:lang w:val="pl-PL"/>
        </w:rPr>
        <w:t>odnoszonych</w:t>
      </w:r>
      <w:r w:rsidRPr="00ED0C6A">
        <w:rPr>
          <w:rFonts w:asciiTheme="minorHAnsi" w:hAnsiTheme="minorHAnsi"/>
          <w:sz w:val="24"/>
          <w:lang w:val="pl-PL"/>
        </w:rPr>
        <w:t xml:space="preserve"> zarzutów. </w:t>
      </w:r>
      <w:r w:rsidR="00970574" w:rsidRPr="00ED0C6A">
        <w:rPr>
          <w:rFonts w:asciiTheme="minorHAnsi" w:hAnsiTheme="minorHAnsi"/>
          <w:sz w:val="24"/>
          <w:lang w:val="pl-PL"/>
        </w:rPr>
        <w:t>Trybunał podkreślił, że w</w:t>
      </w:r>
      <w:r w:rsidRPr="00ED0C6A">
        <w:rPr>
          <w:rFonts w:asciiTheme="minorHAnsi" w:hAnsiTheme="minorHAnsi"/>
          <w:sz w:val="24"/>
          <w:lang w:val="pl-PL"/>
        </w:rPr>
        <w:t xml:space="preserve">ymóg ten stanowi nieodłączną część </w:t>
      </w:r>
      <w:r w:rsidRPr="00ED0C6A">
        <w:rPr>
          <w:rFonts w:asciiTheme="minorHAnsi" w:hAnsiTheme="minorHAnsi"/>
          <w:i/>
          <w:sz w:val="24"/>
          <w:lang w:val="pl-PL"/>
        </w:rPr>
        <w:t>Kodeksu etyki i postępowania organizacji pozarządowych</w:t>
      </w:r>
      <w:r w:rsidRPr="00ED0C6A">
        <w:rPr>
          <w:rFonts w:asciiTheme="minorHAnsi" w:hAnsiTheme="minorHAnsi"/>
          <w:sz w:val="24"/>
          <w:lang w:val="pl-PL"/>
        </w:rPr>
        <w:t xml:space="preserve"> (NGO)</w:t>
      </w:r>
      <w:r w:rsidR="00382BA1" w:rsidRPr="00ED0C6A">
        <w:rPr>
          <w:rStyle w:val="Odwoanieprzypisudolnego"/>
          <w:rFonts w:asciiTheme="minorHAnsi" w:hAnsiTheme="minorHAnsi"/>
          <w:sz w:val="24"/>
          <w:lang w:val="pl-PL"/>
        </w:rPr>
        <w:footnoteReference w:id="26"/>
      </w:r>
      <w:r w:rsidRPr="00ED0C6A">
        <w:rPr>
          <w:rFonts w:asciiTheme="minorHAnsi" w:hAnsiTheme="minorHAnsi"/>
          <w:sz w:val="24"/>
          <w:lang w:val="pl-PL"/>
        </w:rPr>
        <w:t>.</w:t>
      </w:r>
    </w:p>
    <w:p w:rsidR="00970574" w:rsidRPr="00ED0C6A" w:rsidRDefault="00970574" w:rsidP="00380783">
      <w:pPr>
        <w:pStyle w:val="ClinContent"/>
        <w:spacing w:before="0"/>
        <w:rPr>
          <w:rFonts w:asciiTheme="minorHAnsi" w:hAnsiTheme="minorHAnsi"/>
          <w:sz w:val="24"/>
          <w:lang w:val="pl-PL"/>
        </w:rPr>
      </w:pPr>
    </w:p>
    <w:p w:rsidR="00C51CBC"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Władze krajowe uznały</w:t>
      </w:r>
      <w:r w:rsidR="00970574" w:rsidRPr="00ED0C6A">
        <w:rPr>
          <w:rFonts w:asciiTheme="minorHAnsi" w:hAnsiTheme="minorHAnsi"/>
          <w:sz w:val="24"/>
          <w:lang w:val="pl-PL"/>
        </w:rPr>
        <w:t xml:space="preserve"> natomiast</w:t>
      </w:r>
      <w:r w:rsidRPr="00ED0C6A">
        <w:rPr>
          <w:rFonts w:asciiTheme="minorHAnsi" w:hAnsiTheme="minorHAnsi"/>
          <w:sz w:val="24"/>
          <w:lang w:val="pl-PL"/>
        </w:rPr>
        <w:t>, że zachodziła oczywista niespójność między tym, co</w:t>
      </w:r>
      <w:r w:rsidR="00335B71">
        <w:rPr>
          <w:rFonts w:asciiTheme="minorHAnsi" w:hAnsiTheme="minorHAnsi"/>
          <w:sz w:val="24"/>
          <w:lang w:val="pl-PL"/>
        </w:rPr>
        <w:t> </w:t>
      </w:r>
      <w:r w:rsidRPr="00ED0C6A">
        <w:rPr>
          <w:rFonts w:asciiTheme="minorHAnsi" w:hAnsiTheme="minorHAnsi"/>
          <w:sz w:val="24"/>
          <w:lang w:val="pl-PL"/>
        </w:rPr>
        <w:t>pozwani usłyszeli od pracowników radia, a tym</w:t>
      </w:r>
      <w:r w:rsidR="00350152" w:rsidRPr="00ED0C6A">
        <w:rPr>
          <w:rFonts w:asciiTheme="minorHAnsi" w:hAnsiTheme="minorHAnsi"/>
          <w:sz w:val="24"/>
          <w:lang w:val="pl-PL"/>
        </w:rPr>
        <w:t>,</w:t>
      </w:r>
      <w:r w:rsidRPr="00ED0C6A">
        <w:rPr>
          <w:rFonts w:asciiTheme="minorHAnsi" w:hAnsiTheme="minorHAnsi"/>
          <w:sz w:val="24"/>
          <w:lang w:val="pl-PL"/>
        </w:rPr>
        <w:t xml:space="preserve"> co relacjonowali w liście. Skarżący, jako</w:t>
      </w:r>
      <w:r w:rsidR="00335B71">
        <w:rPr>
          <w:rFonts w:asciiTheme="minorHAnsi" w:hAnsiTheme="minorHAnsi"/>
          <w:sz w:val="24"/>
          <w:lang w:val="pl-PL"/>
        </w:rPr>
        <w:t> </w:t>
      </w:r>
      <w:r w:rsidRPr="00ED0C6A">
        <w:rPr>
          <w:rFonts w:asciiTheme="minorHAnsi" w:hAnsiTheme="minorHAnsi"/>
          <w:sz w:val="24"/>
          <w:lang w:val="pl-PL"/>
        </w:rPr>
        <w:t>organizacje pozarządowe, których członkowie cieszyli się dobrą reputacją w</w:t>
      </w:r>
      <w:r w:rsidR="00335B71">
        <w:rPr>
          <w:rFonts w:asciiTheme="minorHAnsi" w:hAnsiTheme="minorHAnsi"/>
          <w:sz w:val="24"/>
          <w:lang w:val="pl-PL"/>
        </w:rPr>
        <w:t> </w:t>
      </w:r>
      <w:r w:rsidRPr="00ED0C6A">
        <w:rPr>
          <w:rFonts w:asciiTheme="minorHAnsi" w:hAnsiTheme="minorHAnsi"/>
          <w:sz w:val="24"/>
          <w:lang w:val="pl-PL"/>
        </w:rPr>
        <w:t>społeczeństwie, byli zobowiązani do dokładnego przedstawienia relacji pracowników, co</w:t>
      </w:r>
      <w:r w:rsidR="00335B71">
        <w:rPr>
          <w:rFonts w:asciiTheme="minorHAnsi" w:hAnsiTheme="minorHAnsi"/>
          <w:sz w:val="24"/>
          <w:lang w:val="pl-PL"/>
        </w:rPr>
        <w:t> </w:t>
      </w:r>
      <w:r w:rsidRPr="00ED0C6A">
        <w:rPr>
          <w:rFonts w:asciiTheme="minorHAnsi" w:hAnsiTheme="minorHAnsi"/>
          <w:sz w:val="24"/>
          <w:lang w:val="pl-PL"/>
        </w:rPr>
        <w:t xml:space="preserve">stanowiło istotny element budowania i utrzymania wzajemnego zaufania i ich wizerunku jako kompetentnych i odpowiedzialnych uczestników życia publicznego. </w:t>
      </w:r>
    </w:p>
    <w:p w:rsidR="00C51CBC" w:rsidRPr="00ED0C6A" w:rsidRDefault="00C51CBC"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Sądy krajowe ustaliły, że wbrew temu, co zarzucano, redaktor nie była autorem komentarzy relacjonowanych w tygodniku. Weryfikacja tego faktu przed jego przedstawieniem nie</w:t>
      </w:r>
      <w:r w:rsidR="00335B71">
        <w:rPr>
          <w:rFonts w:asciiTheme="minorHAnsi" w:hAnsiTheme="minorHAnsi"/>
          <w:sz w:val="24"/>
          <w:lang w:val="pl-PL"/>
        </w:rPr>
        <w:t> </w:t>
      </w:r>
      <w:r w:rsidRPr="00ED0C6A">
        <w:rPr>
          <w:rFonts w:asciiTheme="minorHAnsi" w:hAnsiTheme="minorHAnsi"/>
          <w:sz w:val="24"/>
          <w:lang w:val="pl-PL"/>
        </w:rPr>
        <w:t xml:space="preserve">wymagała żadnego szczególnego wysiłku ze strony skarżących. </w:t>
      </w:r>
    </w:p>
    <w:p w:rsidR="00C51CBC" w:rsidRPr="00ED0C6A" w:rsidRDefault="00C51CBC"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Trybunał nie znalazł powodów, by odstąpić od ustaleń uczynionych przez sądy krajowe, że</w:t>
      </w:r>
      <w:r w:rsidR="00335B71">
        <w:rPr>
          <w:rFonts w:asciiTheme="minorHAnsi" w:hAnsiTheme="minorHAnsi"/>
          <w:sz w:val="24"/>
          <w:lang w:val="pl-PL"/>
        </w:rPr>
        <w:t> </w:t>
      </w:r>
      <w:r w:rsidRPr="00ED0C6A">
        <w:rPr>
          <w:rFonts w:asciiTheme="minorHAnsi" w:hAnsiTheme="minorHAnsi"/>
          <w:sz w:val="24"/>
          <w:lang w:val="pl-PL"/>
        </w:rPr>
        <w:t>skarżący nie udowodnili prawdziwości swych wypowiedzi, o których wiedzieli lub powinni</w:t>
      </w:r>
      <w:r w:rsidR="00C51CBC" w:rsidRPr="00ED0C6A">
        <w:rPr>
          <w:rFonts w:asciiTheme="minorHAnsi" w:hAnsiTheme="minorHAnsi"/>
          <w:sz w:val="24"/>
          <w:lang w:val="pl-PL"/>
        </w:rPr>
        <w:t xml:space="preserve"> byli wiedzieć, że były fałszywe. U</w:t>
      </w:r>
      <w:r w:rsidRPr="00ED0C6A">
        <w:rPr>
          <w:rFonts w:asciiTheme="minorHAnsi" w:hAnsiTheme="minorHAnsi"/>
          <w:sz w:val="24"/>
          <w:lang w:val="pl-PL"/>
        </w:rPr>
        <w:t>znał zatem, że skarżący nie mieli wystarczających podstaw faktycznych dla</w:t>
      </w:r>
      <w:r w:rsidR="00350152" w:rsidRPr="00ED0C6A">
        <w:rPr>
          <w:rFonts w:asciiTheme="minorHAnsi" w:hAnsiTheme="minorHAnsi"/>
          <w:sz w:val="24"/>
          <w:lang w:val="pl-PL"/>
        </w:rPr>
        <w:t xml:space="preserve"> swych</w:t>
      </w:r>
      <w:r w:rsidRPr="00ED0C6A">
        <w:rPr>
          <w:rFonts w:asciiTheme="minorHAnsi" w:hAnsiTheme="minorHAnsi"/>
          <w:sz w:val="24"/>
          <w:lang w:val="pl-PL"/>
        </w:rPr>
        <w:t xml:space="preserve"> zarzutów na temat redaktor podn</w:t>
      </w:r>
      <w:r w:rsidR="00C51CBC" w:rsidRPr="00ED0C6A">
        <w:rPr>
          <w:rFonts w:asciiTheme="minorHAnsi" w:hAnsiTheme="minorHAnsi"/>
          <w:sz w:val="24"/>
          <w:lang w:val="pl-PL"/>
        </w:rPr>
        <w:t>iesionych</w:t>
      </w:r>
      <w:r w:rsidRPr="00ED0C6A">
        <w:rPr>
          <w:rFonts w:asciiTheme="minorHAnsi" w:hAnsiTheme="minorHAnsi"/>
          <w:sz w:val="24"/>
          <w:lang w:val="pl-PL"/>
        </w:rPr>
        <w:t xml:space="preserve"> przez nich w liście. </w:t>
      </w:r>
    </w:p>
    <w:p w:rsidR="00C51CBC" w:rsidRPr="00ED0C6A" w:rsidRDefault="00C51CBC" w:rsidP="00380783">
      <w:pPr>
        <w:pStyle w:val="ClinContent"/>
        <w:spacing w:before="0"/>
        <w:rPr>
          <w:rFonts w:asciiTheme="minorHAnsi" w:hAnsiTheme="minorHAnsi"/>
          <w:sz w:val="24"/>
          <w:lang w:val="pl-PL"/>
        </w:rPr>
      </w:pPr>
    </w:p>
    <w:p w:rsidR="00044A0A" w:rsidRPr="00ED0C6A" w:rsidRDefault="00044A0A"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(d) </w:t>
      </w:r>
      <w:r w:rsidRPr="00ED0C6A">
        <w:rPr>
          <w:rFonts w:asciiTheme="minorHAnsi" w:hAnsiTheme="minorHAnsi"/>
          <w:i/>
          <w:sz w:val="24"/>
          <w:u w:val="single"/>
          <w:lang w:val="pl-PL"/>
        </w:rPr>
        <w:t>Surowość sankcji</w:t>
      </w:r>
      <w:r w:rsidRPr="00ED0C6A">
        <w:rPr>
          <w:rFonts w:asciiTheme="minorHAnsi" w:hAnsiTheme="minorHAnsi"/>
          <w:i/>
          <w:sz w:val="24"/>
          <w:lang w:val="pl-PL"/>
        </w:rPr>
        <w:t xml:space="preserve"> </w:t>
      </w:r>
      <w:r w:rsidRPr="00ED0C6A">
        <w:rPr>
          <w:rFonts w:asciiTheme="minorHAnsi" w:hAnsiTheme="minorHAnsi"/>
          <w:sz w:val="24"/>
          <w:lang w:val="pl-PL"/>
        </w:rPr>
        <w:t>– Władze krajowe nakazały skarżącym poinformowanie władz, że</w:t>
      </w:r>
      <w:r w:rsidR="00335B71">
        <w:rPr>
          <w:rFonts w:asciiTheme="minorHAnsi" w:hAnsiTheme="minorHAnsi"/>
          <w:sz w:val="24"/>
          <w:lang w:val="pl-PL"/>
        </w:rPr>
        <w:t> </w:t>
      </w:r>
      <w:r w:rsidRPr="00ED0C6A">
        <w:rPr>
          <w:rFonts w:asciiTheme="minorHAnsi" w:hAnsiTheme="minorHAnsi"/>
          <w:sz w:val="24"/>
          <w:lang w:val="pl-PL"/>
        </w:rPr>
        <w:t xml:space="preserve">wycofują się ze swojego listu, w przeciwnym razie mieliby zapłacić łącznie 1.280 EUR tytułem szkody niemajątkowej. </w:t>
      </w:r>
      <w:r w:rsidR="00C51CBC" w:rsidRPr="00ED0C6A">
        <w:rPr>
          <w:rFonts w:asciiTheme="minorHAnsi" w:hAnsiTheme="minorHAnsi"/>
          <w:sz w:val="24"/>
          <w:lang w:val="pl-PL"/>
        </w:rPr>
        <w:t>W opinii Trybunału, k</w:t>
      </w:r>
      <w:r w:rsidRPr="00ED0C6A">
        <w:rPr>
          <w:rFonts w:asciiTheme="minorHAnsi" w:hAnsiTheme="minorHAnsi"/>
          <w:sz w:val="24"/>
          <w:lang w:val="pl-PL"/>
        </w:rPr>
        <w:t xml:space="preserve">wota, którą nakazano zapłacić skarżącym, sama w sobie nie była nieproporcjonalna. </w:t>
      </w:r>
    </w:p>
    <w:p w:rsidR="00C51CBC" w:rsidRPr="00ED0C6A" w:rsidRDefault="00C51CBC" w:rsidP="00380783">
      <w:pPr>
        <w:pStyle w:val="ClinContent"/>
        <w:spacing w:before="0"/>
        <w:rPr>
          <w:rFonts w:asciiTheme="minorHAnsi" w:hAnsiTheme="minorHAnsi"/>
          <w:sz w:val="24"/>
          <w:lang w:val="pl-PL"/>
        </w:rPr>
      </w:pPr>
    </w:p>
    <w:p w:rsidR="00044A0A" w:rsidRPr="00ED0C6A" w:rsidRDefault="00C51CBC"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W podsumowaniu, </w:t>
      </w:r>
      <w:r w:rsidR="00044A0A" w:rsidRPr="00ED0C6A">
        <w:rPr>
          <w:rFonts w:asciiTheme="minorHAnsi" w:hAnsiTheme="minorHAnsi"/>
          <w:sz w:val="24"/>
          <w:lang w:val="pl-PL"/>
        </w:rPr>
        <w:t xml:space="preserve">Trybunał nie dostrzegł </w:t>
      </w:r>
      <w:r w:rsidR="00350152" w:rsidRPr="00ED0C6A">
        <w:rPr>
          <w:rFonts w:asciiTheme="minorHAnsi" w:hAnsiTheme="minorHAnsi"/>
          <w:sz w:val="24"/>
          <w:lang w:val="pl-PL"/>
        </w:rPr>
        <w:t>poważnych</w:t>
      </w:r>
      <w:r w:rsidR="00044A0A" w:rsidRPr="00ED0C6A">
        <w:rPr>
          <w:rFonts w:asciiTheme="minorHAnsi" w:hAnsiTheme="minorHAnsi"/>
          <w:sz w:val="24"/>
          <w:lang w:val="pl-PL"/>
        </w:rPr>
        <w:t xml:space="preserve"> powodów, które wymagałyby zastąpienia opinii sądów </w:t>
      </w:r>
      <w:r w:rsidR="00350152" w:rsidRPr="00ED0C6A">
        <w:rPr>
          <w:rFonts w:asciiTheme="minorHAnsi" w:hAnsiTheme="minorHAnsi"/>
          <w:sz w:val="24"/>
          <w:lang w:val="pl-PL"/>
        </w:rPr>
        <w:t xml:space="preserve">krajowych </w:t>
      </w:r>
      <w:r w:rsidR="00044A0A" w:rsidRPr="00ED0C6A">
        <w:rPr>
          <w:rFonts w:asciiTheme="minorHAnsi" w:hAnsiTheme="minorHAnsi"/>
          <w:sz w:val="24"/>
          <w:lang w:val="pl-PL"/>
        </w:rPr>
        <w:t>jego własną opinią i odstąpienia od dokonanego przez</w:t>
      </w:r>
      <w:r w:rsidR="00335B71">
        <w:rPr>
          <w:rFonts w:asciiTheme="minorHAnsi" w:hAnsiTheme="minorHAnsi"/>
          <w:sz w:val="24"/>
          <w:lang w:val="pl-PL"/>
        </w:rPr>
        <w:t> </w:t>
      </w:r>
      <w:r w:rsidR="00044A0A" w:rsidRPr="00ED0C6A">
        <w:rPr>
          <w:rFonts w:asciiTheme="minorHAnsi" w:hAnsiTheme="minorHAnsi"/>
          <w:sz w:val="24"/>
          <w:lang w:val="pl-PL"/>
        </w:rPr>
        <w:t>te</w:t>
      </w:r>
      <w:r w:rsidR="00335B71">
        <w:rPr>
          <w:rFonts w:asciiTheme="minorHAnsi" w:hAnsiTheme="minorHAnsi"/>
          <w:sz w:val="24"/>
          <w:lang w:val="pl-PL"/>
        </w:rPr>
        <w:t> </w:t>
      </w:r>
      <w:r w:rsidR="00044A0A" w:rsidRPr="00ED0C6A">
        <w:rPr>
          <w:rFonts w:asciiTheme="minorHAnsi" w:hAnsiTheme="minorHAnsi"/>
          <w:sz w:val="24"/>
          <w:lang w:val="pl-PL"/>
        </w:rPr>
        <w:t>sądy wyważenia praw. Uznał, że zakwestionowana ingerencja dokonana została z</w:t>
      </w:r>
      <w:r w:rsidR="00335B71">
        <w:rPr>
          <w:rFonts w:asciiTheme="minorHAnsi" w:hAnsiTheme="minorHAnsi"/>
          <w:sz w:val="24"/>
          <w:lang w:val="pl-PL"/>
        </w:rPr>
        <w:t> </w:t>
      </w:r>
      <w:r w:rsidR="00044A0A" w:rsidRPr="00ED0C6A">
        <w:rPr>
          <w:rFonts w:asciiTheme="minorHAnsi" w:hAnsiTheme="minorHAnsi"/>
          <w:sz w:val="24"/>
          <w:lang w:val="pl-PL"/>
        </w:rPr>
        <w:t xml:space="preserve">istotnych i wystarczających powodów, a władze pozwanego </w:t>
      </w:r>
      <w:r w:rsidR="00721A8D" w:rsidRPr="00ED0C6A">
        <w:rPr>
          <w:rFonts w:asciiTheme="minorHAnsi" w:hAnsiTheme="minorHAnsi"/>
          <w:sz w:val="24"/>
          <w:lang w:val="pl-PL"/>
        </w:rPr>
        <w:t xml:space="preserve">Państwa </w:t>
      </w:r>
      <w:r w:rsidR="00350152" w:rsidRPr="00ED0C6A">
        <w:rPr>
          <w:rFonts w:asciiTheme="minorHAnsi" w:hAnsiTheme="minorHAnsi"/>
          <w:sz w:val="24"/>
          <w:lang w:val="pl-PL"/>
        </w:rPr>
        <w:t xml:space="preserve">zachowały </w:t>
      </w:r>
      <w:r w:rsidR="00044A0A" w:rsidRPr="00ED0C6A">
        <w:rPr>
          <w:rFonts w:asciiTheme="minorHAnsi" w:hAnsiTheme="minorHAnsi"/>
          <w:sz w:val="24"/>
          <w:lang w:val="pl-PL"/>
        </w:rPr>
        <w:t>sprawiedliwą równowagę między, z jednej strony, interesem skarżących związanym z</w:t>
      </w:r>
      <w:r w:rsidR="00335B71">
        <w:rPr>
          <w:rFonts w:asciiTheme="minorHAnsi" w:hAnsiTheme="minorHAnsi"/>
          <w:sz w:val="24"/>
          <w:lang w:val="pl-PL"/>
        </w:rPr>
        <w:t> </w:t>
      </w:r>
      <w:r w:rsidR="00044A0A" w:rsidRPr="00ED0C6A">
        <w:rPr>
          <w:rFonts w:asciiTheme="minorHAnsi" w:hAnsiTheme="minorHAnsi"/>
          <w:sz w:val="24"/>
          <w:lang w:val="pl-PL"/>
        </w:rPr>
        <w:t xml:space="preserve">wolnością </w:t>
      </w:r>
      <w:r w:rsidRPr="00ED0C6A">
        <w:rPr>
          <w:rFonts w:asciiTheme="minorHAnsi" w:hAnsiTheme="minorHAnsi"/>
          <w:sz w:val="24"/>
          <w:lang w:val="pl-PL"/>
        </w:rPr>
        <w:t>wyrażania opinii</w:t>
      </w:r>
      <w:r w:rsidR="00044A0A" w:rsidRPr="00ED0C6A">
        <w:rPr>
          <w:rFonts w:asciiTheme="minorHAnsi" w:hAnsiTheme="minorHAnsi"/>
          <w:sz w:val="24"/>
          <w:lang w:val="pl-PL"/>
        </w:rPr>
        <w:t>, a z drugiej strony, interesem redaktor związanym z ochroną jej</w:t>
      </w:r>
      <w:r w:rsidR="00335B71">
        <w:rPr>
          <w:rFonts w:asciiTheme="minorHAnsi" w:hAnsiTheme="minorHAnsi"/>
          <w:sz w:val="24"/>
          <w:lang w:val="pl-PL"/>
        </w:rPr>
        <w:t> </w:t>
      </w:r>
      <w:r w:rsidR="00044A0A" w:rsidRPr="00ED0C6A">
        <w:rPr>
          <w:rFonts w:asciiTheme="minorHAnsi" w:hAnsiTheme="minorHAnsi"/>
          <w:sz w:val="24"/>
          <w:lang w:val="pl-PL"/>
        </w:rPr>
        <w:t xml:space="preserve">dobrego imienia. </w:t>
      </w:r>
      <w:r w:rsidRPr="00ED0C6A">
        <w:rPr>
          <w:rFonts w:asciiTheme="minorHAnsi" w:hAnsiTheme="minorHAnsi"/>
          <w:sz w:val="24"/>
          <w:lang w:val="pl-PL"/>
        </w:rPr>
        <w:t>Władze d</w:t>
      </w:r>
      <w:r w:rsidR="00044A0A" w:rsidRPr="00ED0C6A">
        <w:rPr>
          <w:rFonts w:asciiTheme="minorHAnsi" w:hAnsiTheme="minorHAnsi"/>
          <w:sz w:val="24"/>
          <w:lang w:val="pl-PL"/>
        </w:rPr>
        <w:t xml:space="preserve">ziałały zatem w ramach przysługującego im marginesu oceny. </w:t>
      </w:r>
    </w:p>
    <w:p w:rsidR="00C51CBC" w:rsidRPr="00ED0C6A" w:rsidRDefault="00C51CBC" w:rsidP="00380783">
      <w:pPr>
        <w:pStyle w:val="ClinContent"/>
        <w:spacing w:before="0"/>
        <w:rPr>
          <w:rFonts w:asciiTheme="minorHAnsi" w:hAnsiTheme="minorHAnsi"/>
          <w:i/>
          <w:sz w:val="24"/>
          <w:lang w:val="pl-PL"/>
        </w:rPr>
      </w:pPr>
    </w:p>
    <w:p w:rsidR="00110DB8" w:rsidRPr="00ED0C6A" w:rsidRDefault="00C51CBC" w:rsidP="00C51CBC">
      <w:pPr>
        <w:pStyle w:val="ClinContent"/>
        <w:spacing w:before="0"/>
        <w:rPr>
          <w:rFonts w:asciiTheme="minorHAnsi" w:hAnsiTheme="minorHAnsi"/>
          <w:sz w:val="24"/>
          <w:lang w:val="pl-PL"/>
        </w:rPr>
      </w:pPr>
      <w:r w:rsidRPr="00ED0C6A">
        <w:rPr>
          <w:rFonts w:asciiTheme="minorHAnsi" w:hAnsiTheme="minorHAnsi"/>
          <w:sz w:val="24"/>
          <w:lang w:val="pl-PL"/>
        </w:rPr>
        <w:t>Z powyższych względów Trybunał orzekł jedenastoma głosami do sześciu, że w sprawie tej</w:t>
      </w:r>
      <w:r w:rsidR="00335B71">
        <w:rPr>
          <w:rFonts w:asciiTheme="minorHAnsi" w:hAnsiTheme="minorHAnsi"/>
          <w:sz w:val="24"/>
          <w:lang w:val="pl-PL"/>
        </w:rPr>
        <w:t> </w:t>
      </w:r>
      <w:r w:rsidRPr="00ED0C6A">
        <w:rPr>
          <w:rFonts w:asciiTheme="minorHAnsi" w:hAnsiTheme="minorHAnsi"/>
          <w:sz w:val="24"/>
          <w:lang w:val="pl-PL"/>
        </w:rPr>
        <w:t xml:space="preserve">nie doszło do </w:t>
      </w:r>
      <w:r w:rsidR="00044A0A" w:rsidRPr="00ED0C6A">
        <w:rPr>
          <w:rFonts w:asciiTheme="minorHAnsi" w:hAnsiTheme="minorHAnsi"/>
          <w:sz w:val="24"/>
          <w:lang w:val="pl-PL"/>
        </w:rPr>
        <w:t xml:space="preserve">naruszenia </w:t>
      </w:r>
      <w:r w:rsidRPr="00ED0C6A">
        <w:rPr>
          <w:rFonts w:asciiTheme="minorHAnsi" w:hAnsiTheme="minorHAnsi"/>
          <w:sz w:val="24"/>
          <w:lang w:val="pl-PL"/>
        </w:rPr>
        <w:t>art. 10 Konwencji (prawo do wolności wyrażania opinii.</w:t>
      </w:r>
    </w:p>
    <w:p w:rsidR="002C0104" w:rsidRPr="00ED0C6A" w:rsidRDefault="002C0104" w:rsidP="00C51CBC">
      <w:pPr>
        <w:pStyle w:val="ClinContent"/>
        <w:spacing w:before="0"/>
        <w:rPr>
          <w:rFonts w:asciiTheme="minorHAnsi" w:hAnsiTheme="minorHAnsi"/>
          <w:sz w:val="24"/>
          <w:lang w:val="pl-PL"/>
        </w:rPr>
      </w:pPr>
    </w:p>
    <w:p w:rsidR="00F30215" w:rsidRPr="00ED0C6A" w:rsidRDefault="001934BC" w:rsidP="00F30215">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Trybunał potwierdził, że organizacje pozarządowe mogą pełnić podobną rolę stróża publicznego jak prasa i inne media, a zatem powinny mieć do</w:t>
      </w:r>
      <w:r w:rsidR="00335B71">
        <w:rPr>
          <w:rFonts w:asciiTheme="minorHAnsi" w:hAnsiTheme="minorHAnsi"/>
          <w:sz w:val="24"/>
          <w:lang w:val="pl-PL"/>
        </w:rPr>
        <w:t> </w:t>
      </w:r>
      <w:r w:rsidRPr="00ED0C6A">
        <w:rPr>
          <w:rFonts w:asciiTheme="minorHAnsi" w:hAnsiTheme="minorHAnsi"/>
          <w:sz w:val="24"/>
          <w:lang w:val="pl-PL"/>
        </w:rPr>
        <w:t>nich</w:t>
      </w:r>
      <w:r w:rsidR="00335B71">
        <w:rPr>
          <w:rFonts w:asciiTheme="minorHAnsi" w:hAnsiTheme="minorHAnsi"/>
          <w:sz w:val="24"/>
          <w:lang w:val="pl-PL"/>
        </w:rPr>
        <w:t> </w:t>
      </w:r>
      <w:r w:rsidRPr="00ED0C6A">
        <w:rPr>
          <w:rFonts w:asciiTheme="minorHAnsi" w:hAnsiTheme="minorHAnsi"/>
          <w:sz w:val="24"/>
          <w:lang w:val="pl-PL"/>
        </w:rPr>
        <w:t xml:space="preserve">zastosowanie zasady wypracowane przez Trybunał w odniesieniu do korzystania przez dziennikarzy z ochrony </w:t>
      </w:r>
      <w:r w:rsidR="00F30215" w:rsidRPr="00ED0C6A">
        <w:rPr>
          <w:rFonts w:asciiTheme="minorHAnsi" w:hAnsiTheme="minorHAnsi"/>
          <w:sz w:val="24"/>
          <w:lang w:val="pl-PL"/>
        </w:rPr>
        <w:t xml:space="preserve">ich praw do wolności wyrażania opinii </w:t>
      </w:r>
      <w:r w:rsidR="00BB44E7" w:rsidRPr="00ED0C6A">
        <w:rPr>
          <w:rFonts w:asciiTheme="minorHAnsi" w:hAnsiTheme="minorHAnsi"/>
          <w:sz w:val="24"/>
          <w:lang w:val="pl-PL"/>
        </w:rPr>
        <w:t>w związku z</w:t>
      </w:r>
      <w:r w:rsidR="00335B71">
        <w:rPr>
          <w:rFonts w:asciiTheme="minorHAnsi" w:hAnsiTheme="minorHAnsi"/>
          <w:sz w:val="24"/>
          <w:lang w:val="pl-PL"/>
        </w:rPr>
        <w:t> </w:t>
      </w:r>
      <w:r w:rsidR="00BB44E7" w:rsidRPr="00ED0C6A">
        <w:rPr>
          <w:rFonts w:asciiTheme="minorHAnsi" w:hAnsiTheme="minorHAnsi"/>
          <w:sz w:val="24"/>
          <w:lang w:val="pl-PL"/>
        </w:rPr>
        <w:t>relacjonowaniem spraw w interesie ogólnym</w:t>
      </w:r>
      <w:r w:rsidR="00F30215" w:rsidRPr="00ED0C6A">
        <w:rPr>
          <w:rFonts w:asciiTheme="minorHAnsi" w:hAnsiTheme="minorHAnsi"/>
          <w:sz w:val="24"/>
          <w:lang w:val="pl-PL"/>
        </w:rPr>
        <w:t>, ale także ich obowiązki</w:t>
      </w:r>
      <w:r w:rsidR="00BB44E7" w:rsidRPr="00ED0C6A">
        <w:rPr>
          <w:rFonts w:asciiTheme="minorHAnsi" w:hAnsiTheme="minorHAnsi"/>
          <w:sz w:val="24"/>
          <w:lang w:val="pl-PL"/>
        </w:rPr>
        <w:t xml:space="preserve">. </w:t>
      </w:r>
      <w:r w:rsidR="009D47B8" w:rsidRPr="00ED0C6A">
        <w:rPr>
          <w:rFonts w:asciiTheme="minorHAnsi" w:hAnsiTheme="minorHAnsi"/>
          <w:sz w:val="24"/>
          <w:lang w:val="pl-PL"/>
        </w:rPr>
        <w:t>Wyrok stanowi kolejny przykład zastosowania przez Trybunał szczegółowych kryteriów z jego orzecznictwa dotyczących oceny, czy sądy krajowe dokonały właściwego wyważenia konkurujących praw – wolności wyrażania opinii organizacji pozarządowych w stosunku do prawa do poszanowania życia prywatnego, w tym dobrego imienia</w:t>
      </w:r>
      <w:r w:rsidR="0049274F" w:rsidRPr="00ED0C6A">
        <w:rPr>
          <w:rFonts w:asciiTheme="minorHAnsi" w:hAnsiTheme="minorHAnsi"/>
          <w:sz w:val="24"/>
          <w:lang w:val="pl-PL"/>
        </w:rPr>
        <w:t>,</w:t>
      </w:r>
      <w:r w:rsidR="009D47B8" w:rsidRPr="00ED0C6A">
        <w:rPr>
          <w:rFonts w:asciiTheme="minorHAnsi" w:hAnsiTheme="minorHAnsi"/>
          <w:sz w:val="24"/>
          <w:lang w:val="pl-PL"/>
        </w:rPr>
        <w:t xml:space="preserve"> innych osób</w:t>
      </w:r>
      <w:r w:rsidR="00A90DA3" w:rsidRPr="00ED0C6A">
        <w:rPr>
          <w:rFonts w:asciiTheme="minorHAnsi" w:hAnsiTheme="minorHAnsi"/>
          <w:sz w:val="24"/>
          <w:lang w:val="pl-PL"/>
        </w:rPr>
        <w:t xml:space="preserve"> (warto uwzględniać te kryteria w</w:t>
      </w:r>
      <w:r w:rsidR="00335B71">
        <w:rPr>
          <w:rFonts w:asciiTheme="minorHAnsi" w:hAnsiTheme="minorHAnsi"/>
          <w:sz w:val="24"/>
          <w:lang w:val="pl-PL"/>
        </w:rPr>
        <w:t> </w:t>
      </w:r>
      <w:r w:rsidR="00A90DA3" w:rsidRPr="00ED0C6A">
        <w:rPr>
          <w:rFonts w:asciiTheme="minorHAnsi" w:hAnsiTheme="minorHAnsi"/>
          <w:sz w:val="24"/>
          <w:lang w:val="pl-PL"/>
        </w:rPr>
        <w:t>prowadzonych działaniach szkoleniowych)</w:t>
      </w:r>
      <w:r w:rsidR="009D47B8" w:rsidRPr="00ED0C6A">
        <w:rPr>
          <w:rFonts w:asciiTheme="minorHAnsi" w:hAnsiTheme="minorHAnsi"/>
          <w:sz w:val="24"/>
          <w:lang w:val="pl-PL"/>
        </w:rPr>
        <w:t xml:space="preserve">. </w:t>
      </w:r>
      <w:r w:rsidR="00BB44E7" w:rsidRPr="00ED0C6A">
        <w:rPr>
          <w:rFonts w:asciiTheme="minorHAnsi" w:hAnsiTheme="minorHAnsi"/>
          <w:sz w:val="24"/>
          <w:lang w:val="pl-PL"/>
        </w:rPr>
        <w:t>W obecnej sprawie Trybunał nadał szczególne znaczenie obowiązkowi zweryfikowania prawdziwości informacji relacjonowanych w</w:t>
      </w:r>
      <w:r w:rsidR="00335B71">
        <w:rPr>
          <w:rFonts w:asciiTheme="minorHAnsi" w:hAnsiTheme="minorHAnsi"/>
          <w:sz w:val="24"/>
          <w:lang w:val="pl-PL"/>
        </w:rPr>
        <w:t> </w:t>
      </w:r>
      <w:r w:rsidR="00BB44E7" w:rsidRPr="00ED0C6A">
        <w:rPr>
          <w:rFonts w:asciiTheme="minorHAnsi" w:hAnsiTheme="minorHAnsi"/>
          <w:sz w:val="24"/>
          <w:lang w:val="pl-PL"/>
        </w:rPr>
        <w:t>prywatnej korespondencji skierowanej przez organizacje pozarządowe do władz, w</w:t>
      </w:r>
      <w:r w:rsidR="00335B71">
        <w:rPr>
          <w:rFonts w:asciiTheme="minorHAnsi" w:hAnsiTheme="minorHAnsi"/>
          <w:sz w:val="24"/>
          <w:lang w:val="pl-PL"/>
        </w:rPr>
        <w:t> </w:t>
      </w:r>
      <w:r w:rsidR="00BB44E7" w:rsidRPr="00ED0C6A">
        <w:rPr>
          <w:rFonts w:asciiTheme="minorHAnsi" w:hAnsiTheme="minorHAnsi"/>
          <w:sz w:val="24"/>
          <w:lang w:val="pl-PL"/>
        </w:rPr>
        <w:t>których przedstawiły one zniesławiające oskarżenia wobec osoby ubiegającej się</w:t>
      </w:r>
      <w:r w:rsidR="009D64AD">
        <w:rPr>
          <w:rFonts w:asciiTheme="minorHAnsi" w:hAnsiTheme="minorHAnsi"/>
          <w:sz w:val="24"/>
          <w:lang w:val="pl-PL"/>
        </w:rPr>
        <w:t> </w:t>
      </w:r>
      <w:r w:rsidR="00BB44E7" w:rsidRPr="00ED0C6A">
        <w:rPr>
          <w:rFonts w:asciiTheme="minorHAnsi" w:hAnsiTheme="minorHAnsi"/>
          <w:sz w:val="24"/>
          <w:lang w:val="pl-PL"/>
        </w:rPr>
        <w:t>o</w:t>
      </w:r>
      <w:r w:rsidR="00335B71">
        <w:rPr>
          <w:rFonts w:asciiTheme="minorHAnsi" w:hAnsiTheme="minorHAnsi"/>
          <w:sz w:val="24"/>
          <w:lang w:val="pl-PL"/>
        </w:rPr>
        <w:t> </w:t>
      </w:r>
      <w:r w:rsidR="00BB44E7" w:rsidRPr="00ED0C6A">
        <w:rPr>
          <w:rFonts w:asciiTheme="minorHAnsi" w:hAnsiTheme="minorHAnsi"/>
          <w:sz w:val="24"/>
          <w:lang w:val="pl-PL"/>
        </w:rPr>
        <w:t xml:space="preserve">stanowisko publiczne. </w:t>
      </w:r>
    </w:p>
    <w:p w:rsidR="00F30215" w:rsidRPr="00ED0C6A" w:rsidRDefault="00F30215" w:rsidP="00C51CBC">
      <w:pPr>
        <w:pStyle w:val="ClinContent"/>
        <w:spacing w:before="0"/>
        <w:rPr>
          <w:rFonts w:asciiTheme="minorHAnsi" w:hAnsiTheme="minorHAnsi"/>
          <w:sz w:val="24"/>
          <w:lang w:val="pl-PL"/>
        </w:rPr>
      </w:pPr>
    </w:p>
    <w:p w:rsidR="00F30215" w:rsidRPr="00ED0C6A" w:rsidRDefault="00F30215" w:rsidP="00C51CBC">
      <w:pPr>
        <w:pStyle w:val="ClinContent"/>
        <w:spacing w:before="0"/>
        <w:rPr>
          <w:rFonts w:asciiTheme="minorHAnsi" w:hAnsiTheme="minorHAnsi"/>
          <w:sz w:val="24"/>
          <w:lang w:val="pl-PL"/>
        </w:rPr>
      </w:pPr>
      <w:r w:rsidRPr="00ED0C6A">
        <w:rPr>
          <w:rFonts w:asciiTheme="minorHAnsi" w:hAnsiTheme="minorHAnsi"/>
          <w:sz w:val="24"/>
          <w:lang w:val="pl-PL"/>
        </w:rPr>
        <w:t>Wyrok może mieć znaczenie zwłaszcza dla organizacji pozarządowych oraz sądów i</w:t>
      </w:r>
      <w:r w:rsidR="00335B71">
        <w:rPr>
          <w:rFonts w:asciiTheme="minorHAnsi" w:hAnsiTheme="minorHAnsi"/>
          <w:sz w:val="24"/>
          <w:lang w:val="pl-PL"/>
        </w:rPr>
        <w:t> </w:t>
      </w:r>
      <w:r w:rsidRPr="00ED0C6A">
        <w:rPr>
          <w:rFonts w:asciiTheme="minorHAnsi" w:hAnsiTheme="minorHAnsi"/>
          <w:sz w:val="24"/>
          <w:lang w:val="pl-PL"/>
        </w:rPr>
        <w:t xml:space="preserve">prokuratury rozpatrujących sprawy o zniesławienie i ochronę dóbr osobistych. </w:t>
      </w:r>
    </w:p>
    <w:p w:rsidR="00110DB8" w:rsidRPr="00ED0C6A" w:rsidRDefault="00110DB8" w:rsidP="009333A7">
      <w:pPr>
        <w:pStyle w:val="Nagwek2"/>
        <w:spacing w:before="480"/>
        <w:rPr>
          <w:rFonts w:asciiTheme="minorHAnsi" w:hAnsiTheme="minorHAnsi"/>
          <w:color w:val="auto"/>
          <w:sz w:val="24"/>
          <w:szCs w:val="24"/>
        </w:rPr>
      </w:pPr>
      <w:bookmarkStart w:id="22" w:name="_Toc524696738"/>
      <w:proofErr w:type="spellStart"/>
      <w:r w:rsidRPr="00ED0C6A">
        <w:rPr>
          <w:rFonts w:asciiTheme="minorHAnsi" w:hAnsiTheme="minorHAnsi"/>
          <w:color w:val="auto"/>
          <w:sz w:val="24"/>
          <w:szCs w:val="24"/>
        </w:rPr>
        <w:t>Moohan</w:t>
      </w:r>
      <w:proofErr w:type="spellEnd"/>
      <w:r w:rsidRPr="00ED0C6A">
        <w:rPr>
          <w:rFonts w:asciiTheme="minorHAnsi" w:hAnsiTheme="minorHAnsi"/>
          <w:color w:val="auto"/>
          <w:sz w:val="24"/>
          <w:szCs w:val="24"/>
        </w:rPr>
        <w:t xml:space="preserve"> i </w:t>
      </w:r>
      <w:proofErr w:type="spellStart"/>
      <w:r w:rsidRPr="00ED0C6A">
        <w:rPr>
          <w:rFonts w:asciiTheme="minorHAnsi" w:hAnsiTheme="minorHAnsi"/>
          <w:color w:val="auto"/>
          <w:sz w:val="24"/>
          <w:szCs w:val="24"/>
        </w:rPr>
        <w:t>Gillon</w:t>
      </w:r>
      <w:proofErr w:type="spellEnd"/>
      <w:r w:rsidRPr="00ED0C6A">
        <w:rPr>
          <w:rFonts w:asciiTheme="minorHAnsi" w:hAnsiTheme="minorHAnsi"/>
          <w:color w:val="auto"/>
          <w:sz w:val="24"/>
          <w:szCs w:val="24"/>
        </w:rPr>
        <w:t xml:space="preserve"> p. Zjednoczonemu Królestwu</w:t>
      </w:r>
      <w:r w:rsidR="00B05313" w:rsidRPr="00ED0C6A">
        <w:rPr>
          <w:rFonts w:asciiTheme="minorHAnsi" w:hAnsiTheme="minorHAnsi"/>
          <w:color w:val="auto"/>
          <w:sz w:val="24"/>
          <w:szCs w:val="24"/>
        </w:rPr>
        <w:t>, skarg</w:t>
      </w:r>
      <w:r w:rsidR="00FA6421" w:rsidRPr="00ED0C6A">
        <w:rPr>
          <w:rFonts w:asciiTheme="minorHAnsi" w:hAnsiTheme="minorHAnsi"/>
          <w:color w:val="auto"/>
          <w:sz w:val="24"/>
          <w:szCs w:val="24"/>
        </w:rPr>
        <w:t>i</w:t>
      </w:r>
      <w:r w:rsidR="00B05313" w:rsidRPr="00ED0C6A">
        <w:rPr>
          <w:rFonts w:asciiTheme="minorHAnsi" w:hAnsiTheme="minorHAnsi"/>
          <w:color w:val="auto"/>
          <w:sz w:val="24"/>
          <w:szCs w:val="24"/>
        </w:rPr>
        <w:t xml:space="preserve"> nr</w:t>
      </w:r>
      <w:r w:rsidRPr="00ED0C6A">
        <w:rPr>
          <w:rFonts w:asciiTheme="minorHAnsi" w:hAnsiTheme="minorHAnsi"/>
          <w:color w:val="auto"/>
          <w:sz w:val="24"/>
          <w:szCs w:val="24"/>
        </w:rPr>
        <w:t xml:space="preserve"> 22962/15 i 23345/15</w:t>
      </w:r>
      <w:r w:rsidR="004A22AD" w:rsidRPr="00ED0C6A">
        <w:rPr>
          <w:rFonts w:asciiTheme="minorHAnsi" w:hAnsiTheme="minorHAnsi"/>
          <w:color w:val="auto"/>
          <w:sz w:val="24"/>
          <w:szCs w:val="24"/>
        </w:rPr>
        <w:t>, d</w:t>
      </w:r>
      <w:r w:rsidRPr="00ED0C6A">
        <w:rPr>
          <w:rFonts w:asciiTheme="minorHAnsi" w:hAnsiTheme="minorHAnsi"/>
          <w:color w:val="auto"/>
          <w:sz w:val="24"/>
          <w:szCs w:val="24"/>
        </w:rPr>
        <w:t xml:space="preserve">ecyzja </w:t>
      </w:r>
      <w:r w:rsidR="00461A40" w:rsidRPr="00ED0C6A">
        <w:rPr>
          <w:rFonts w:asciiTheme="minorHAnsi" w:hAnsiTheme="minorHAnsi"/>
          <w:color w:val="auto"/>
          <w:sz w:val="24"/>
          <w:szCs w:val="24"/>
        </w:rPr>
        <w:t xml:space="preserve">Izby </w:t>
      </w:r>
      <w:r w:rsidRPr="00ED0C6A">
        <w:rPr>
          <w:rFonts w:asciiTheme="minorHAnsi" w:hAnsiTheme="minorHAnsi"/>
          <w:color w:val="auto"/>
          <w:sz w:val="24"/>
          <w:szCs w:val="24"/>
        </w:rPr>
        <w:t>z 13</w:t>
      </w:r>
      <w:r w:rsidR="00B4260D" w:rsidRPr="00ED0C6A">
        <w:rPr>
          <w:rFonts w:asciiTheme="minorHAnsi" w:hAnsiTheme="minorHAnsi"/>
          <w:color w:val="auto"/>
          <w:sz w:val="24"/>
          <w:szCs w:val="24"/>
        </w:rPr>
        <w:t xml:space="preserve"> czerwca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ostateczna</w:t>
      </w:r>
      <w:bookmarkEnd w:id="22"/>
    </w:p>
    <w:p w:rsidR="00110DB8" w:rsidRPr="00ED0C6A" w:rsidRDefault="003B7D6C"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zastosowalności art. 3 Protokołu nr 1 do Konwencji (praw do wolnych wyborów) i</w:t>
      </w:r>
      <w:r w:rsidR="00335B71">
        <w:rPr>
          <w:b/>
          <w:color w:val="000000" w:themeColor="text1"/>
          <w:sz w:val="24"/>
          <w:szCs w:val="24"/>
          <w:lang w:val="pl-PL"/>
        </w:rPr>
        <w:t> </w:t>
      </w:r>
      <w:r w:rsidR="00110DB8" w:rsidRPr="00ED0C6A">
        <w:rPr>
          <w:b/>
          <w:color w:val="000000" w:themeColor="text1"/>
          <w:sz w:val="24"/>
          <w:szCs w:val="24"/>
          <w:lang w:val="pl-PL"/>
        </w:rPr>
        <w:t>niedopuszczalność skargi</w:t>
      </w:r>
      <w:r w:rsidRPr="00ED0C6A">
        <w:rPr>
          <w:b/>
          <w:color w:val="000000" w:themeColor="text1"/>
          <w:sz w:val="24"/>
          <w:szCs w:val="24"/>
          <w:lang w:val="pl-PL"/>
        </w:rPr>
        <w:t xml:space="preserve"> dotyczącej zarzutu blankietowego zakazu głosowania </w:t>
      </w:r>
      <w:r w:rsidR="000C6DD4" w:rsidRPr="00ED0C6A">
        <w:rPr>
          <w:b/>
          <w:color w:val="000000" w:themeColor="text1"/>
          <w:sz w:val="24"/>
          <w:szCs w:val="24"/>
          <w:lang w:val="pl-PL"/>
        </w:rPr>
        <w:t>przez</w:t>
      </w:r>
      <w:r w:rsidR="00335B71">
        <w:rPr>
          <w:b/>
          <w:color w:val="000000" w:themeColor="text1"/>
          <w:sz w:val="24"/>
          <w:szCs w:val="24"/>
          <w:lang w:val="pl-PL"/>
        </w:rPr>
        <w:t> </w:t>
      </w:r>
      <w:r w:rsidRPr="00ED0C6A">
        <w:rPr>
          <w:b/>
          <w:color w:val="000000" w:themeColor="text1"/>
          <w:sz w:val="24"/>
          <w:szCs w:val="24"/>
          <w:lang w:val="pl-PL"/>
        </w:rPr>
        <w:t>os</w:t>
      </w:r>
      <w:r w:rsidR="000C6DD4" w:rsidRPr="00ED0C6A">
        <w:rPr>
          <w:b/>
          <w:color w:val="000000" w:themeColor="text1"/>
          <w:sz w:val="24"/>
          <w:szCs w:val="24"/>
          <w:lang w:val="pl-PL"/>
        </w:rPr>
        <w:t>oby pozbawione</w:t>
      </w:r>
      <w:r w:rsidRPr="00ED0C6A">
        <w:rPr>
          <w:b/>
          <w:color w:val="000000" w:themeColor="text1"/>
          <w:sz w:val="24"/>
          <w:szCs w:val="24"/>
          <w:lang w:val="pl-PL"/>
        </w:rPr>
        <w:t xml:space="preserve"> wolności w referendum na temat niepodległości Szkocji – referendum nt. niepodległości nie było objęte zakresem art. 3 Protokołu nr 1</w:t>
      </w:r>
    </w:p>
    <w:p w:rsidR="003B7D6C" w:rsidRPr="00ED0C6A" w:rsidRDefault="003B7D6C"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brak zastosowalności art. 10 Konwencji (wolność wyrażania opinii) i niedopuszczalność skargi dotyczącej zarzutu blankietowego zakazu głosowania </w:t>
      </w:r>
      <w:r w:rsidR="004856DE" w:rsidRPr="00ED0C6A">
        <w:rPr>
          <w:b/>
          <w:color w:val="000000" w:themeColor="text1"/>
          <w:sz w:val="24"/>
          <w:szCs w:val="24"/>
          <w:lang w:val="pl-PL"/>
        </w:rPr>
        <w:t xml:space="preserve">przez </w:t>
      </w:r>
      <w:r w:rsidRPr="00ED0C6A">
        <w:rPr>
          <w:b/>
          <w:color w:val="000000" w:themeColor="text1"/>
          <w:sz w:val="24"/>
          <w:szCs w:val="24"/>
          <w:lang w:val="pl-PL"/>
        </w:rPr>
        <w:t>os</w:t>
      </w:r>
      <w:r w:rsidR="004856DE" w:rsidRPr="00ED0C6A">
        <w:rPr>
          <w:b/>
          <w:color w:val="000000" w:themeColor="text1"/>
          <w:sz w:val="24"/>
          <w:szCs w:val="24"/>
          <w:lang w:val="pl-PL"/>
        </w:rPr>
        <w:t>oby pozbawione</w:t>
      </w:r>
      <w:r w:rsidRPr="00ED0C6A">
        <w:rPr>
          <w:b/>
          <w:color w:val="000000" w:themeColor="text1"/>
          <w:sz w:val="24"/>
          <w:szCs w:val="24"/>
          <w:lang w:val="pl-PL"/>
        </w:rPr>
        <w:t xml:space="preserve"> wolności w referendum na temat niepodległości Szkocji </w:t>
      </w:r>
      <w:r w:rsidR="000C6DD4" w:rsidRPr="00ED0C6A">
        <w:rPr>
          <w:b/>
          <w:color w:val="000000" w:themeColor="text1"/>
          <w:sz w:val="24"/>
          <w:szCs w:val="24"/>
          <w:lang w:val="pl-PL"/>
        </w:rPr>
        <w:t xml:space="preserve">– </w:t>
      </w:r>
      <w:r w:rsidRPr="00ED0C6A">
        <w:rPr>
          <w:b/>
          <w:color w:val="000000" w:themeColor="text1"/>
          <w:sz w:val="24"/>
          <w:szCs w:val="24"/>
          <w:lang w:val="pl-PL"/>
        </w:rPr>
        <w:t xml:space="preserve">art. 10 </w:t>
      </w:r>
      <w:r w:rsidR="000C6DD4" w:rsidRPr="00ED0C6A">
        <w:rPr>
          <w:b/>
          <w:color w:val="000000" w:themeColor="text1"/>
          <w:sz w:val="24"/>
          <w:szCs w:val="24"/>
          <w:lang w:val="pl-PL"/>
        </w:rPr>
        <w:t>Konwencji</w:t>
      </w:r>
      <w:r w:rsidRPr="00ED0C6A">
        <w:rPr>
          <w:b/>
          <w:color w:val="000000" w:themeColor="text1"/>
          <w:sz w:val="24"/>
          <w:szCs w:val="24"/>
          <w:lang w:val="pl-PL"/>
        </w:rPr>
        <w:t xml:space="preserve"> nie</w:t>
      </w:r>
      <w:r w:rsidR="00335B71">
        <w:rPr>
          <w:b/>
          <w:color w:val="000000" w:themeColor="text1"/>
          <w:sz w:val="24"/>
          <w:szCs w:val="24"/>
          <w:lang w:val="pl-PL"/>
        </w:rPr>
        <w:t> </w:t>
      </w:r>
      <w:r w:rsidRPr="00ED0C6A">
        <w:rPr>
          <w:b/>
          <w:color w:val="000000" w:themeColor="text1"/>
          <w:sz w:val="24"/>
          <w:szCs w:val="24"/>
          <w:lang w:val="pl-PL"/>
        </w:rPr>
        <w:t>ma</w:t>
      </w:r>
      <w:r w:rsidR="00335B71">
        <w:rPr>
          <w:b/>
          <w:color w:val="000000" w:themeColor="text1"/>
          <w:sz w:val="24"/>
          <w:szCs w:val="24"/>
          <w:lang w:val="pl-PL"/>
        </w:rPr>
        <w:t> </w:t>
      </w:r>
      <w:r w:rsidRPr="00ED0C6A">
        <w:rPr>
          <w:b/>
          <w:color w:val="000000" w:themeColor="text1"/>
          <w:sz w:val="24"/>
          <w:szCs w:val="24"/>
          <w:lang w:val="pl-PL"/>
        </w:rPr>
        <w:t>zastosowania do</w:t>
      </w:r>
      <w:r w:rsidR="000C6DD4" w:rsidRPr="00ED0C6A">
        <w:rPr>
          <w:b/>
          <w:color w:val="000000" w:themeColor="text1"/>
          <w:sz w:val="24"/>
          <w:szCs w:val="24"/>
          <w:lang w:val="pl-PL"/>
        </w:rPr>
        <w:t xml:space="preserve"> prawa do</w:t>
      </w:r>
      <w:r w:rsidRPr="00ED0C6A">
        <w:rPr>
          <w:b/>
          <w:color w:val="000000" w:themeColor="text1"/>
          <w:sz w:val="24"/>
          <w:szCs w:val="24"/>
          <w:lang w:val="pl-PL"/>
        </w:rPr>
        <w:t xml:space="preserve"> głosowa</w:t>
      </w:r>
      <w:r w:rsidR="00AC7C18" w:rsidRPr="00ED0C6A">
        <w:rPr>
          <w:b/>
          <w:color w:val="000000" w:themeColor="text1"/>
          <w:sz w:val="24"/>
          <w:szCs w:val="24"/>
          <w:lang w:val="pl-PL"/>
        </w:rPr>
        <w:t>nia w wyborach i referendach</w:t>
      </w:r>
    </w:p>
    <w:p w:rsidR="00110DB8" w:rsidRPr="00ED0C6A" w:rsidRDefault="00110DB8" w:rsidP="00380783">
      <w:pPr>
        <w:pStyle w:val="ClinContent"/>
        <w:spacing w:before="0"/>
        <w:rPr>
          <w:rFonts w:asciiTheme="minorHAnsi" w:hAnsiTheme="minorHAnsi"/>
          <w:sz w:val="24"/>
          <w:lang w:val="pl-PL"/>
        </w:rPr>
      </w:pPr>
      <w:r w:rsidRPr="00ED0C6A">
        <w:rPr>
          <w:rFonts w:asciiTheme="minorHAnsi" w:hAnsiTheme="minorHAnsi"/>
          <w:sz w:val="24"/>
          <w:lang w:val="pl-PL"/>
        </w:rPr>
        <w:t>W październiku 2012 r. Rządy Szkocji i Zjednoczonego Królestwa podpisały porozumienie w</w:t>
      </w:r>
      <w:r w:rsidR="00335B71">
        <w:rPr>
          <w:rFonts w:asciiTheme="minorHAnsi" w:hAnsiTheme="minorHAnsi"/>
          <w:sz w:val="24"/>
          <w:lang w:val="pl-PL"/>
        </w:rPr>
        <w:t> </w:t>
      </w:r>
      <w:r w:rsidRPr="00ED0C6A">
        <w:rPr>
          <w:rFonts w:asciiTheme="minorHAnsi" w:hAnsiTheme="minorHAnsi"/>
          <w:sz w:val="24"/>
          <w:lang w:val="pl-PL"/>
        </w:rPr>
        <w:t xml:space="preserve">sprawie referendum na temat niepodległości Szkocji. Na podstawie </w:t>
      </w:r>
      <w:r w:rsidRPr="00ED0C6A">
        <w:rPr>
          <w:rFonts w:asciiTheme="minorHAnsi" w:hAnsiTheme="minorHAnsi"/>
          <w:i/>
          <w:sz w:val="24"/>
          <w:lang w:val="pl-PL"/>
        </w:rPr>
        <w:t>ustawy o prawie do</w:t>
      </w:r>
      <w:r w:rsidR="00335B71">
        <w:rPr>
          <w:rFonts w:asciiTheme="minorHAnsi" w:hAnsiTheme="minorHAnsi"/>
          <w:i/>
          <w:sz w:val="24"/>
          <w:lang w:val="pl-PL"/>
        </w:rPr>
        <w:t> </w:t>
      </w:r>
      <w:r w:rsidRPr="00ED0C6A">
        <w:rPr>
          <w:rFonts w:asciiTheme="minorHAnsi" w:hAnsiTheme="minorHAnsi"/>
          <w:i/>
          <w:sz w:val="24"/>
          <w:lang w:val="pl-PL"/>
        </w:rPr>
        <w:t xml:space="preserve">głosowania w referendum na temat niepodległości Szkocji, </w:t>
      </w:r>
      <w:r w:rsidRPr="00ED0C6A">
        <w:rPr>
          <w:rFonts w:asciiTheme="minorHAnsi" w:hAnsiTheme="minorHAnsi"/>
          <w:sz w:val="24"/>
          <w:lang w:val="pl-PL"/>
        </w:rPr>
        <w:t xml:space="preserve">skazani pozbawieni wolności nie mieli prawa do głosowania. Skarżący, obywatele brytyjscy odbywający kary dożywotniego pozbawienia wolności za umyślne zabójstwo, wystąpili o kontrolę sądową ustawy. </w:t>
      </w:r>
      <w:r w:rsidR="00B6404C" w:rsidRPr="00ED0C6A">
        <w:rPr>
          <w:rFonts w:asciiTheme="minorHAnsi" w:hAnsiTheme="minorHAnsi"/>
          <w:sz w:val="24"/>
          <w:lang w:val="pl-PL"/>
        </w:rPr>
        <w:t>Ich w</w:t>
      </w:r>
      <w:r w:rsidRPr="00ED0C6A">
        <w:rPr>
          <w:rFonts w:asciiTheme="minorHAnsi" w:hAnsiTheme="minorHAnsi"/>
          <w:sz w:val="24"/>
          <w:lang w:val="pl-PL"/>
        </w:rPr>
        <w:t>nioski zostały oddalone, a wniesienia apelacji odmówiono. Referendum na</w:t>
      </w:r>
      <w:r w:rsidR="00335B71">
        <w:rPr>
          <w:rFonts w:asciiTheme="minorHAnsi" w:hAnsiTheme="minorHAnsi"/>
          <w:sz w:val="24"/>
          <w:lang w:val="pl-PL"/>
        </w:rPr>
        <w:t> </w:t>
      </w:r>
      <w:r w:rsidRPr="00ED0C6A">
        <w:rPr>
          <w:rFonts w:asciiTheme="minorHAnsi" w:hAnsiTheme="minorHAnsi"/>
          <w:sz w:val="24"/>
          <w:lang w:val="pl-PL"/>
        </w:rPr>
        <w:t>temat niepodległości odbyło się we wrześniu 2014 r.</w:t>
      </w:r>
    </w:p>
    <w:p w:rsidR="00B6404C" w:rsidRPr="00ED0C6A" w:rsidRDefault="00B6404C" w:rsidP="00380783">
      <w:pPr>
        <w:pStyle w:val="ClinContent"/>
        <w:spacing w:before="0"/>
        <w:rPr>
          <w:rFonts w:asciiTheme="minorHAnsi" w:hAnsiTheme="minorHAnsi"/>
          <w:sz w:val="24"/>
          <w:lang w:val="pl-PL"/>
        </w:rPr>
      </w:pPr>
    </w:p>
    <w:p w:rsidR="00110DB8" w:rsidRPr="00ED0C6A" w:rsidRDefault="00110DB8"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Przed Trybunałem skarżący zarzucali na podstawie art. 10 Konwencji </w:t>
      </w:r>
      <w:r w:rsidR="00B6404C" w:rsidRPr="00ED0C6A">
        <w:rPr>
          <w:rFonts w:asciiTheme="minorHAnsi" w:hAnsiTheme="minorHAnsi"/>
          <w:sz w:val="24"/>
          <w:lang w:val="pl-PL"/>
        </w:rPr>
        <w:t xml:space="preserve">(wolność wyrażania opinii) </w:t>
      </w:r>
      <w:r w:rsidRPr="00ED0C6A">
        <w:rPr>
          <w:rFonts w:asciiTheme="minorHAnsi" w:hAnsiTheme="minorHAnsi"/>
          <w:sz w:val="24"/>
          <w:lang w:val="pl-PL"/>
        </w:rPr>
        <w:t>oraz art. 3 Protokołu nr 1 do Konwencji</w:t>
      </w:r>
      <w:r w:rsidR="00B6404C" w:rsidRPr="00ED0C6A">
        <w:rPr>
          <w:rFonts w:asciiTheme="minorHAnsi" w:hAnsiTheme="minorHAnsi"/>
          <w:sz w:val="24"/>
          <w:lang w:val="pl-PL"/>
        </w:rPr>
        <w:t xml:space="preserve"> (prawo do wolnych wyborów)</w:t>
      </w:r>
      <w:r w:rsidRPr="00ED0C6A">
        <w:rPr>
          <w:rFonts w:asciiTheme="minorHAnsi" w:hAnsiTheme="minorHAnsi"/>
          <w:sz w:val="24"/>
          <w:lang w:val="pl-PL"/>
        </w:rPr>
        <w:t>, że podlegali powszechnemu zakazowi głosowania w referendum na temat niepodległości.</w:t>
      </w:r>
    </w:p>
    <w:p w:rsidR="00110DB8" w:rsidRPr="00ED0C6A" w:rsidRDefault="00B6404C" w:rsidP="00380783">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B6404C" w:rsidRPr="00ED0C6A" w:rsidRDefault="00B6404C" w:rsidP="00380783">
      <w:pPr>
        <w:pStyle w:val="ClinContent"/>
        <w:spacing w:before="0"/>
        <w:rPr>
          <w:rFonts w:asciiTheme="minorHAnsi" w:hAnsiTheme="minorHAnsi"/>
          <w:sz w:val="24"/>
          <w:lang w:val="pl-PL"/>
        </w:rPr>
      </w:pPr>
      <w:r w:rsidRPr="00ED0C6A">
        <w:rPr>
          <w:rFonts w:asciiTheme="minorHAnsi" w:hAnsiTheme="minorHAnsi"/>
          <w:sz w:val="24"/>
          <w:lang w:val="pl-PL"/>
        </w:rPr>
        <w:t>Trybunał w pierwszej kolejności zbadał, czy</w:t>
      </w:r>
      <w:r w:rsidR="00110DB8" w:rsidRPr="00ED0C6A">
        <w:rPr>
          <w:rFonts w:asciiTheme="minorHAnsi" w:hAnsiTheme="minorHAnsi"/>
          <w:sz w:val="24"/>
          <w:lang w:val="pl-PL"/>
        </w:rPr>
        <w:t xml:space="preserve"> można uznać, że referendum na temat niepodległości jest objęte </w:t>
      </w:r>
      <w:r w:rsidR="00110DB8" w:rsidRPr="00ED0C6A">
        <w:rPr>
          <w:rFonts w:asciiTheme="minorHAnsi" w:hAnsiTheme="minorHAnsi"/>
          <w:sz w:val="24"/>
          <w:u w:val="single"/>
          <w:lang w:val="pl-PL"/>
        </w:rPr>
        <w:t>zakresem art. 3 Protokołu nr 1</w:t>
      </w:r>
      <w:r w:rsidR="00110DB8" w:rsidRPr="00ED0C6A">
        <w:rPr>
          <w:rFonts w:asciiTheme="minorHAnsi" w:hAnsiTheme="minorHAnsi"/>
          <w:sz w:val="24"/>
          <w:lang w:val="pl-PL"/>
        </w:rPr>
        <w:t xml:space="preserve">. </w:t>
      </w:r>
      <w:r w:rsidRPr="00ED0C6A">
        <w:rPr>
          <w:rFonts w:asciiTheme="minorHAnsi" w:hAnsiTheme="minorHAnsi"/>
          <w:sz w:val="24"/>
          <w:lang w:val="pl-PL"/>
        </w:rPr>
        <w:t>Przypomniał, że d</w:t>
      </w:r>
      <w:r w:rsidR="00110DB8" w:rsidRPr="00ED0C6A">
        <w:rPr>
          <w:rFonts w:asciiTheme="minorHAnsi" w:hAnsiTheme="minorHAnsi"/>
          <w:sz w:val="24"/>
          <w:lang w:val="pl-PL"/>
        </w:rPr>
        <w:t xml:space="preserve">otychczas </w:t>
      </w:r>
      <w:r w:rsidRPr="00ED0C6A">
        <w:rPr>
          <w:rFonts w:asciiTheme="minorHAnsi" w:hAnsiTheme="minorHAnsi"/>
          <w:sz w:val="24"/>
          <w:lang w:val="pl-PL"/>
        </w:rPr>
        <w:t xml:space="preserve">zarówno on jak i </w:t>
      </w:r>
      <w:r w:rsidR="00110DB8" w:rsidRPr="00ED0C6A">
        <w:rPr>
          <w:rFonts w:asciiTheme="minorHAnsi" w:hAnsiTheme="minorHAnsi"/>
          <w:sz w:val="24"/>
          <w:lang w:val="pl-PL"/>
        </w:rPr>
        <w:t>funkcjonująca poprzednio Europejska Komisja Praw Człowieka jednomyślnie orzekali, że art. 3 jest ograniczony do wyborów ciała ustawodawczego, a</w:t>
      </w:r>
      <w:r w:rsidR="00335B71">
        <w:rPr>
          <w:rFonts w:asciiTheme="minorHAnsi" w:hAnsiTheme="minorHAnsi"/>
          <w:sz w:val="24"/>
          <w:lang w:val="pl-PL"/>
        </w:rPr>
        <w:t> </w:t>
      </w:r>
      <w:r w:rsidR="00110DB8" w:rsidRPr="00ED0C6A">
        <w:rPr>
          <w:rFonts w:asciiTheme="minorHAnsi" w:hAnsiTheme="minorHAnsi"/>
          <w:sz w:val="24"/>
          <w:lang w:val="pl-PL"/>
        </w:rPr>
        <w:t>nie</w:t>
      </w:r>
      <w:r w:rsidR="00335B71">
        <w:rPr>
          <w:rFonts w:asciiTheme="minorHAnsi" w:hAnsiTheme="minorHAnsi"/>
          <w:sz w:val="24"/>
          <w:lang w:val="pl-PL"/>
        </w:rPr>
        <w:t> </w:t>
      </w:r>
      <w:r w:rsidR="00110DB8" w:rsidRPr="00ED0C6A">
        <w:rPr>
          <w:rFonts w:asciiTheme="minorHAnsi" w:hAnsiTheme="minorHAnsi"/>
          <w:sz w:val="24"/>
          <w:lang w:val="pl-PL"/>
        </w:rPr>
        <w:t>ma</w:t>
      </w:r>
      <w:r w:rsidR="00335B71">
        <w:rPr>
          <w:rFonts w:asciiTheme="minorHAnsi" w:hAnsiTheme="minorHAnsi"/>
          <w:sz w:val="24"/>
          <w:lang w:val="pl-PL"/>
        </w:rPr>
        <w:t> </w:t>
      </w:r>
      <w:r w:rsidR="00110DB8" w:rsidRPr="00ED0C6A">
        <w:rPr>
          <w:rFonts w:asciiTheme="minorHAnsi" w:hAnsiTheme="minorHAnsi"/>
          <w:sz w:val="24"/>
          <w:lang w:val="pl-PL"/>
        </w:rPr>
        <w:t xml:space="preserve">zastosowania do referendów. </w:t>
      </w:r>
    </w:p>
    <w:p w:rsidR="00B6404C" w:rsidRPr="00ED0C6A" w:rsidRDefault="00B6404C" w:rsidP="00380783">
      <w:pPr>
        <w:pStyle w:val="ClinContent"/>
        <w:spacing w:before="0"/>
        <w:rPr>
          <w:rFonts w:asciiTheme="minorHAnsi" w:hAnsiTheme="minorHAnsi"/>
          <w:sz w:val="24"/>
          <w:lang w:val="pl-PL"/>
        </w:rPr>
      </w:pPr>
    </w:p>
    <w:p w:rsidR="00110DB8" w:rsidRPr="00ED0C6A" w:rsidRDefault="00B6404C" w:rsidP="00380783">
      <w:pPr>
        <w:pStyle w:val="ClinContent"/>
        <w:spacing w:before="0"/>
        <w:rPr>
          <w:rFonts w:asciiTheme="minorHAnsi" w:hAnsiTheme="minorHAnsi"/>
          <w:sz w:val="24"/>
          <w:lang w:val="pl-PL"/>
        </w:rPr>
      </w:pPr>
      <w:r w:rsidRPr="00ED0C6A">
        <w:rPr>
          <w:rFonts w:asciiTheme="minorHAnsi" w:hAnsiTheme="minorHAnsi"/>
          <w:sz w:val="24"/>
          <w:lang w:val="pl-PL"/>
        </w:rPr>
        <w:t>Jednakże, j</w:t>
      </w:r>
      <w:r w:rsidR="00110DB8" w:rsidRPr="00ED0C6A">
        <w:rPr>
          <w:rFonts w:asciiTheme="minorHAnsi" w:hAnsiTheme="minorHAnsi"/>
          <w:sz w:val="24"/>
          <w:lang w:val="pl-PL"/>
        </w:rPr>
        <w:t>ak słusznie zauważono na poziomie krajowym, w referendum na temat niepodległości ludność Szkocji głosowała w istocie nad przyszłym rodzajem ciała ustawodawczego. W konsekwencji na pierwszy rzut oka mogłoby się wydawać, że</w:t>
      </w:r>
      <w:r w:rsidR="00335B71">
        <w:rPr>
          <w:rFonts w:asciiTheme="minorHAnsi" w:hAnsiTheme="minorHAnsi"/>
          <w:sz w:val="24"/>
          <w:lang w:val="pl-PL"/>
        </w:rPr>
        <w:t> </w:t>
      </w:r>
      <w:r w:rsidR="00110DB8" w:rsidRPr="00ED0C6A">
        <w:rPr>
          <w:rFonts w:asciiTheme="minorHAnsi" w:hAnsiTheme="minorHAnsi"/>
          <w:sz w:val="24"/>
          <w:lang w:val="pl-PL"/>
        </w:rPr>
        <w:t>niewłaściwe jest, by takie referendum pozostawało poza sferą ochrony przewidzianej przez art. 3 Protokołu nr 1, podczas gdy „wybór ciała ustawodawczego” wchodzi w zakres tej</w:t>
      </w:r>
      <w:r w:rsidR="00335B71">
        <w:rPr>
          <w:rFonts w:asciiTheme="minorHAnsi" w:hAnsiTheme="minorHAnsi"/>
          <w:sz w:val="24"/>
          <w:lang w:val="pl-PL"/>
        </w:rPr>
        <w:t> </w:t>
      </w:r>
      <w:r w:rsidR="00110DB8" w:rsidRPr="00ED0C6A">
        <w:rPr>
          <w:rFonts w:asciiTheme="minorHAnsi" w:hAnsiTheme="minorHAnsi"/>
          <w:sz w:val="24"/>
          <w:lang w:val="pl-PL"/>
        </w:rPr>
        <w:t xml:space="preserve">ochrony. </w:t>
      </w:r>
      <w:r w:rsidRPr="00ED0C6A">
        <w:rPr>
          <w:rFonts w:asciiTheme="minorHAnsi" w:hAnsiTheme="minorHAnsi"/>
          <w:sz w:val="24"/>
          <w:lang w:val="pl-PL"/>
        </w:rPr>
        <w:t xml:space="preserve">Trybunał uznał jednak, że właśnie taka konkluzja </w:t>
      </w:r>
      <w:r w:rsidR="00110DB8" w:rsidRPr="00ED0C6A">
        <w:rPr>
          <w:rFonts w:asciiTheme="minorHAnsi" w:hAnsiTheme="minorHAnsi"/>
          <w:sz w:val="24"/>
          <w:lang w:val="pl-PL"/>
        </w:rPr>
        <w:t xml:space="preserve">jest </w:t>
      </w:r>
      <w:r w:rsidRPr="00ED0C6A">
        <w:rPr>
          <w:rFonts w:asciiTheme="minorHAnsi" w:hAnsiTheme="minorHAnsi"/>
          <w:sz w:val="24"/>
          <w:lang w:val="pl-PL"/>
        </w:rPr>
        <w:t>spójna z brzmieniem art. 3</w:t>
      </w:r>
      <w:r w:rsidR="00DF112C" w:rsidRPr="00ED0C6A">
        <w:rPr>
          <w:rFonts w:asciiTheme="minorHAnsi" w:hAnsiTheme="minorHAnsi"/>
          <w:sz w:val="24"/>
          <w:lang w:val="pl-PL"/>
        </w:rPr>
        <w:t xml:space="preserve"> oraz jego konsekwentną wykładnią</w:t>
      </w:r>
      <w:r w:rsidR="00110DB8" w:rsidRPr="00ED0C6A">
        <w:rPr>
          <w:rFonts w:asciiTheme="minorHAnsi" w:hAnsiTheme="minorHAnsi"/>
          <w:sz w:val="24"/>
          <w:lang w:val="pl-PL"/>
        </w:rPr>
        <w:t xml:space="preserve"> dokonywaną przez organy konwencyjne.   </w:t>
      </w:r>
    </w:p>
    <w:p w:rsidR="00B6404C" w:rsidRPr="00ED0C6A" w:rsidRDefault="00B6404C" w:rsidP="00380783">
      <w:pPr>
        <w:pStyle w:val="ClinContent"/>
        <w:spacing w:before="0"/>
        <w:rPr>
          <w:rFonts w:asciiTheme="minorHAnsi" w:hAnsiTheme="minorHAnsi"/>
          <w:sz w:val="24"/>
          <w:lang w:val="pl-PL"/>
        </w:rPr>
      </w:pPr>
    </w:p>
    <w:p w:rsidR="00110DB8" w:rsidRPr="00ED0C6A" w:rsidRDefault="00110DB8" w:rsidP="00380783">
      <w:pPr>
        <w:pStyle w:val="ClinContent"/>
        <w:spacing w:before="0"/>
        <w:rPr>
          <w:rFonts w:asciiTheme="minorHAnsi" w:hAnsiTheme="minorHAnsi"/>
          <w:sz w:val="24"/>
          <w:lang w:val="pl-PL"/>
        </w:rPr>
      </w:pPr>
      <w:r w:rsidRPr="00ED0C6A">
        <w:rPr>
          <w:rFonts w:asciiTheme="minorHAnsi" w:hAnsiTheme="minorHAnsi"/>
          <w:sz w:val="24"/>
          <w:lang w:val="pl-PL"/>
        </w:rPr>
        <w:t>Zważywszy, że istnieje wiele sposobów zorganizowania i funkcjonowania systemów wyborczych, a do Układających się Państw należy stworzenie własnej demokratycznej wizji na podstawie bogatego zróżnicowania rozwoju historycznego, różnorodności kulturowej i</w:t>
      </w:r>
      <w:r w:rsidR="00335B71">
        <w:rPr>
          <w:rFonts w:asciiTheme="minorHAnsi" w:hAnsiTheme="minorHAnsi"/>
          <w:sz w:val="24"/>
          <w:lang w:val="pl-PL"/>
        </w:rPr>
        <w:t> </w:t>
      </w:r>
      <w:r w:rsidRPr="00ED0C6A">
        <w:rPr>
          <w:rFonts w:asciiTheme="minorHAnsi" w:hAnsiTheme="minorHAnsi"/>
          <w:sz w:val="24"/>
          <w:lang w:val="pl-PL"/>
        </w:rPr>
        <w:t xml:space="preserve">myśli politycznej w Europe, </w:t>
      </w:r>
      <w:r w:rsidR="00B6404C" w:rsidRPr="00ED0C6A">
        <w:rPr>
          <w:rFonts w:asciiTheme="minorHAnsi" w:hAnsiTheme="minorHAnsi"/>
          <w:sz w:val="24"/>
          <w:lang w:val="pl-PL"/>
        </w:rPr>
        <w:t xml:space="preserve">zdaniem Trybunału </w:t>
      </w:r>
      <w:r w:rsidRPr="00ED0C6A">
        <w:rPr>
          <w:rFonts w:asciiTheme="minorHAnsi" w:hAnsiTheme="minorHAnsi"/>
          <w:sz w:val="24"/>
          <w:lang w:val="pl-PL"/>
        </w:rPr>
        <w:t>nie można wykluczyć, że proces demokratyczny opisany jako referendum przez Układające się Państwo może potencjalnie wchodzić w zakres art. 3 Protokołu nr 1. Jednakże aby tak było, proces ten musiałby odbywać się w rozsądnych odstępach czasu w drodze tajnego głosowania i na warunkach, które</w:t>
      </w:r>
      <w:r w:rsidR="00335B71">
        <w:rPr>
          <w:rFonts w:asciiTheme="minorHAnsi" w:hAnsiTheme="minorHAnsi"/>
          <w:sz w:val="24"/>
          <w:lang w:val="pl-PL"/>
        </w:rPr>
        <w:t> </w:t>
      </w:r>
      <w:r w:rsidRPr="00ED0C6A">
        <w:rPr>
          <w:rFonts w:asciiTheme="minorHAnsi" w:hAnsiTheme="minorHAnsi"/>
          <w:sz w:val="24"/>
          <w:lang w:val="pl-PL"/>
        </w:rPr>
        <w:t xml:space="preserve">zapewniłyby ludności swobodę wyrażania opinii w wyborze ciała ustawodawczego. </w:t>
      </w:r>
    </w:p>
    <w:p w:rsidR="00B6404C" w:rsidRPr="00ED0C6A" w:rsidRDefault="00B6404C" w:rsidP="00380783">
      <w:pPr>
        <w:pStyle w:val="ClinContent"/>
        <w:spacing w:before="0"/>
        <w:rPr>
          <w:rFonts w:asciiTheme="minorHAnsi" w:hAnsiTheme="minorHAnsi"/>
          <w:sz w:val="24"/>
          <w:lang w:val="pl-PL"/>
        </w:rPr>
      </w:pPr>
    </w:p>
    <w:p w:rsidR="00110DB8" w:rsidRPr="00ED0C6A" w:rsidRDefault="00B6404C"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Trybunał uznał, że art. 3 Protokołu nr 1 do Konwencji (prawo do wolnych wyborów) nie miał zastosowania w tej sprawie, a skarga jest zatem niezgodna z Konwencją </w:t>
      </w:r>
      <w:r w:rsidRPr="00ED0C6A">
        <w:rPr>
          <w:rFonts w:asciiTheme="minorHAnsi" w:hAnsiTheme="minorHAnsi"/>
          <w:i/>
          <w:sz w:val="24"/>
          <w:lang w:val="pl-PL"/>
        </w:rPr>
        <w:t>ratione materiae</w:t>
      </w:r>
      <w:r w:rsidRPr="00ED0C6A">
        <w:rPr>
          <w:rFonts w:asciiTheme="minorHAnsi" w:hAnsiTheme="minorHAnsi"/>
          <w:sz w:val="24"/>
          <w:lang w:val="pl-PL"/>
        </w:rPr>
        <w:t xml:space="preserve"> </w:t>
      </w:r>
      <w:r w:rsidR="00F9391E" w:rsidRPr="00ED0C6A">
        <w:rPr>
          <w:rFonts w:asciiTheme="minorHAnsi" w:hAnsiTheme="minorHAnsi"/>
          <w:sz w:val="24"/>
          <w:lang w:val="pl-PL"/>
        </w:rPr>
        <w:t>i</w:t>
      </w:r>
      <w:r w:rsidR="00335B71">
        <w:rPr>
          <w:rFonts w:asciiTheme="minorHAnsi" w:hAnsiTheme="minorHAnsi"/>
          <w:sz w:val="24"/>
          <w:lang w:val="pl-PL"/>
        </w:rPr>
        <w:t> </w:t>
      </w:r>
      <w:r w:rsidR="00F9391E" w:rsidRPr="00ED0C6A">
        <w:rPr>
          <w:rFonts w:asciiTheme="minorHAnsi" w:hAnsiTheme="minorHAnsi"/>
          <w:sz w:val="24"/>
          <w:lang w:val="pl-PL"/>
        </w:rPr>
        <w:t>jako taka niedopuszczalna.</w:t>
      </w:r>
    </w:p>
    <w:p w:rsidR="00F9391E" w:rsidRPr="00ED0C6A" w:rsidRDefault="00F9391E" w:rsidP="00380783">
      <w:pPr>
        <w:pStyle w:val="ClinContent"/>
        <w:spacing w:before="0"/>
        <w:rPr>
          <w:rFonts w:asciiTheme="minorHAnsi" w:hAnsiTheme="minorHAnsi"/>
          <w:sz w:val="24"/>
          <w:lang w:val="pl-PL"/>
        </w:rPr>
      </w:pPr>
    </w:p>
    <w:p w:rsidR="00110DB8" w:rsidRPr="00ED0C6A" w:rsidRDefault="008262D7" w:rsidP="00380783">
      <w:pPr>
        <w:pStyle w:val="ClinContent"/>
        <w:spacing w:before="0"/>
        <w:rPr>
          <w:rFonts w:asciiTheme="minorHAnsi" w:hAnsiTheme="minorHAnsi"/>
          <w:sz w:val="24"/>
          <w:lang w:val="pl-PL"/>
        </w:rPr>
      </w:pPr>
      <w:r w:rsidRPr="00ED0C6A">
        <w:rPr>
          <w:rFonts w:asciiTheme="minorHAnsi" w:hAnsiTheme="minorHAnsi"/>
          <w:sz w:val="24"/>
          <w:lang w:val="pl-PL"/>
        </w:rPr>
        <w:t xml:space="preserve">Oceniając zaś skargę na gruncie </w:t>
      </w:r>
      <w:r w:rsidRPr="00ED0C6A">
        <w:rPr>
          <w:rFonts w:asciiTheme="minorHAnsi" w:hAnsiTheme="minorHAnsi"/>
          <w:sz w:val="24"/>
          <w:u w:val="single"/>
          <w:lang w:val="pl-PL"/>
        </w:rPr>
        <w:t>a</w:t>
      </w:r>
      <w:r w:rsidR="00110DB8" w:rsidRPr="00ED0C6A">
        <w:rPr>
          <w:rFonts w:asciiTheme="minorHAnsi" w:hAnsiTheme="minorHAnsi"/>
          <w:sz w:val="24"/>
          <w:u w:val="single"/>
          <w:lang w:val="pl-PL"/>
        </w:rPr>
        <w:t>rt. 10 Konwencji</w:t>
      </w:r>
      <w:r w:rsidRPr="00ED0C6A">
        <w:rPr>
          <w:rFonts w:asciiTheme="minorHAnsi" w:hAnsiTheme="minorHAnsi"/>
          <w:sz w:val="24"/>
          <w:u w:val="single"/>
          <w:lang w:val="pl-PL"/>
        </w:rPr>
        <w:t>, chroniącego wolność wyrażania opinii</w:t>
      </w:r>
      <w:r w:rsidRPr="00ED0C6A">
        <w:rPr>
          <w:rFonts w:asciiTheme="minorHAnsi" w:hAnsiTheme="minorHAnsi"/>
          <w:sz w:val="24"/>
          <w:lang w:val="pl-PL"/>
        </w:rPr>
        <w:t xml:space="preserve">, Trybunał przypomniał, że </w:t>
      </w:r>
      <w:r w:rsidR="00110DB8" w:rsidRPr="00ED0C6A">
        <w:rPr>
          <w:rFonts w:asciiTheme="minorHAnsi" w:hAnsiTheme="minorHAnsi"/>
          <w:sz w:val="24"/>
          <w:lang w:val="pl-PL"/>
        </w:rPr>
        <w:t xml:space="preserve">organy </w:t>
      </w:r>
      <w:r w:rsidR="00DF112C" w:rsidRPr="00ED0C6A">
        <w:rPr>
          <w:rFonts w:asciiTheme="minorHAnsi" w:hAnsiTheme="minorHAnsi"/>
          <w:sz w:val="24"/>
          <w:lang w:val="pl-PL"/>
        </w:rPr>
        <w:t>działające na podstawie Konwencji</w:t>
      </w:r>
      <w:r w:rsidR="00110DB8" w:rsidRPr="00ED0C6A">
        <w:rPr>
          <w:rFonts w:asciiTheme="minorHAnsi" w:hAnsiTheme="minorHAnsi"/>
          <w:sz w:val="24"/>
          <w:lang w:val="pl-PL"/>
        </w:rPr>
        <w:t xml:space="preserve"> wielokrotnie stwierdzały, że art. 10 nie chroni prawa do głosowania </w:t>
      </w:r>
      <w:r w:rsidRPr="00ED0C6A">
        <w:rPr>
          <w:rFonts w:asciiTheme="minorHAnsi" w:hAnsiTheme="minorHAnsi"/>
          <w:sz w:val="24"/>
          <w:lang w:val="pl-PL"/>
        </w:rPr>
        <w:t xml:space="preserve">- </w:t>
      </w:r>
      <w:r w:rsidR="00110DB8" w:rsidRPr="00ED0C6A">
        <w:rPr>
          <w:rFonts w:asciiTheme="minorHAnsi" w:hAnsiTheme="minorHAnsi"/>
          <w:sz w:val="24"/>
          <w:lang w:val="pl-PL"/>
        </w:rPr>
        <w:t>ani w wyborach, ani w referendum.</w:t>
      </w:r>
      <w:r w:rsidRPr="00ED0C6A">
        <w:rPr>
          <w:rFonts w:asciiTheme="minorHAnsi" w:hAnsiTheme="minorHAnsi"/>
          <w:sz w:val="24"/>
          <w:lang w:val="pl-PL"/>
        </w:rPr>
        <w:t xml:space="preserve"> A więc również ta część skargi jest niezgodna z Konwencją </w:t>
      </w:r>
      <w:r w:rsidRPr="00ED0C6A">
        <w:rPr>
          <w:rFonts w:asciiTheme="minorHAnsi" w:hAnsiTheme="minorHAnsi"/>
          <w:i/>
          <w:sz w:val="24"/>
          <w:lang w:val="pl-PL"/>
        </w:rPr>
        <w:t xml:space="preserve">ratione materiae </w:t>
      </w:r>
      <w:r w:rsidRPr="00ED0C6A">
        <w:rPr>
          <w:rFonts w:asciiTheme="minorHAnsi" w:hAnsiTheme="minorHAnsi"/>
          <w:sz w:val="24"/>
          <w:lang w:val="pl-PL"/>
        </w:rPr>
        <w:t>i</w:t>
      </w:r>
      <w:r w:rsidR="00335B71">
        <w:rPr>
          <w:rFonts w:asciiTheme="minorHAnsi" w:hAnsiTheme="minorHAnsi"/>
          <w:i/>
          <w:sz w:val="24"/>
          <w:lang w:val="pl-PL"/>
        </w:rPr>
        <w:t> </w:t>
      </w:r>
      <w:r w:rsidRPr="00ED0C6A">
        <w:rPr>
          <w:rFonts w:asciiTheme="minorHAnsi" w:hAnsiTheme="minorHAnsi"/>
          <w:sz w:val="24"/>
          <w:lang w:val="pl-PL"/>
        </w:rPr>
        <w:t>niedopuszczalna.</w:t>
      </w:r>
    </w:p>
    <w:p w:rsidR="008262D7" w:rsidRPr="00ED0C6A" w:rsidRDefault="008262D7" w:rsidP="00380783">
      <w:pPr>
        <w:pStyle w:val="ClinContent"/>
        <w:spacing w:before="0"/>
        <w:rPr>
          <w:rFonts w:asciiTheme="minorHAnsi" w:hAnsiTheme="minorHAnsi"/>
          <w:sz w:val="24"/>
          <w:lang w:val="pl-PL"/>
        </w:rPr>
      </w:pPr>
    </w:p>
    <w:p w:rsidR="00CB322B" w:rsidRPr="00ED0C6A" w:rsidRDefault="00CB322B" w:rsidP="00380783">
      <w:pPr>
        <w:pStyle w:val="ClinContent"/>
        <w:spacing w:before="0"/>
        <w:rPr>
          <w:rFonts w:asciiTheme="minorHAnsi" w:hAnsiTheme="minorHAnsi"/>
          <w:sz w:val="24"/>
          <w:lang w:val="pl-PL"/>
        </w:rPr>
      </w:pPr>
      <w:r w:rsidRPr="00ED0C6A">
        <w:rPr>
          <w:rFonts w:asciiTheme="minorHAnsi" w:hAnsiTheme="minorHAnsi"/>
          <w:sz w:val="24"/>
          <w:u w:val="single"/>
          <w:lang w:val="pl-PL"/>
        </w:rPr>
        <w:t xml:space="preserve">Znaczenie </w:t>
      </w:r>
      <w:r w:rsidR="0049274F" w:rsidRPr="00ED0C6A">
        <w:rPr>
          <w:rFonts w:asciiTheme="minorHAnsi" w:hAnsiTheme="minorHAnsi"/>
          <w:sz w:val="24"/>
          <w:u w:val="single"/>
          <w:lang w:val="pl-PL"/>
        </w:rPr>
        <w:t>decyzji</w:t>
      </w:r>
      <w:r w:rsidRPr="00ED0C6A">
        <w:rPr>
          <w:rFonts w:asciiTheme="minorHAnsi" w:hAnsiTheme="minorHAnsi"/>
          <w:sz w:val="24"/>
          <w:u w:val="single"/>
          <w:lang w:val="pl-PL"/>
        </w:rPr>
        <w:t xml:space="preserve"> dla Polski</w:t>
      </w:r>
      <w:r w:rsidRPr="00ED0C6A">
        <w:rPr>
          <w:rFonts w:asciiTheme="minorHAnsi" w:hAnsiTheme="minorHAnsi"/>
          <w:sz w:val="24"/>
          <w:lang w:val="pl-PL"/>
        </w:rPr>
        <w:t xml:space="preserve"> – wyrok stanowi podtrzymanie </w:t>
      </w:r>
      <w:r w:rsidR="00721A8D" w:rsidRPr="00ED0C6A">
        <w:rPr>
          <w:rFonts w:asciiTheme="minorHAnsi" w:hAnsiTheme="minorHAnsi"/>
          <w:sz w:val="24"/>
          <w:lang w:val="pl-PL"/>
        </w:rPr>
        <w:t xml:space="preserve">przez Trybunał </w:t>
      </w:r>
      <w:r w:rsidRPr="00ED0C6A">
        <w:rPr>
          <w:rFonts w:asciiTheme="minorHAnsi" w:hAnsiTheme="minorHAnsi"/>
          <w:sz w:val="24"/>
          <w:lang w:val="pl-PL"/>
        </w:rPr>
        <w:t>dotychczasowej wąski</w:t>
      </w:r>
      <w:r w:rsidR="00666D8B" w:rsidRPr="00ED0C6A">
        <w:rPr>
          <w:rFonts w:asciiTheme="minorHAnsi" w:hAnsiTheme="minorHAnsi"/>
          <w:sz w:val="24"/>
          <w:lang w:val="pl-PL"/>
        </w:rPr>
        <w:t>ej</w:t>
      </w:r>
      <w:r w:rsidRPr="00ED0C6A">
        <w:rPr>
          <w:rFonts w:asciiTheme="minorHAnsi" w:hAnsiTheme="minorHAnsi"/>
          <w:sz w:val="24"/>
          <w:lang w:val="pl-PL"/>
        </w:rPr>
        <w:t xml:space="preserve"> wykładni zakresu zastosowania prawa do wolnych wyborów</w:t>
      </w:r>
      <w:r w:rsidR="00666D8B" w:rsidRPr="00ED0C6A">
        <w:rPr>
          <w:rFonts w:asciiTheme="minorHAnsi" w:hAnsiTheme="minorHAnsi"/>
          <w:sz w:val="24"/>
          <w:lang w:val="pl-PL"/>
        </w:rPr>
        <w:t xml:space="preserve"> – jako ograniczonego na</w:t>
      </w:r>
      <w:r w:rsidR="00335B71">
        <w:rPr>
          <w:rFonts w:asciiTheme="minorHAnsi" w:hAnsiTheme="minorHAnsi"/>
          <w:sz w:val="24"/>
          <w:lang w:val="pl-PL"/>
        </w:rPr>
        <w:t> </w:t>
      </w:r>
      <w:r w:rsidR="00666D8B" w:rsidRPr="00ED0C6A">
        <w:rPr>
          <w:rFonts w:asciiTheme="minorHAnsi" w:hAnsiTheme="minorHAnsi"/>
          <w:sz w:val="24"/>
          <w:lang w:val="pl-PL"/>
        </w:rPr>
        <w:t>gruncie Konwencji jedynie</w:t>
      </w:r>
      <w:r w:rsidR="0096490E" w:rsidRPr="00ED0C6A">
        <w:rPr>
          <w:rFonts w:asciiTheme="minorHAnsi" w:hAnsiTheme="minorHAnsi"/>
          <w:sz w:val="24"/>
          <w:lang w:val="pl-PL"/>
        </w:rPr>
        <w:t xml:space="preserve"> do wyborów ciał ustawodawczych</w:t>
      </w:r>
      <w:r w:rsidRPr="00ED0C6A">
        <w:rPr>
          <w:rFonts w:asciiTheme="minorHAnsi" w:hAnsiTheme="minorHAnsi"/>
          <w:sz w:val="24"/>
          <w:lang w:val="pl-PL"/>
        </w:rPr>
        <w:t xml:space="preserve">. </w:t>
      </w:r>
      <w:r w:rsidR="00666D8B" w:rsidRPr="00ED0C6A">
        <w:rPr>
          <w:rFonts w:asciiTheme="minorHAnsi" w:hAnsiTheme="minorHAnsi"/>
          <w:sz w:val="24"/>
          <w:lang w:val="pl-PL"/>
        </w:rPr>
        <w:t>Tym razem Trybunał odrzucił możliwość rozciągnięcia gwarancji prawa do wolnych wyborów z art. 3 Protokołu nr</w:t>
      </w:r>
      <w:r w:rsidR="00335B71">
        <w:rPr>
          <w:rFonts w:asciiTheme="minorHAnsi" w:hAnsiTheme="minorHAnsi"/>
          <w:sz w:val="24"/>
          <w:lang w:val="pl-PL"/>
        </w:rPr>
        <w:t> </w:t>
      </w:r>
      <w:r w:rsidR="00666D8B" w:rsidRPr="00ED0C6A">
        <w:rPr>
          <w:rFonts w:asciiTheme="minorHAnsi" w:hAnsiTheme="minorHAnsi"/>
          <w:sz w:val="24"/>
          <w:lang w:val="pl-PL"/>
        </w:rPr>
        <w:t>1 jak też prawa do wolności wyrażania opinii z art. 10 Konwencji na głosowanie w</w:t>
      </w:r>
      <w:r w:rsidR="00335B71">
        <w:rPr>
          <w:rFonts w:asciiTheme="minorHAnsi" w:hAnsiTheme="minorHAnsi"/>
          <w:sz w:val="24"/>
          <w:lang w:val="pl-PL"/>
        </w:rPr>
        <w:t> </w:t>
      </w:r>
      <w:r w:rsidR="00666D8B" w:rsidRPr="00ED0C6A">
        <w:rPr>
          <w:rFonts w:asciiTheme="minorHAnsi" w:hAnsiTheme="minorHAnsi"/>
          <w:sz w:val="24"/>
          <w:lang w:val="pl-PL"/>
        </w:rPr>
        <w:t xml:space="preserve">referendach. </w:t>
      </w:r>
    </w:p>
    <w:p w:rsidR="00A06533" w:rsidRPr="00ED0C6A" w:rsidRDefault="00A06533" w:rsidP="009333A7">
      <w:pPr>
        <w:pStyle w:val="Nagwek2"/>
        <w:spacing w:before="480"/>
        <w:rPr>
          <w:rFonts w:asciiTheme="minorHAnsi" w:hAnsiTheme="minorHAnsi"/>
          <w:color w:val="auto"/>
          <w:sz w:val="24"/>
          <w:szCs w:val="24"/>
        </w:rPr>
      </w:pPr>
      <w:bookmarkStart w:id="23" w:name="_Toc524696739"/>
      <w:proofErr w:type="spellStart"/>
      <w:r w:rsidRPr="00ED0C6A">
        <w:rPr>
          <w:rFonts w:asciiTheme="minorHAnsi" w:hAnsiTheme="minorHAnsi"/>
          <w:color w:val="auto"/>
          <w:sz w:val="24"/>
          <w:szCs w:val="24"/>
        </w:rPr>
        <w:t>Moreira</w:t>
      </w:r>
      <w:proofErr w:type="spellEnd"/>
      <w:r w:rsidRPr="00ED0C6A">
        <w:rPr>
          <w:rFonts w:asciiTheme="minorHAnsi" w:hAnsiTheme="minorHAnsi"/>
          <w:color w:val="auto"/>
          <w:sz w:val="24"/>
          <w:szCs w:val="24"/>
        </w:rPr>
        <w:t xml:space="preserve"> Ferreira p. Portugalii (nr 2)</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19867/12</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FA6421"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 11</w:t>
      </w:r>
      <w:r w:rsidR="00B4260D" w:rsidRPr="00ED0C6A">
        <w:rPr>
          <w:rFonts w:asciiTheme="minorHAnsi" w:hAnsiTheme="minorHAnsi"/>
          <w:color w:val="auto"/>
          <w:sz w:val="24"/>
          <w:szCs w:val="24"/>
        </w:rPr>
        <w:t xml:space="preserve"> lipca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23"/>
    </w:p>
    <w:p w:rsidR="00A06533" w:rsidRPr="00ED0C6A" w:rsidRDefault="00342C49"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zastosowalność art. 6 Konwencji (prawo do rzetelnego procesu sądowego) w</w:t>
      </w:r>
      <w:r w:rsidR="00335B71">
        <w:rPr>
          <w:b/>
          <w:color w:val="000000" w:themeColor="text1"/>
          <w:sz w:val="24"/>
          <w:szCs w:val="24"/>
          <w:lang w:val="pl-PL"/>
        </w:rPr>
        <w:t> </w:t>
      </w:r>
      <w:r w:rsidRPr="00ED0C6A">
        <w:rPr>
          <w:b/>
          <w:color w:val="000000" w:themeColor="text1"/>
          <w:sz w:val="24"/>
          <w:szCs w:val="24"/>
          <w:lang w:val="pl-PL"/>
        </w:rPr>
        <w:t>odniesieniu do odmowy wznowienia postępowania karnego przez sądy krajowe po</w:t>
      </w:r>
      <w:r w:rsidR="00335B71">
        <w:rPr>
          <w:b/>
          <w:color w:val="000000" w:themeColor="text1"/>
          <w:sz w:val="24"/>
          <w:szCs w:val="24"/>
          <w:lang w:val="pl-PL"/>
        </w:rPr>
        <w:t> </w:t>
      </w:r>
      <w:r w:rsidRPr="00ED0C6A">
        <w:rPr>
          <w:b/>
          <w:color w:val="000000" w:themeColor="text1"/>
          <w:sz w:val="24"/>
          <w:szCs w:val="24"/>
          <w:lang w:val="pl-PL"/>
        </w:rPr>
        <w:t>stwierdzeniu naruszenia art. 6 przez Europejski Trybunał Praw Człowieka</w:t>
      </w:r>
    </w:p>
    <w:p w:rsidR="00A06533" w:rsidRPr="00ED0C6A" w:rsidRDefault="00A06533"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342C49" w:rsidRPr="00ED0C6A">
        <w:rPr>
          <w:b/>
          <w:color w:val="000000" w:themeColor="text1"/>
          <w:sz w:val="24"/>
          <w:szCs w:val="24"/>
          <w:lang w:val="pl-PL"/>
        </w:rPr>
        <w:t xml:space="preserve"> art. 6 Konwencji (prawo do rzetelnego procesu sądowego</w:t>
      </w:r>
      <w:r w:rsidR="00097002" w:rsidRPr="00ED0C6A">
        <w:rPr>
          <w:b/>
          <w:color w:val="000000" w:themeColor="text1"/>
          <w:sz w:val="24"/>
          <w:szCs w:val="24"/>
          <w:lang w:val="pl-PL"/>
        </w:rPr>
        <w:t xml:space="preserve"> – aspekt prawa dostępu do sądu i sprawiedliwego rozpatrzenia sprawy w postępowaniu karnym</w:t>
      </w:r>
      <w:r w:rsidR="00342C49" w:rsidRPr="00ED0C6A">
        <w:rPr>
          <w:b/>
          <w:color w:val="000000" w:themeColor="text1"/>
          <w:sz w:val="24"/>
          <w:szCs w:val="24"/>
          <w:lang w:val="pl-PL"/>
        </w:rPr>
        <w:t>) w odniesieniu do nieuwzględnienia przez Sąd Najwyższy wniosku o</w:t>
      </w:r>
      <w:r w:rsidR="00335B71">
        <w:rPr>
          <w:b/>
          <w:color w:val="000000" w:themeColor="text1"/>
          <w:sz w:val="24"/>
          <w:szCs w:val="24"/>
          <w:lang w:val="pl-PL"/>
        </w:rPr>
        <w:t> </w:t>
      </w:r>
      <w:r w:rsidR="0027486B" w:rsidRPr="00ED0C6A">
        <w:rPr>
          <w:b/>
          <w:color w:val="000000" w:themeColor="text1"/>
          <w:sz w:val="24"/>
          <w:szCs w:val="24"/>
          <w:lang w:val="pl-PL"/>
        </w:rPr>
        <w:t>wznowienie i</w:t>
      </w:r>
      <w:r w:rsidR="00342C49" w:rsidRPr="00ED0C6A">
        <w:rPr>
          <w:b/>
          <w:color w:val="000000" w:themeColor="text1"/>
          <w:sz w:val="24"/>
          <w:szCs w:val="24"/>
          <w:lang w:val="pl-PL"/>
        </w:rPr>
        <w:t xml:space="preserve"> rewizję wyroku sądu karnego po wyroku Europejskiego Trybunału Praw Człowieka stwierdzającym naruszenie art. 6</w:t>
      </w:r>
    </w:p>
    <w:p w:rsidR="00342C49" w:rsidRPr="00ED0C6A" w:rsidRDefault="00342C49"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brak jurysdykcji Trybunału </w:t>
      </w:r>
      <w:r w:rsidRPr="00ED0C6A">
        <w:rPr>
          <w:b/>
          <w:i/>
          <w:color w:val="000000" w:themeColor="text1"/>
          <w:sz w:val="24"/>
          <w:szCs w:val="24"/>
          <w:lang w:val="pl-PL"/>
        </w:rPr>
        <w:t>ratione materiae</w:t>
      </w:r>
      <w:r w:rsidRPr="00ED0C6A">
        <w:rPr>
          <w:b/>
          <w:color w:val="000000" w:themeColor="text1"/>
          <w:sz w:val="24"/>
          <w:szCs w:val="24"/>
          <w:lang w:val="pl-PL"/>
        </w:rPr>
        <w:t xml:space="preserve"> do zbadania zarzutu naruszenia art. 46 Konwencji (moc obowiązująca oraz wykonanie wyroków) </w:t>
      </w:r>
      <w:r w:rsidR="0086466B" w:rsidRPr="00ED0C6A">
        <w:rPr>
          <w:b/>
          <w:color w:val="000000" w:themeColor="text1"/>
          <w:sz w:val="24"/>
          <w:szCs w:val="24"/>
          <w:lang w:val="pl-PL"/>
        </w:rPr>
        <w:t>w odniesieniu do</w:t>
      </w:r>
      <w:r w:rsidR="00C8495E" w:rsidRPr="00ED0C6A">
        <w:rPr>
          <w:b/>
          <w:color w:val="000000" w:themeColor="text1"/>
          <w:sz w:val="24"/>
          <w:szCs w:val="24"/>
          <w:lang w:val="pl-PL"/>
        </w:rPr>
        <w:t xml:space="preserve"> </w:t>
      </w:r>
      <w:r w:rsidRPr="00ED0C6A">
        <w:rPr>
          <w:b/>
          <w:color w:val="000000" w:themeColor="text1"/>
          <w:sz w:val="24"/>
          <w:szCs w:val="24"/>
          <w:lang w:val="pl-PL"/>
        </w:rPr>
        <w:t>brak</w:t>
      </w:r>
      <w:r w:rsidR="0086466B" w:rsidRPr="00ED0C6A">
        <w:rPr>
          <w:b/>
          <w:color w:val="000000" w:themeColor="text1"/>
          <w:sz w:val="24"/>
          <w:szCs w:val="24"/>
          <w:lang w:val="pl-PL"/>
        </w:rPr>
        <w:t>u</w:t>
      </w:r>
      <w:r w:rsidRPr="00ED0C6A">
        <w:rPr>
          <w:b/>
          <w:color w:val="000000" w:themeColor="text1"/>
          <w:sz w:val="24"/>
          <w:szCs w:val="24"/>
          <w:lang w:val="pl-PL"/>
        </w:rPr>
        <w:t xml:space="preserve"> wdrożenia przez </w:t>
      </w:r>
      <w:r w:rsidR="00721A8D" w:rsidRPr="00ED0C6A">
        <w:rPr>
          <w:b/>
          <w:color w:val="000000" w:themeColor="text1"/>
          <w:sz w:val="24"/>
          <w:szCs w:val="24"/>
          <w:lang w:val="pl-PL"/>
        </w:rPr>
        <w:t xml:space="preserve">Państwo </w:t>
      </w:r>
      <w:r w:rsidRPr="00ED0C6A">
        <w:rPr>
          <w:b/>
          <w:color w:val="000000" w:themeColor="text1"/>
          <w:sz w:val="24"/>
          <w:szCs w:val="24"/>
          <w:lang w:val="pl-PL"/>
        </w:rPr>
        <w:t>środków indy</w:t>
      </w:r>
      <w:r w:rsidR="0049274F" w:rsidRPr="00ED0C6A">
        <w:rPr>
          <w:b/>
          <w:color w:val="000000" w:themeColor="text1"/>
          <w:sz w:val="24"/>
          <w:szCs w:val="24"/>
          <w:lang w:val="pl-PL"/>
        </w:rPr>
        <w:t>widualnych w sprawie skarżącej</w:t>
      </w:r>
    </w:p>
    <w:p w:rsidR="00A06533" w:rsidRPr="00ED0C6A" w:rsidRDefault="00765FAB" w:rsidP="008176C7">
      <w:pPr>
        <w:pStyle w:val="ClinContent"/>
        <w:spacing w:before="0"/>
        <w:rPr>
          <w:rFonts w:asciiTheme="minorHAnsi" w:hAnsiTheme="minorHAnsi"/>
          <w:sz w:val="24"/>
          <w:lang w:val="pl-PL"/>
        </w:rPr>
      </w:pPr>
      <w:r w:rsidRPr="00ED0C6A">
        <w:rPr>
          <w:rFonts w:asciiTheme="minorHAnsi" w:hAnsiTheme="minorHAnsi"/>
          <w:sz w:val="24"/>
          <w:lang w:val="pl-PL"/>
        </w:rPr>
        <w:t>W</w:t>
      </w:r>
      <w:r w:rsidRPr="00ED0C6A">
        <w:rPr>
          <w:rFonts w:asciiTheme="minorHAnsi" w:hAnsiTheme="minorHAnsi"/>
          <w:i/>
          <w:sz w:val="24"/>
          <w:lang w:val="pl-PL"/>
        </w:rPr>
        <w:t xml:space="preserve"> </w:t>
      </w:r>
      <w:r w:rsidR="00A06533" w:rsidRPr="00ED0C6A">
        <w:rPr>
          <w:rFonts w:asciiTheme="minorHAnsi" w:hAnsiTheme="minorHAnsi"/>
          <w:sz w:val="24"/>
          <w:lang w:val="pl-PL"/>
        </w:rPr>
        <w:t>dniu 21 marca 2012 r. Sąd Najwyższy wydał wyrok oddalający wniosek o wznowienie sprawy karnej zakończonej wyrokiem, złożony przez skarżącą po wydaniu przez Trybunał</w:t>
      </w:r>
      <w:r w:rsidRPr="00ED0C6A">
        <w:rPr>
          <w:rFonts w:asciiTheme="minorHAnsi" w:hAnsiTheme="minorHAnsi"/>
          <w:sz w:val="24"/>
          <w:lang w:val="pl-PL"/>
        </w:rPr>
        <w:t xml:space="preserve"> </w:t>
      </w:r>
      <w:r w:rsidR="00A06533" w:rsidRPr="00ED0C6A">
        <w:rPr>
          <w:rFonts w:asciiTheme="minorHAnsi" w:hAnsiTheme="minorHAnsi"/>
          <w:sz w:val="24"/>
          <w:lang w:val="pl-PL"/>
        </w:rPr>
        <w:t xml:space="preserve">wyroku, w którym stwierdził on naruszenie art. 6 ust. 1 (zob. </w:t>
      </w:r>
      <w:proofErr w:type="spellStart"/>
      <w:r w:rsidR="00A06533" w:rsidRPr="00ED0C6A">
        <w:rPr>
          <w:rFonts w:asciiTheme="minorHAnsi" w:hAnsiTheme="minorHAnsi"/>
          <w:i/>
          <w:sz w:val="24"/>
          <w:lang w:val="pl-PL"/>
        </w:rPr>
        <w:t>Moreira</w:t>
      </w:r>
      <w:proofErr w:type="spellEnd"/>
      <w:r w:rsidR="00A06533" w:rsidRPr="00ED0C6A">
        <w:rPr>
          <w:rFonts w:asciiTheme="minorHAnsi" w:hAnsiTheme="minorHAnsi"/>
          <w:i/>
          <w:sz w:val="24"/>
          <w:lang w:val="pl-PL"/>
        </w:rPr>
        <w:t xml:space="preserve"> Ferreira p. Portugalii</w:t>
      </w:r>
      <w:r w:rsidR="00A06533" w:rsidRPr="00ED0C6A">
        <w:rPr>
          <w:rFonts w:asciiTheme="minorHAnsi" w:hAnsiTheme="minorHAnsi"/>
          <w:sz w:val="24"/>
          <w:lang w:val="pl-PL"/>
        </w:rPr>
        <w:t xml:space="preserve">, skarga nr 19808/08, wyrok z 5 lipca 2011 r.). </w:t>
      </w:r>
      <w:r w:rsidRPr="00ED0C6A">
        <w:rPr>
          <w:rFonts w:asciiTheme="minorHAnsi" w:hAnsiTheme="minorHAnsi"/>
          <w:sz w:val="24"/>
          <w:lang w:val="pl-PL"/>
        </w:rPr>
        <w:t xml:space="preserve">W tamtym wyroku </w:t>
      </w:r>
      <w:r w:rsidR="00A06533" w:rsidRPr="00ED0C6A">
        <w:rPr>
          <w:rFonts w:asciiTheme="minorHAnsi" w:hAnsiTheme="minorHAnsi"/>
          <w:sz w:val="24"/>
          <w:lang w:val="pl-PL"/>
        </w:rPr>
        <w:t>Trybunał stwierdził</w:t>
      </w:r>
      <w:r w:rsidRPr="00ED0C6A">
        <w:rPr>
          <w:rFonts w:asciiTheme="minorHAnsi" w:hAnsiTheme="minorHAnsi"/>
          <w:sz w:val="24"/>
          <w:lang w:val="pl-PL"/>
        </w:rPr>
        <w:t xml:space="preserve"> na</w:t>
      </w:r>
      <w:r w:rsidR="00335B71">
        <w:rPr>
          <w:rFonts w:asciiTheme="minorHAnsi" w:hAnsiTheme="minorHAnsi"/>
          <w:sz w:val="24"/>
          <w:lang w:val="pl-PL"/>
        </w:rPr>
        <w:t> </w:t>
      </w:r>
      <w:r w:rsidRPr="00ED0C6A">
        <w:rPr>
          <w:rFonts w:asciiTheme="minorHAnsi" w:hAnsiTheme="minorHAnsi"/>
          <w:sz w:val="24"/>
          <w:lang w:val="pl-PL"/>
        </w:rPr>
        <w:t>podstawie art. 41 Konwencji</w:t>
      </w:r>
      <w:r w:rsidR="00A06533" w:rsidRPr="00ED0C6A">
        <w:rPr>
          <w:rFonts w:asciiTheme="minorHAnsi" w:hAnsiTheme="minorHAnsi"/>
          <w:sz w:val="24"/>
          <w:lang w:val="pl-PL"/>
        </w:rPr>
        <w:t>, że ponowny proces lub wznowienie postępowania na</w:t>
      </w:r>
      <w:r w:rsidR="00335B71">
        <w:rPr>
          <w:rFonts w:asciiTheme="minorHAnsi" w:hAnsiTheme="minorHAnsi"/>
          <w:sz w:val="24"/>
          <w:lang w:val="pl-PL"/>
        </w:rPr>
        <w:t> </w:t>
      </w:r>
      <w:r w:rsidR="00A06533" w:rsidRPr="00ED0C6A">
        <w:rPr>
          <w:rFonts w:asciiTheme="minorHAnsi" w:hAnsiTheme="minorHAnsi"/>
          <w:sz w:val="24"/>
          <w:lang w:val="pl-PL"/>
        </w:rPr>
        <w:t>wniosek skarżącej stanowić będzie, co do zasady, odpowiedni środek naprawienia stwierdzonego naruszenia. W tym względzie Trybunał odnotował</w:t>
      </w:r>
      <w:r w:rsidRPr="00ED0C6A">
        <w:rPr>
          <w:rFonts w:asciiTheme="minorHAnsi" w:hAnsiTheme="minorHAnsi"/>
          <w:sz w:val="24"/>
          <w:lang w:val="pl-PL"/>
        </w:rPr>
        <w:t xml:space="preserve"> wówczas</w:t>
      </w:r>
      <w:r w:rsidR="00A06533" w:rsidRPr="00ED0C6A">
        <w:rPr>
          <w:rFonts w:asciiTheme="minorHAnsi" w:hAnsiTheme="minorHAnsi"/>
          <w:sz w:val="24"/>
          <w:lang w:val="pl-PL"/>
        </w:rPr>
        <w:t xml:space="preserve">, że art. 449 portugalskiego Kodeksu postępowania karnego umożliwia wznowienie postępowania krajowego, w przypadku gdy Trybunał stwierdził naruszenie praw i podstawowych wolności skarżącego. </w:t>
      </w:r>
    </w:p>
    <w:p w:rsidR="00765FAB" w:rsidRPr="00ED0C6A" w:rsidRDefault="00765FAB" w:rsidP="008176C7">
      <w:pPr>
        <w:pStyle w:val="ClinContent"/>
        <w:spacing w:before="0"/>
        <w:rPr>
          <w:rFonts w:asciiTheme="minorHAnsi" w:hAnsiTheme="minorHAnsi"/>
          <w:sz w:val="24"/>
          <w:lang w:val="pl-PL"/>
        </w:rPr>
      </w:pPr>
    </w:p>
    <w:p w:rsidR="00A06533" w:rsidRPr="00ED0C6A" w:rsidRDefault="00A06533" w:rsidP="008176C7">
      <w:pPr>
        <w:pStyle w:val="ClinContent"/>
        <w:spacing w:before="0"/>
        <w:rPr>
          <w:rFonts w:asciiTheme="minorHAnsi" w:hAnsiTheme="minorHAnsi"/>
          <w:sz w:val="24"/>
          <w:lang w:val="pl-PL"/>
        </w:rPr>
      </w:pPr>
      <w:r w:rsidRPr="00ED0C6A">
        <w:rPr>
          <w:rFonts w:asciiTheme="minorHAnsi" w:hAnsiTheme="minorHAnsi"/>
          <w:sz w:val="24"/>
          <w:lang w:val="pl-PL"/>
        </w:rPr>
        <w:t>Sąd Najwyższy orzekł</w:t>
      </w:r>
      <w:r w:rsidR="00765FAB" w:rsidRPr="00ED0C6A">
        <w:rPr>
          <w:rFonts w:asciiTheme="minorHAnsi" w:hAnsiTheme="minorHAnsi"/>
          <w:sz w:val="24"/>
          <w:lang w:val="pl-PL"/>
        </w:rPr>
        <w:t xml:space="preserve"> jednak</w:t>
      </w:r>
      <w:r w:rsidRPr="00ED0C6A">
        <w:rPr>
          <w:rFonts w:asciiTheme="minorHAnsi" w:hAnsiTheme="minorHAnsi"/>
          <w:sz w:val="24"/>
          <w:lang w:val="pl-PL"/>
        </w:rPr>
        <w:t>, że wyrok Trybunału nie pozostawał w sprzeczności ze</w:t>
      </w:r>
      <w:r w:rsidR="00335B71">
        <w:rPr>
          <w:rFonts w:asciiTheme="minorHAnsi" w:hAnsiTheme="minorHAnsi"/>
          <w:sz w:val="24"/>
          <w:lang w:val="pl-PL"/>
        </w:rPr>
        <w:t> </w:t>
      </w:r>
      <w:r w:rsidRPr="00ED0C6A">
        <w:rPr>
          <w:rFonts w:asciiTheme="minorHAnsi" w:hAnsiTheme="minorHAnsi"/>
          <w:sz w:val="24"/>
          <w:lang w:val="pl-PL"/>
        </w:rPr>
        <w:t>skazaniem skarżącej i nie podnosił poważnych wątpliwości co do zasadności</w:t>
      </w:r>
      <w:r w:rsidR="00765FAB" w:rsidRPr="00ED0C6A">
        <w:rPr>
          <w:rFonts w:asciiTheme="minorHAnsi" w:hAnsiTheme="minorHAnsi"/>
          <w:sz w:val="24"/>
          <w:lang w:val="pl-PL"/>
        </w:rPr>
        <w:t xml:space="preserve"> tego skazania</w:t>
      </w:r>
      <w:r w:rsidRPr="00ED0C6A">
        <w:rPr>
          <w:rFonts w:asciiTheme="minorHAnsi" w:hAnsiTheme="minorHAnsi"/>
          <w:sz w:val="24"/>
          <w:lang w:val="pl-PL"/>
        </w:rPr>
        <w:t xml:space="preserve">, czego wymaga art. 449 ust. 1 lit. g Kodeksu postępowania karnego. </w:t>
      </w:r>
    </w:p>
    <w:p w:rsidR="00765FAB" w:rsidRPr="00ED0C6A" w:rsidRDefault="00765FAB" w:rsidP="008176C7">
      <w:pPr>
        <w:pStyle w:val="ClinContent"/>
        <w:spacing w:before="0"/>
        <w:rPr>
          <w:rFonts w:asciiTheme="minorHAnsi" w:hAnsiTheme="minorHAnsi"/>
          <w:sz w:val="24"/>
          <w:lang w:val="pl-PL"/>
        </w:rPr>
      </w:pPr>
    </w:p>
    <w:p w:rsidR="00A06533" w:rsidRPr="00ED0C6A" w:rsidRDefault="00A0653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Skarżąca </w:t>
      </w:r>
      <w:r w:rsidR="00765FAB" w:rsidRPr="00ED0C6A">
        <w:rPr>
          <w:rFonts w:asciiTheme="minorHAnsi" w:hAnsiTheme="minorHAnsi"/>
          <w:sz w:val="24"/>
          <w:lang w:val="pl-PL"/>
        </w:rPr>
        <w:t xml:space="preserve">w drugiej skardze do Trybunału </w:t>
      </w:r>
      <w:r w:rsidRPr="00ED0C6A">
        <w:rPr>
          <w:rFonts w:asciiTheme="minorHAnsi" w:hAnsiTheme="minorHAnsi"/>
          <w:sz w:val="24"/>
          <w:lang w:val="pl-PL"/>
        </w:rPr>
        <w:t xml:space="preserve">zarzucała, że Sąd Najwyższy błędnie zinterpretował </w:t>
      </w:r>
      <w:r w:rsidR="00765FAB" w:rsidRPr="00ED0C6A">
        <w:rPr>
          <w:rFonts w:asciiTheme="minorHAnsi" w:hAnsiTheme="minorHAnsi"/>
          <w:sz w:val="24"/>
          <w:lang w:val="pl-PL"/>
        </w:rPr>
        <w:t xml:space="preserve">pierwszy </w:t>
      </w:r>
      <w:r w:rsidRPr="00ED0C6A">
        <w:rPr>
          <w:rFonts w:asciiTheme="minorHAnsi" w:hAnsiTheme="minorHAnsi"/>
          <w:sz w:val="24"/>
          <w:lang w:val="pl-PL"/>
        </w:rPr>
        <w:t xml:space="preserve">wyrok Trybunału, naruszając </w:t>
      </w:r>
      <w:r w:rsidR="00765FAB" w:rsidRPr="00ED0C6A">
        <w:rPr>
          <w:rFonts w:asciiTheme="minorHAnsi" w:hAnsiTheme="minorHAnsi"/>
          <w:sz w:val="24"/>
          <w:lang w:val="pl-PL"/>
        </w:rPr>
        <w:t>prawo do rzetelnego procesu sądowego (</w:t>
      </w:r>
      <w:r w:rsidRPr="00ED0C6A">
        <w:rPr>
          <w:rFonts w:asciiTheme="minorHAnsi" w:hAnsiTheme="minorHAnsi"/>
          <w:sz w:val="24"/>
          <w:lang w:val="pl-PL"/>
        </w:rPr>
        <w:t>art. 6 ust. 1</w:t>
      </w:r>
      <w:r w:rsidR="00765FAB" w:rsidRPr="00ED0C6A">
        <w:rPr>
          <w:rFonts w:asciiTheme="minorHAnsi" w:hAnsiTheme="minorHAnsi"/>
          <w:sz w:val="24"/>
          <w:lang w:val="pl-PL"/>
        </w:rPr>
        <w:t>)</w:t>
      </w:r>
      <w:r w:rsidRPr="00ED0C6A">
        <w:rPr>
          <w:rFonts w:asciiTheme="minorHAnsi" w:hAnsiTheme="minorHAnsi"/>
          <w:sz w:val="24"/>
          <w:lang w:val="pl-PL"/>
        </w:rPr>
        <w:t xml:space="preserve"> oraz </w:t>
      </w:r>
      <w:r w:rsidR="00765FAB" w:rsidRPr="00ED0C6A">
        <w:rPr>
          <w:rFonts w:asciiTheme="minorHAnsi" w:hAnsiTheme="minorHAnsi"/>
          <w:sz w:val="24"/>
          <w:lang w:val="pl-PL"/>
        </w:rPr>
        <w:t xml:space="preserve">postanowienia </w:t>
      </w:r>
      <w:r w:rsidRPr="00ED0C6A">
        <w:rPr>
          <w:rFonts w:asciiTheme="minorHAnsi" w:hAnsiTheme="minorHAnsi"/>
          <w:sz w:val="24"/>
          <w:lang w:val="pl-PL"/>
        </w:rPr>
        <w:t>art. 46 ust. 1 Konwencji</w:t>
      </w:r>
      <w:r w:rsidR="00765FAB" w:rsidRPr="00ED0C6A">
        <w:rPr>
          <w:rFonts w:asciiTheme="minorHAnsi" w:hAnsiTheme="minorHAnsi"/>
          <w:sz w:val="24"/>
          <w:lang w:val="pl-PL"/>
        </w:rPr>
        <w:t xml:space="preserve"> dotyczące mocy obowiązującej i wykonywania wyroków Trybunału</w:t>
      </w:r>
      <w:r w:rsidRPr="00ED0C6A">
        <w:rPr>
          <w:rFonts w:asciiTheme="minorHAnsi" w:hAnsiTheme="minorHAnsi"/>
          <w:sz w:val="24"/>
          <w:lang w:val="pl-PL"/>
        </w:rPr>
        <w:t xml:space="preserve">. </w:t>
      </w:r>
    </w:p>
    <w:p w:rsidR="00A06533" w:rsidRPr="00ED0C6A" w:rsidRDefault="00A06533" w:rsidP="008176C7">
      <w:pPr>
        <w:pStyle w:val="ClinContent"/>
        <w:spacing w:before="0"/>
        <w:rPr>
          <w:rFonts w:asciiTheme="minorHAnsi" w:hAnsiTheme="minorHAnsi"/>
          <w:i/>
          <w:sz w:val="24"/>
          <w:lang w:val="pl-PL"/>
        </w:rPr>
      </w:pPr>
    </w:p>
    <w:p w:rsidR="00A06533" w:rsidRPr="00ED0C6A" w:rsidRDefault="00765FAB" w:rsidP="008176C7">
      <w:pPr>
        <w:pStyle w:val="ClinContent"/>
        <w:spacing w:before="0"/>
        <w:rPr>
          <w:rFonts w:asciiTheme="minorHAnsi" w:hAnsiTheme="minorHAnsi"/>
          <w:sz w:val="24"/>
          <w:lang w:val="pl-PL"/>
        </w:rPr>
      </w:pPr>
      <w:r w:rsidRPr="00ED0C6A">
        <w:rPr>
          <w:rFonts w:asciiTheme="minorHAnsi" w:hAnsiTheme="minorHAnsi"/>
          <w:sz w:val="24"/>
          <w:lang w:val="pl-PL"/>
        </w:rPr>
        <w:t>Trybunał zbadał w pierwszej kolejności,</w:t>
      </w:r>
      <w:r w:rsidR="00A06533" w:rsidRPr="00ED0C6A">
        <w:rPr>
          <w:rFonts w:asciiTheme="minorHAnsi" w:hAnsiTheme="minorHAnsi"/>
          <w:sz w:val="24"/>
          <w:lang w:val="pl-PL"/>
        </w:rPr>
        <w:t xml:space="preserve"> </w:t>
      </w:r>
      <w:r w:rsidRPr="00ED0C6A">
        <w:rPr>
          <w:rFonts w:asciiTheme="minorHAnsi" w:hAnsiTheme="minorHAnsi"/>
          <w:sz w:val="24"/>
          <w:u w:val="single"/>
          <w:lang w:val="pl-PL"/>
        </w:rPr>
        <w:t>c</w:t>
      </w:r>
      <w:r w:rsidR="00A06533" w:rsidRPr="00ED0C6A">
        <w:rPr>
          <w:rFonts w:asciiTheme="minorHAnsi" w:hAnsiTheme="minorHAnsi"/>
          <w:i/>
          <w:sz w:val="24"/>
          <w:u w:val="single"/>
          <w:lang w:val="pl-PL"/>
        </w:rPr>
        <w:t xml:space="preserve">zy art. 46 Konwencji wyklucza zbadanie przez Trybunał </w:t>
      </w:r>
      <w:r w:rsidRPr="00ED0C6A">
        <w:rPr>
          <w:rFonts w:asciiTheme="minorHAnsi" w:hAnsiTheme="minorHAnsi"/>
          <w:i/>
          <w:sz w:val="24"/>
          <w:u w:val="single"/>
          <w:lang w:val="pl-PL"/>
        </w:rPr>
        <w:t xml:space="preserve">drugiej </w:t>
      </w:r>
      <w:r w:rsidR="00A06533" w:rsidRPr="00ED0C6A">
        <w:rPr>
          <w:rFonts w:asciiTheme="minorHAnsi" w:hAnsiTheme="minorHAnsi"/>
          <w:i/>
          <w:sz w:val="24"/>
          <w:u w:val="single"/>
          <w:lang w:val="pl-PL"/>
        </w:rPr>
        <w:t>skargi na podstawie art. 6 Konwencji</w:t>
      </w:r>
      <w:r w:rsidRPr="00ED0C6A">
        <w:rPr>
          <w:rFonts w:asciiTheme="minorHAnsi" w:hAnsiTheme="minorHAnsi"/>
          <w:i/>
          <w:sz w:val="24"/>
          <w:u w:val="single"/>
          <w:lang w:val="pl-PL"/>
        </w:rPr>
        <w:t>.</w:t>
      </w:r>
      <w:r w:rsidRPr="00ED0C6A">
        <w:rPr>
          <w:rFonts w:asciiTheme="minorHAnsi" w:hAnsiTheme="minorHAnsi"/>
          <w:i/>
          <w:sz w:val="24"/>
          <w:lang w:val="pl-PL"/>
        </w:rPr>
        <w:t xml:space="preserve"> </w:t>
      </w:r>
      <w:r w:rsidRPr="00ED0C6A">
        <w:rPr>
          <w:rFonts w:asciiTheme="minorHAnsi" w:hAnsiTheme="minorHAnsi"/>
          <w:sz w:val="24"/>
          <w:lang w:val="pl-PL"/>
        </w:rPr>
        <w:t>Uznał, że</w:t>
      </w:r>
      <w:r w:rsidR="00A06533" w:rsidRPr="00ED0C6A">
        <w:rPr>
          <w:rFonts w:asciiTheme="minorHAnsi" w:hAnsiTheme="minorHAnsi"/>
          <w:sz w:val="24"/>
          <w:lang w:val="pl-PL"/>
        </w:rPr>
        <w:t xml:space="preserve"> </w:t>
      </w:r>
      <w:r w:rsidRPr="00ED0C6A">
        <w:rPr>
          <w:rFonts w:asciiTheme="minorHAnsi" w:hAnsiTheme="minorHAnsi"/>
          <w:sz w:val="24"/>
          <w:lang w:val="pl-PL"/>
        </w:rPr>
        <w:t>z</w:t>
      </w:r>
      <w:r w:rsidR="00A06533" w:rsidRPr="00ED0C6A">
        <w:rPr>
          <w:rFonts w:asciiTheme="minorHAnsi" w:hAnsiTheme="minorHAnsi"/>
          <w:sz w:val="24"/>
          <w:lang w:val="pl-PL"/>
        </w:rPr>
        <w:t xml:space="preserve">arzucany brak rzetelności postępowania, które prowadzono w </w:t>
      </w:r>
      <w:r w:rsidRPr="00ED0C6A">
        <w:rPr>
          <w:rFonts w:asciiTheme="minorHAnsi" w:hAnsiTheme="minorHAnsi"/>
          <w:sz w:val="24"/>
          <w:lang w:val="pl-PL"/>
        </w:rPr>
        <w:t xml:space="preserve">sprawie </w:t>
      </w:r>
      <w:r w:rsidR="00A06533" w:rsidRPr="00ED0C6A">
        <w:rPr>
          <w:rFonts w:asciiTheme="minorHAnsi" w:hAnsiTheme="minorHAnsi"/>
          <w:sz w:val="24"/>
          <w:lang w:val="pl-PL"/>
        </w:rPr>
        <w:t>wniosku o wznowienie, a w szczególności błędy, którymi</w:t>
      </w:r>
      <w:r w:rsidR="00DA0788" w:rsidRPr="00ED0C6A">
        <w:rPr>
          <w:rFonts w:asciiTheme="minorHAnsi" w:hAnsiTheme="minorHAnsi"/>
          <w:sz w:val="24"/>
          <w:lang w:val="pl-PL"/>
        </w:rPr>
        <w:t>,</w:t>
      </w:r>
      <w:r w:rsidR="00A06533" w:rsidRPr="00ED0C6A">
        <w:rPr>
          <w:rFonts w:asciiTheme="minorHAnsi" w:hAnsiTheme="minorHAnsi"/>
          <w:sz w:val="24"/>
          <w:lang w:val="pl-PL"/>
        </w:rPr>
        <w:t xml:space="preserve"> </w:t>
      </w:r>
      <w:r w:rsidRPr="00ED0C6A">
        <w:rPr>
          <w:rFonts w:asciiTheme="minorHAnsi" w:hAnsiTheme="minorHAnsi"/>
          <w:sz w:val="24"/>
          <w:lang w:val="pl-PL"/>
        </w:rPr>
        <w:t>zdaniem skarżącej</w:t>
      </w:r>
      <w:r w:rsidR="00DA0788" w:rsidRPr="00ED0C6A">
        <w:rPr>
          <w:rFonts w:asciiTheme="minorHAnsi" w:hAnsiTheme="minorHAnsi"/>
          <w:sz w:val="24"/>
          <w:lang w:val="pl-PL"/>
        </w:rPr>
        <w:t>,</w:t>
      </w:r>
      <w:r w:rsidRPr="00ED0C6A">
        <w:rPr>
          <w:rFonts w:asciiTheme="minorHAnsi" w:hAnsiTheme="minorHAnsi"/>
          <w:sz w:val="24"/>
          <w:lang w:val="pl-PL"/>
        </w:rPr>
        <w:t xml:space="preserve"> </w:t>
      </w:r>
      <w:r w:rsidR="00A06533" w:rsidRPr="00ED0C6A">
        <w:rPr>
          <w:rFonts w:asciiTheme="minorHAnsi" w:hAnsiTheme="minorHAnsi"/>
          <w:sz w:val="24"/>
          <w:lang w:val="pl-PL"/>
        </w:rPr>
        <w:t xml:space="preserve">obarczone było uzasadnienie Sądu Najwyższego, stanowią nową informację w stosunku do poprzedniego wyroku Trybunału. </w:t>
      </w:r>
    </w:p>
    <w:p w:rsidR="00765FAB" w:rsidRPr="00ED0C6A" w:rsidRDefault="00765FAB" w:rsidP="008176C7">
      <w:pPr>
        <w:pStyle w:val="ClinContent"/>
        <w:spacing w:before="0"/>
        <w:rPr>
          <w:rFonts w:asciiTheme="minorHAnsi" w:hAnsiTheme="minorHAnsi"/>
          <w:sz w:val="24"/>
          <w:lang w:val="pl-PL"/>
        </w:rPr>
      </w:pPr>
    </w:p>
    <w:p w:rsidR="00A06533" w:rsidRPr="00ED0C6A" w:rsidRDefault="00A0653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Ponadto, procedura nadzoru nad wykonaniem wyroku Trybunału, która wciąż zawisła </w:t>
      </w:r>
      <w:r w:rsidR="00765FAB" w:rsidRPr="00ED0C6A">
        <w:rPr>
          <w:rFonts w:asciiTheme="minorHAnsi" w:hAnsiTheme="minorHAnsi"/>
          <w:sz w:val="24"/>
          <w:lang w:val="pl-PL"/>
        </w:rPr>
        <w:t>była przed Komitetem Ministrów Rady Europy</w:t>
      </w:r>
      <w:r w:rsidRPr="00ED0C6A">
        <w:rPr>
          <w:rFonts w:asciiTheme="minorHAnsi" w:hAnsiTheme="minorHAnsi"/>
          <w:sz w:val="24"/>
          <w:lang w:val="pl-PL"/>
        </w:rPr>
        <w:t>, nie uniemożliwia</w:t>
      </w:r>
      <w:r w:rsidR="00765FAB" w:rsidRPr="00ED0C6A">
        <w:rPr>
          <w:rFonts w:asciiTheme="minorHAnsi" w:hAnsiTheme="minorHAnsi"/>
          <w:sz w:val="24"/>
          <w:lang w:val="pl-PL"/>
        </w:rPr>
        <w:t>ła</w:t>
      </w:r>
      <w:r w:rsidRPr="00ED0C6A">
        <w:rPr>
          <w:rFonts w:asciiTheme="minorHAnsi" w:hAnsiTheme="minorHAnsi"/>
          <w:sz w:val="24"/>
          <w:lang w:val="pl-PL"/>
        </w:rPr>
        <w:t xml:space="preserve"> roz</w:t>
      </w:r>
      <w:r w:rsidR="00DA0788" w:rsidRPr="00ED0C6A">
        <w:rPr>
          <w:rFonts w:asciiTheme="minorHAnsi" w:hAnsiTheme="minorHAnsi"/>
          <w:sz w:val="24"/>
          <w:lang w:val="pl-PL"/>
        </w:rPr>
        <w:t>patrzenia</w:t>
      </w:r>
      <w:r w:rsidRPr="00ED0C6A">
        <w:rPr>
          <w:rFonts w:asciiTheme="minorHAnsi" w:hAnsiTheme="minorHAnsi"/>
          <w:sz w:val="24"/>
          <w:lang w:val="pl-PL"/>
        </w:rPr>
        <w:t xml:space="preserve"> przez Trybunał nowej skargi w zakresie, w jakim obejmuje ona nowe aspekty, które nie zostały rozstrzygnięte w pierwotnym wyroku. </w:t>
      </w:r>
    </w:p>
    <w:p w:rsidR="003D4690" w:rsidRPr="00ED0C6A" w:rsidRDefault="003D4690" w:rsidP="008176C7">
      <w:pPr>
        <w:pStyle w:val="ClinContent"/>
        <w:spacing w:before="0"/>
        <w:rPr>
          <w:rFonts w:asciiTheme="minorHAnsi" w:hAnsiTheme="minorHAnsi"/>
          <w:sz w:val="24"/>
          <w:lang w:val="pl-PL"/>
        </w:rPr>
      </w:pPr>
    </w:p>
    <w:p w:rsidR="00A06533" w:rsidRPr="00ED0C6A" w:rsidRDefault="00A0653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A zatem art. 46 Konwencji nie wyklucza zbadania przez Trybunał nowej skargi na podstawie art. 6 Konwencji. </w:t>
      </w:r>
    </w:p>
    <w:p w:rsidR="003D4690" w:rsidRPr="00ED0C6A" w:rsidRDefault="003D4690" w:rsidP="008176C7">
      <w:pPr>
        <w:pStyle w:val="ClinContent"/>
        <w:spacing w:before="0"/>
        <w:rPr>
          <w:rFonts w:asciiTheme="minorHAnsi" w:hAnsiTheme="minorHAnsi"/>
          <w:sz w:val="24"/>
          <w:lang w:val="pl-PL"/>
        </w:rPr>
      </w:pPr>
    </w:p>
    <w:p w:rsidR="003D4690" w:rsidRPr="00ED0C6A" w:rsidRDefault="003D4690" w:rsidP="008176C7">
      <w:pPr>
        <w:pStyle w:val="ClinContent"/>
        <w:spacing w:before="0"/>
        <w:rPr>
          <w:rFonts w:asciiTheme="minorHAnsi" w:hAnsiTheme="minorHAnsi"/>
          <w:sz w:val="24"/>
          <w:lang w:val="pl-PL"/>
        </w:rPr>
      </w:pPr>
      <w:r w:rsidRPr="00ED0C6A">
        <w:rPr>
          <w:rFonts w:asciiTheme="minorHAnsi" w:hAnsiTheme="minorHAnsi"/>
          <w:sz w:val="24"/>
          <w:lang w:val="pl-PL"/>
        </w:rPr>
        <w:t>Trybunał zbadał następnie</w:t>
      </w:r>
      <w:r w:rsidR="00D83C1A" w:rsidRPr="00ED0C6A">
        <w:rPr>
          <w:rFonts w:asciiTheme="minorHAnsi" w:hAnsiTheme="minorHAnsi"/>
          <w:sz w:val="24"/>
          <w:lang w:val="pl-PL"/>
        </w:rPr>
        <w:t>,</w:t>
      </w:r>
      <w:r w:rsidRPr="00ED0C6A">
        <w:rPr>
          <w:rFonts w:asciiTheme="minorHAnsi" w:hAnsiTheme="minorHAnsi"/>
          <w:sz w:val="24"/>
          <w:lang w:val="pl-PL"/>
        </w:rPr>
        <w:t xml:space="preserve"> </w:t>
      </w:r>
      <w:r w:rsidRPr="00ED0C6A">
        <w:rPr>
          <w:rFonts w:asciiTheme="minorHAnsi" w:hAnsiTheme="minorHAnsi"/>
          <w:i/>
          <w:sz w:val="24"/>
          <w:u w:val="single"/>
          <w:lang w:val="pl-PL"/>
        </w:rPr>
        <w:t>c</w:t>
      </w:r>
      <w:r w:rsidR="00A06533" w:rsidRPr="00ED0C6A">
        <w:rPr>
          <w:rFonts w:asciiTheme="minorHAnsi" w:hAnsiTheme="minorHAnsi"/>
          <w:i/>
          <w:sz w:val="24"/>
          <w:u w:val="single"/>
          <w:lang w:val="pl-PL"/>
        </w:rPr>
        <w:t>zy nowa skarga skarżącej jest zgodna ratione materiae z art. 6 ust. 1 Konwencji</w:t>
      </w:r>
      <w:r w:rsidRPr="00ED0C6A">
        <w:rPr>
          <w:rFonts w:asciiTheme="minorHAnsi" w:hAnsiTheme="minorHAnsi"/>
          <w:i/>
          <w:sz w:val="24"/>
          <w:u w:val="single"/>
          <w:lang w:val="pl-PL"/>
        </w:rPr>
        <w:t xml:space="preserve"> chroniącym prawo do rzetelnego procesu sądowego</w:t>
      </w:r>
      <w:r w:rsidRPr="00ED0C6A">
        <w:rPr>
          <w:rFonts w:asciiTheme="minorHAnsi" w:hAnsiTheme="minorHAnsi"/>
          <w:i/>
          <w:sz w:val="24"/>
          <w:lang w:val="pl-PL"/>
        </w:rPr>
        <w:t xml:space="preserve">. </w:t>
      </w:r>
      <w:r w:rsidRPr="00ED0C6A">
        <w:rPr>
          <w:rFonts w:asciiTheme="minorHAnsi" w:hAnsiTheme="minorHAnsi"/>
          <w:sz w:val="24"/>
          <w:lang w:val="pl-PL"/>
        </w:rPr>
        <w:t>W tym względzie Trybunał</w:t>
      </w:r>
      <w:r w:rsidR="00A06533" w:rsidRPr="00ED0C6A">
        <w:rPr>
          <w:rFonts w:asciiTheme="minorHAnsi" w:hAnsiTheme="minorHAnsi"/>
          <w:sz w:val="24"/>
          <w:lang w:val="pl-PL"/>
        </w:rPr>
        <w:t xml:space="preserve"> </w:t>
      </w:r>
      <w:r w:rsidRPr="00ED0C6A">
        <w:rPr>
          <w:rFonts w:asciiTheme="minorHAnsi" w:hAnsiTheme="minorHAnsi"/>
          <w:sz w:val="24"/>
          <w:lang w:val="pl-PL"/>
        </w:rPr>
        <w:t xml:space="preserve">zauważył, że </w:t>
      </w:r>
      <w:r w:rsidR="00A06533" w:rsidRPr="00ED0C6A">
        <w:rPr>
          <w:rFonts w:asciiTheme="minorHAnsi" w:hAnsiTheme="minorHAnsi"/>
          <w:sz w:val="24"/>
          <w:lang w:val="pl-PL"/>
        </w:rPr>
        <w:t xml:space="preserve">Sąd Najwyższy musiał porównać skazanie </w:t>
      </w:r>
      <w:r w:rsidRPr="00ED0C6A">
        <w:rPr>
          <w:rFonts w:asciiTheme="minorHAnsi" w:hAnsiTheme="minorHAnsi"/>
          <w:sz w:val="24"/>
          <w:lang w:val="pl-PL"/>
        </w:rPr>
        <w:t xml:space="preserve">skarżącej </w:t>
      </w:r>
      <w:r w:rsidR="00A06533" w:rsidRPr="00ED0C6A">
        <w:rPr>
          <w:rFonts w:asciiTheme="minorHAnsi" w:hAnsiTheme="minorHAnsi"/>
          <w:sz w:val="24"/>
          <w:lang w:val="pl-PL"/>
        </w:rPr>
        <w:t>z podstawami, na</w:t>
      </w:r>
      <w:r w:rsidR="00110B07">
        <w:rPr>
          <w:rFonts w:asciiTheme="minorHAnsi" w:hAnsiTheme="minorHAnsi"/>
          <w:sz w:val="24"/>
          <w:lang w:val="pl-PL"/>
        </w:rPr>
        <w:t> </w:t>
      </w:r>
      <w:r w:rsidR="00A06533" w:rsidRPr="00ED0C6A">
        <w:rPr>
          <w:rFonts w:asciiTheme="minorHAnsi" w:hAnsiTheme="minorHAnsi"/>
          <w:sz w:val="24"/>
          <w:lang w:val="pl-PL"/>
        </w:rPr>
        <w:t>których Trybunał oparł swe stwierdzenie naruszenia Konwencji. Choć zadaniem Sądu</w:t>
      </w:r>
      <w:r w:rsidR="00110B07">
        <w:rPr>
          <w:rFonts w:asciiTheme="minorHAnsi" w:hAnsiTheme="minorHAnsi"/>
          <w:sz w:val="24"/>
          <w:lang w:val="pl-PL"/>
        </w:rPr>
        <w:t> </w:t>
      </w:r>
      <w:r w:rsidR="00A06533" w:rsidRPr="00ED0C6A">
        <w:rPr>
          <w:rFonts w:asciiTheme="minorHAnsi" w:hAnsiTheme="minorHAnsi"/>
          <w:sz w:val="24"/>
          <w:lang w:val="pl-PL"/>
        </w:rPr>
        <w:t xml:space="preserve">Najwyższego było wydanie rozstrzygnięcia w sprawie wniosku o wznowienie, przeprowadził on również ponowne badanie co do istoty szeregu aspektów </w:t>
      </w:r>
      <w:r w:rsidR="00DA0788" w:rsidRPr="00ED0C6A">
        <w:rPr>
          <w:rFonts w:asciiTheme="minorHAnsi" w:hAnsiTheme="minorHAnsi"/>
          <w:sz w:val="24"/>
          <w:lang w:val="pl-PL"/>
        </w:rPr>
        <w:t>zaskarżonej</w:t>
      </w:r>
      <w:r w:rsidRPr="00ED0C6A">
        <w:rPr>
          <w:rFonts w:asciiTheme="minorHAnsi" w:hAnsiTheme="minorHAnsi"/>
          <w:sz w:val="24"/>
          <w:lang w:val="pl-PL"/>
        </w:rPr>
        <w:t xml:space="preserve"> </w:t>
      </w:r>
      <w:r w:rsidR="00A06533" w:rsidRPr="00ED0C6A">
        <w:rPr>
          <w:rFonts w:asciiTheme="minorHAnsi" w:hAnsiTheme="minorHAnsi"/>
          <w:sz w:val="24"/>
          <w:lang w:val="pl-PL"/>
        </w:rPr>
        <w:t xml:space="preserve">kwestii nieobecności skarżącej na rozprawie </w:t>
      </w:r>
      <w:r w:rsidR="00DA0788" w:rsidRPr="00ED0C6A">
        <w:rPr>
          <w:rFonts w:asciiTheme="minorHAnsi" w:hAnsiTheme="minorHAnsi"/>
          <w:sz w:val="24"/>
          <w:lang w:val="pl-PL"/>
        </w:rPr>
        <w:t>w sprawie jej apelacji</w:t>
      </w:r>
      <w:r w:rsidRPr="00ED0C6A">
        <w:rPr>
          <w:rFonts w:asciiTheme="minorHAnsi" w:hAnsiTheme="minorHAnsi"/>
          <w:sz w:val="24"/>
          <w:lang w:val="pl-PL"/>
        </w:rPr>
        <w:t xml:space="preserve"> oraz konsekwencje</w:t>
      </w:r>
      <w:r w:rsidR="00A06533" w:rsidRPr="00ED0C6A">
        <w:rPr>
          <w:rFonts w:asciiTheme="minorHAnsi" w:hAnsiTheme="minorHAnsi"/>
          <w:sz w:val="24"/>
          <w:lang w:val="pl-PL"/>
        </w:rPr>
        <w:t xml:space="preserve"> jej</w:t>
      </w:r>
      <w:r w:rsidR="00335B71">
        <w:rPr>
          <w:rFonts w:asciiTheme="minorHAnsi" w:hAnsiTheme="minorHAnsi"/>
          <w:sz w:val="24"/>
          <w:lang w:val="pl-PL"/>
        </w:rPr>
        <w:t> </w:t>
      </w:r>
      <w:r w:rsidR="00A06533" w:rsidRPr="00ED0C6A">
        <w:rPr>
          <w:rFonts w:asciiTheme="minorHAnsi" w:hAnsiTheme="minorHAnsi"/>
          <w:sz w:val="24"/>
          <w:lang w:val="pl-PL"/>
        </w:rPr>
        <w:t xml:space="preserve">nieobecności dla zasadności jej skazania i wyroku. </w:t>
      </w:r>
    </w:p>
    <w:p w:rsidR="003D4690" w:rsidRPr="00ED0C6A" w:rsidRDefault="003D4690" w:rsidP="008176C7">
      <w:pPr>
        <w:pStyle w:val="ClinContent"/>
        <w:spacing w:before="0"/>
        <w:rPr>
          <w:rFonts w:asciiTheme="minorHAnsi" w:hAnsiTheme="minorHAnsi"/>
          <w:sz w:val="24"/>
          <w:lang w:val="pl-PL"/>
        </w:rPr>
      </w:pPr>
    </w:p>
    <w:p w:rsidR="003D4690" w:rsidRPr="00ED0C6A" w:rsidRDefault="00A0653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Zważywszy na zakres kontroli przeprowadzonej przez Sąd Najwyższy, </w:t>
      </w:r>
      <w:r w:rsidR="003D4690" w:rsidRPr="00ED0C6A">
        <w:rPr>
          <w:rFonts w:asciiTheme="minorHAnsi" w:hAnsiTheme="minorHAnsi"/>
          <w:sz w:val="24"/>
          <w:lang w:val="pl-PL"/>
        </w:rPr>
        <w:t>Trybunał uznał, że</w:t>
      </w:r>
      <w:r w:rsidR="00335B71">
        <w:rPr>
          <w:rFonts w:asciiTheme="minorHAnsi" w:hAnsiTheme="minorHAnsi"/>
          <w:sz w:val="24"/>
          <w:lang w:val="pl-PL"/>
        </w:rPr>
        <w:t> </w:t>
      </w:r>
      <w:r w:rsidR="003D4690" w:rsidRPr="00ED0C6A">
        <w:rPr>
          <w:rFonts w:asciiTheme="minorHAnsi" w:hAnsiTheme="minorHAnsi"/>
          <w:sz w:val="24"/>
          <w:lang w:val="pl-PL"/>
        </w:rPr>
        <w:t>należy ją uznać</w:t>
      </w:r>
      <w:r w:rsidRPr="00ED0C6A">
        <w:rPr>
          <w:rFonts w:asciiTheme="minorHAnsi" w:hAnsiTheme="minorHAnsi"/>
          <w:sz w:val="24"/>
          <w:lang w:val="pl-PL"/>
        </w:rPr>
        <w:t xml:space="preserve"> za dalszy ciąg postępowania zakończonego wyrokiem z 19 grudnia 2017 r., w którym utrzymano w mocy skazanie skarżącej. Kontrola </w:t>
      </w:r>
      <w:r w:rsidR="003D4690" w:rsidRPr="00ED0C6A">
        <w:rPr>
          <w:rFonts w:asciiTheme="minorHAnsi" w:hAnsiTheme="minorHAnsi"/>
          <w:sz w:val="24"/>
          <w:lang w:val="pl-PL"/>
        </w:rPr>
        <w:t>Sądu Najwyższego</w:t>
      </w:r>
      <w:r w:rsidRPr="00ED0C6A">
        <w:rPr>
          <w:rFonts w:asciiTheme="minorHAnsi" w:hAnsiTheme="minorHAnsi"/>
          <w:sz w:val="24"/>
          <w:lang w:val="pl-PL"/>
        </w:rPr>
        <w:t xml:space="preserve"> ponownie koncentrowała się na rozpatrzeniu, w rozumieniu art. 6 ust. 1 Konwencji, zasadności oskarżenia w wytoczonej przeciwko skarżącej sprawie karnej. W konsekwencji,</w:t>
      </w:r>
      <w:r w:rsidR="003D4690" w:rsidRPr="00ED0C6A">
        <w:rPr>
          <w:rFonts w:asciiTheme="minorHAnsi" w:hAnsiTheme="minorHAnsi"/>
          <w:sz w:val="24"/>
          <w:lang w:val="pl-PL"/>
        </w:rPr>
        <w:t xml:space="preserve"> Trybunał uznał, że</w:t>
      </w:r>
      <w:r w:rsidRPr="00ED0C6A">
        <w:rPr>
          <w:rFonts w:asciiTheme="minorHAnsi" w:hAnsiTheme="minorHAnsi"/>
          <w:sz w:val="24"/>
          <w:lang w:val="pl-PL"/>
        </w:rPr>
        <w:t xml:space="preserve"> gwarancje z art. 6 ust. 1 Konwencji miały zastosowanie do postępowania przed Sądem Najwyższym.</w:t>
      </w:r>
    </w:p>
    <w:p w:rsidR="00A06533" w:rsidRPr="00ED0C6A" w:rsidRDefault="00A06533"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 </w:t>
      </w:r>
    </w:p>
    <w:p w:rsidR="00A06533" w:rsidRPr="00ED0C6A" w:rsidRDefault="00A06533" w:rsidP="008176C7">
      <w:pPr>
        <w:pStyle w:val="ClinContent"/>
        <w:spacing w:before="0"/>
        <w:rPr>
          <w:rFonts w:asciiTheme="minorHAnsi" w:hAnsiTheme="minorHAnsi"/>
          <w:sz w:val="24"/>
          <w:lang w:val="pl-PL"/>
        </w:rPr>
      </w:pPr>
      <w:r w:rsidRPr="00ED0C6A">
        <w:rPr>
          <w:rFonts w:asciiTheme="minorHAnsi" w:hAnsiTheme="minorHAnsi"/>
          <w:sz w:val="24"/>
          <w:lang w:val="pl-PL"/>
        </w:rPr>
        <w:t>W konsekwencji</w:t>
      </w:r>
      <w:r w:rsidR="003D4690" w:rsidRPr="00ED0C6A">
        <w:rPr>
          <w:rFonts w:asciiTheme="minorHAnsi" w:hAnsiTheme="minorHAnsi"/>
          <w:sz w:val="24"/>
          <w:lang w:val="pl-PL"/>
        </w:rPr>
        <w:t xml:space="preserve"> Trybunał oddalił</w:t>
      </w:r>
      <w:r w:rsidRPr="00ED0C6A">
        <w:rPr>
          <w:rFonts w:asciiTheme="minorHAnsi" w:hAnsiTheme="minorHAnsi"/>
          <w:sz w:val="24"/>
          <w:lang w:val="pl-PL"/>
        </w:rPr>
        <w:t xml:space="preserve"> zastrzeżenie Rządu, który podnosił, że Trybunał nie posiada jurysdykcji </w:t>
      </w:r>
      <w:r w:rsidRPr="00ED0C6A">
        <w:rPr>
          <w:rFonts w:asciiTheme="minorHAnsi" w:hAnsiTheme="minorHAnsi"/>
          <w:i/>
          <w:sz w:val="24"/>
          <w:lang w:val="pl-PL"/>
        </w:rPr>
        <w:t>ratione materiae</w:t>
      </w:r>
      <w:r w:rsidRPr="00ED0C6A">
        <w:rPr>
          <w:rFonts w:asciiTheme="minorHAnsi" w:hAnsiTheme="minorHAnsi"/>
          <w:sz w:val="24"/>
          <w:lang w:val="pl-PL"/>
        </w:rPr>
        <w:t xml:space="preserve"> do zbadania przedmiotu skargi wniesionej przez skarżącą na</w:t>
      </w:r>
      <w:r w:rsidR="00335B71">
        <w:rPr>
          <w:rFonts w:asciiTheme="minorHAnsi" w:hAnsiTheme="minorHAnsi"/>
          <w:sz w:val="24"/>
          <w:lang w:val="pl-PL"/>
        </w:rPr>
        <w:t> </w:t>
      </w:r>
      <w:r w:rsidRPr="00ED0C6A">
        <w:rPr>
          <w:rFonts w:asciiTheme="minorHAnsi" w:hAnsiTheme="minorHAnsi"/>
          <w:sz w:val="24"/>
          <w:lang w:val="pl-PL"/>
        </w:rPr>
        <w:t xml:space="preserve">podstawie art. 6 Konwencji. </w:t>
      </w:r>
      <w:r w:rsidR="003D4690" w:rsidRPr="00ED0C6A">
        <w:rPr>
          <w:rFonts w:asciiTheme="minorHAnsi" w:hAnsiTheme="minorHAnsi"/>
          <w:sz w:val="24"/>
          <w:lang w:val="pl-PL"/>
        </w:rPr>
        <w:t xml:space="preserve">Uznał większością głosów, że </w:t>
      </w:r>
      <w:r w:rsidRPr="00ED0C6A">
        <w:rPr>
          <w:rFonts w:asciiTheme="minorHAnsi" w:hAnsiTheme="minorHAnsi"/>
          <w:sz w:val="24"/>
          <w:lang w:val="pl-PL"/>
        </w:rPr>
        <w:t xml:space="preserve">skarga </w:t>
      </w:r>
      <w:r w:rsidR="003D4690" w:rsidRPr="00ED0C6A">
        <w:rPr>
          <w:rFonts w:asciiTheme="minorHAnsi" w:hAnsiTheme="minorHAnsi"/>
          <w:sz w:val="24"/>
          <w:lang w:val="pl-PL"/>
        </w:rPr>
        <w:t>jest dopuszczalna.</w:t>
      </w:r>
    </w:p>
    <w:p w:rsidR="003D4690" w:rsidRPr="00ED0C6A" w:rsidRDefault="003D4690" w:rsidP="008176C7">
      <w:pPr>
        <w:pStyle w:val="ClinContent"/>
        <w:spacing w:before="0"/>
        <w:rPr>
          <w:rFonts w:asciiTheme="minorHAnsi" w:hAnsiTheme="minorHAnsi"/>
          <w:sz w:val="24"/>
          <w:lang w:val="pl-PL"/>
        </w:rPr>
      </w:pPr>
    </w:p>
    <w:p w:rsidR="005E290D" w:rsidRPr="00ED0C6A" w:rsidRDefault="005E290D"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Badając </w:t>
      </w:r>
      <w:r w:rsidRPr="00ED0C6A">
        <w:rPr>
          <w:rFonts w:asciiTheme="minorHAnsi" w:hAnsiTheme="minorHAnsi"/>
          <w:i/>
          <w:sz w:val="24"/>
          <w:lang w:val="pl-PL"/>
        </w:rPr>
        <w:t>p</w:t>
      </w:r>
      <w:r w:rsidR="00A06533" w:rsidRPr="00ED0C6A">
        <w:rPr>
          <w:rFonts w:asciiTheme="minorHAnsi" w:hAnsiTheme="minorHAnsi"/>
          <w:i/>
          <w:sz w:val="24"/>
          <w:lang w:val="pl-PL"/>
        </w:rPr>
        <w:t>rzedmiot sprawy</w:t>
      </w:r>
      <w:r w:rsidR="00A06533" w:rsidRPr="00ED0C6A">
        <w:rPr>
          <w:rFonts w:asciiTheme="minorHAnsi" w:hAnsiTheme="minorHAnsi"/>
          <w:sz w:val="24"/>
          <w:lang w:val="pl-PL"/>
        </w:rPr>
        <w:t xml:space="preserve"> </w:t>
      </w:r>
      <w:r w:rsidRPr="00ED0C6A">
        <w:rPr>
          <w:rFonts w:asciiTheme="minorHAnsi" w:hAnsiTheme="minorHAnsi"/>
          <w:sz w:val="24"/>
          <w:lang w:val="pl-PL"/>
        </w:rPr>
        <w:t xml:space="preserve">na podstawie art. 6, Trybunał odnotował </w:t>
      </w:r>
      <w:r w:rsidR="00A06533" w:rsidRPr="00ED0C6A">
        <w:rPr>
          <w:rFonts w:asciiTheme="minorHAnsi" w:hAnsiTheme="minorHAnsi"/>
          <w:sz w:val="24"/>
          <w:lang w:val="pl-PL"/>
        </w:rPr>
        <w:t>wykładni</w:t>
      </w:r>
      <w:r w:rsidRPr="00ED0C6A">
        <w:rPr>
          <w:rFonts w:asciiTheme="minorHAnsi" w:hAnsiTheme="minorHAnsi"/>
          <w:sz w:val="24"/>
          <w:lang w:val="pl-PL"/>
        </w:rPr>
        <w:t>ę</w:t>
      </w:r>
      <w:r w:rsidR="00A06533" w:rsidRPr="00ED0C6A">
        <w:rPr>
          <w:rFonts w:asciiTheme="minorHAnsi" w:hAnsiTheme="minorHAnsi"/>
          <w:sz w:val="24"/>
          <w:lang w:val="pl-PL"/>
        </w:rPr>
        <w:t xml:space="preserve"> art. 449 ust. 1 lit. g Kodeks</w:t>
      </w:r>
      <w:r w:rsidRPr="00ED0C6A">
        <w:rPr>
          <w:rFonts w:asciiTheme="minorHAnsi" w:hAnsiTheme="minorHAnsi"/>
          <w:sz w:val="24"/>
          <w:lang w:val="pl-PL"/>
        </w:rPr>
        <w:t>u postępowania karnego dokonaną</w:t>
      </w:r>
      <w:r w:rsidR="00A06533" w:rsidRPr="00ED0C6A">
        <w:rPr>
          <w:rFonts w:asciiTheme="minorHAnsi" w:hAnsiTheme="minorHAnsi"/>
          <w:sz w:val="24"/>
          <w:lang w:val="pl-PL"/>
        </w:rPr>
        <w:t xml:space="preserve"> przez Sąd Najwyższy, </w:t>
      </w:r>
      <w:r w:rsidR="00DA0788" w:rsidRPr="00ED0C6A">
        <w:rPr>
          <w:rFonts w:asciiTheme="minorHAnsi" w:hAnsiTheme="minorHAnsi"/>
          <w:sz w:val="24"/>
          <w:lang w:val="pl-PL"/>
        </w:rPr>
        <w:t>w świetle której</w:t>
      </w:r>
      <w:r w:rsidRPr="00ED0C6A">
        <w:rPr>
          <w:rFonts w:asciiTheme="minorHAnsi" w:hAnsiTheme="minorHAnsi"/>
          <w:sz w:val="24"/>
          <w:lang w:val="pl-PL"/>
        </w:rPr>
        <w:t xml:space="preserve"> </w:t>
      </w:r>
      <w:r w:rsidR="00A06533" w:rsidRPr="00ED0C6A">
        <w:rPr>
          <w:rFonts w:asciiTheme="minorHAnsi" w:hAnsiTheme="minorHAnsi"/>
          <w:sz w:val="24"/>
          <w:lang w:val="pl-PL"/>
        </w:rPr>
        <w:t>ten</w:t>
      </w:r>
      <w:r w:rsidR="00335B71">
        <w:rPr>
          <w:rFonts w:asciiTheme="minorHAnsi" w:hAnsiTheme="minorHAnsi"/>
          <w:sz w:val="24"/>
          <w:lang w:val="pl-PL"/>
        </w:rPr>
        <w:t> </w:t>
      </w:r>
      <w:r w:rsidR="00A06533" w:rsidRPr="00ED0C6A">
        <w:rPr>
          <w:rFonts w:asciiTheme="minorHAnsi" w:hAnsiTheme="minorHAnsi"/>
          <w:sz w:val="24"/>
          <w:lang w:val="pl-PL"/>
        </w:rPr>
        <w:t>rodzaj nieprawidłowości proceduralnych, jakie zostały stwierdzone w sprawie</w:t>
      </w:r>
      <w:r w:rsidRPr="00ED0C6A">
        <w:rPr>
          <w:rFonts w:asciiTheme="minorHAnsi" w:hAnsiTheme="minorHAnsi"/>
          <w:sz w:val="24"/>
          <w:lang w:val="pl-PL"/>
        </w:rPr>
        <w:t xml:space="preserve"> skarżącej</w:t>
      </w:r>
      <w:r w:rsidR="00A06533" w:rsidRPr="00ED0C6A">
        <w:rPr>
          <w:rFonts w:asciiTheme="minorHAnsi" w:hAnsiTheme="minorHAnsi"/>
          <w:sz w:val="24"/>
          <w:lang w:val="pl-PL"/>
        </w:rPr>
        <w:t>, nie daje podstaw do jakiegokolwiek automatycznego prawa do wznowienia postępowania.</w:t>
      </w:r>
    </w:p>
    <w:p w:rsidR="00A06533" w:rsidRPr="00ED0C6A" w:rsidRDefault="00A06533"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 </w:t>
      </w:r>
    </w:p>
    <w:p w:rsidR="00A06533" w:rsidRPr="00ED0C6A" w:rsidRDefault="005E290D" w:rsidP="008176C7">
      <w:pPr>
        <w:pStyle w:val="ClinContent"/>
        <w:spacing w:before="0"/>
        <w:rPr>
          <w:rFonts w:asciiTheme="minorHAnsi" w:hAnsiTheme="minorHAnsi"/>
          <w:sz w:val="24"/>
          <w:lang w:val="pl-PL"/>
        </w:rPr>
      </w:pPr>
      <w:r w:rsidRPr="00ED0C6A">
        <w:rPr>
          <w:rFonts w:asciiTheme="minorHAnsi" w:hAnsiTheme="minorHAnsi"/>
          <w:sz w:val="24"/>
          <w:lang w:val="pl-PL"/>
        </w:rPr>
        <w:t>S</w:t>
      </w:r>
      <w:r w:rsidR="00A06533" w:rsidRPr="00ED0C6A">
        <w:rPr>
          <w:rFonts w:asciiTheme="minorHAnsi" w:hAnsiTheme="minorHAnsi"/>
          <w:sz w:val="24"/>
          <w:lang w:val="pl-PL"/>
        </w:rPr>
        <w:t xml:space="preserve">kutkiem </w:t>
      </w:r>
      <w:r w:rsidRPr="00ED0C6A">
        <w:rPr>
          <w:rFonts w:asciiTheme="minorHAnsi" w:hAnsiTheme="minorHAnsi"/>
          <w:sz w:val="24"/>
          <w:lang w:val="pl-PL"/>
        </w:rPr>
        <w:t xml:space="preserve">tej wykładni </w:t>
      </w:r>
      <w:r w:rsidR="00A06533" w:rsidRPr="00ED0C6A">
        <w:rPr>
          <w:rFonts w:asciiTheme="minorHAnsi" w:hAnsiTheme="minorHAnsi"/>
          <w:sz w:val="24"/>
          <w:lang w:val="pl-PL"/>
        </w:rPr>
        <w:t>było ograniczenie liczby przypadków wznowienia prawomocnie zakończonych postępowań karnych lub przynajmniej poddanie ich kryteri</w:t>
      </w:r>
      <w:r w:rsidRPr="00ED0C6A">
        <w:rPr>
          <w:rFonts w:asciiTheme="minorHAnsi" w:hAnsiTheme="minorHAnsi"/>
          <w:sz w:val="24"/>
          <w:lang w:val="pl-PL"/>
        </w:rPr>
        <w:t>om ocenianym przez sądy krajowe. Trybunał uznał, że wykładnia ta</w:t>
      </w:r>
      <w:r w:rsidR="00A06533" w:rsidRPr="00ED0C6A">
        <w:rPr>
          <w:rFonts w:asciiTheme="minorHAnsi" w:hAnsiTheme="minorHAnsi"/>
          <w:sz w:val="24"/>
          <w:lang w:val="pl-PL"/>
        </w:rPr>
        <w:t xml:space="preserve"> nie wydaje się arbitralna i jest wsparta przez utrwalone orzecznictwo Trybunału, w świetle którego Konwencja nie gwarantuje prawa do wznowienia postępowania lub do innego rodzaju środka odwoławczego, za</w:t>
      </w:r>
      <w:r w:rsidR="00335B71">
        <w:rPr>
          <w:rFonts w:asciiTheme="minorHAnsi" w:hAnsiTheme="minorHAnsi"/>
          <w:sz w:val="24"/>
          <w:lang w:val="pl-PL"/>
        </w:rPr>
        <w:t> </w:t>
      </w:r>
      <w:r w:rsidR="00A06533" w:rsidRPr="00ED0C6A">
        <w:rPr>
          <w:rFonts w:asciiTheme="minorHAnsi" w:hAnsiTheme="minorHAnsi"/>
          <w:sz w:val="24"/>
          <w:lang w:val="pl-PL"/>
        </w:rPr>
        <w:t>pomocą którego ostateczne rozstrzygnięcia sądowe mogłyby zostać uchylone lub</w:t>
      </w:r>
      <w:r w:rsidR="00335B71">
        <w:rPr>
          <w:rFonts w:asciiTheme="minorHAnsi" w:hAnsiTheme="minorHAnsi"/>
          <w:sz w:val="24"/>
          <w:lang w:val="pl-PL"/>
        </w:rPr>
        <w:t> </w:t>
      </w:r>
      <w:r w:rsidR="00A06533" w:rsidRPr="00ED0C6A">
        <w:rPr>
          <w:rFonts w:asciiTheme="minorHAnsi" w:hAnsiTheme="minorHAnsi"/>
          <w:sz w:val="24"/>
          <w:lang w:val="pl-PL"/>
        </w:rPr>
        <w:t xml:space="preserve">skontrolowane. </w:t>
      </w:r>
      <w:r w:rsidRPr="00ED0C6A">
        <w:rPr>
          <w:rFonts w:asciiTheme="minorHAnsi" w:hAnsiTheme="minorHAnsi"/>
          <w:sz w:val="24"/>
          <w:lang w:val="pl-PL"/>
        </w:rPr>
        <w:t>B</w:t>
      </w:r>
      <w:r w:rsidR="00A06533" w:rsidRPr="00ED0C6A">
        <w:rPr>
          <w:rFonts w:asciiTheme="minorHAnsi" w:hAnsiTheme="minorHAnsi"/>
          <w:sz w:val="24"/>
          <w:lang w:val="pl-PL"/>
        </w:rPr>
        <w:t>rak</w:t>
      </w:r>
      <w:r w:rsidRPr="00ED0C6A">
        <w:rPr>
          <w:rFonts w:asciiTheme="minorHAnsi" w:hAnsiTheme="minorHAnsi"/>
          <w:sz w:val="24"/>
          <w:lang w:val="pl-PL"/>
        </w:rPr>
        <w:t xml:space="preserve"> jest również j</w:t>
      </w:r>
      <w:r w:rsidR="00A06533" w:rsidRPr="00ED0C6A">
        <w:rPr>
          <w:rFonts w:asciiTheme="minorHAnsi" w:hAnsiTheme="minorHAnsi"/>
          <w:sz w:val="24"/>
          <w:lang w:val="pl-PL"/>
        </w:rPr>
        <w:t xml:space="preserve">ednolitego podejścia wśród </w:t>
      </w:r>
      <w:r w:rsidR="00721A8D" w:rsidRPr="00ED0C6A">
        <w:rPr>
          <w:rFonts w:asciiTheme="minorHAnsi" w:hAnsiTheme="minorHAnsi"/>
          <w:sz w:val="24"/>
          <w:lang w:val="pl-PL"/>
        </w:rPr>
        <w:t xml:space="preserve">Państw </w:t>
      </w:r>
      <w:r w:rsidR="00A06533" w:rsidRPr="00ED0C6A">
        <w:rPr>
          <w:rFonts w:asciiTheme="minorHAnsi" w:hAnsiTheme="minorHAnsi"/>
          <w:sz w:val="24"/>
          <w:lang w:val="pl-PL"/>
        </w:rPr>
        <w:t>członkowskich co</w:t>
      </w:r>
      <w:r w:rsidR="00335B71">
        <w:rPr>
          <w:rFonts w:asciiTheme="minorHAnsi" w:hAnsiTheme="minorHAnsi"/>
          <w:sz w:val="24"/>
          <w:lang w:val="pl-PL"/>
        </w:rPr>
        <w:t> </w:t>
      </w:r>
      <w:r w:rsidR="00A06533" w:rsidRPr="00ED0C6A">
        <w:rPr>
          <w:rFonts w:asciiTheme="minorHAnsi" w:hAnsiTheme="minorHAnsi"/>
          <w:sz w:val="24"/>
          <w:lang w:val="pl-PL"/>
        </w:rPr>
        <w:t xml:space="preserve">do procedur funkcjonowania jakiegokolwiek istniejącego mechanizmu wznowienia. </w:t>
      </w:r>
      <w:r w:rsidRPr="00ED0C6A">
        <w:rPr>
          <w:rFonts w:asciiTheme="minorHAnsi" w:hAnsiTheme="minorHAnsi"/>
          <w:sz w:val="24"/>
          <w:lang w:val="pl-PL"/>
        </w:rPr>
        <w:t>Trybunał p</w:t>
      </w:r>
      <w:r w:rsidR="00A06533" w:rsidRPr="00ED0C6A">
        <w:rPr>
          <w:rFonts w:asciiTheme="minorHAnsi" w:hAnsiTheme="minorHAnsi"/>
          <w:sz w:val="24"/>
          <w:lang w:val="pl-PL"/>
        </w:rPr>
        <w:t>onadto</w:t>
      </w:r>
      <w:r w:rsidRPr="00ED0C6A">
        <w:rPr>
          <w:rFonts w:asciiTheme="minorHAnsi" w:hAnsiTheme="minorHAnsi"/>
          <w:sz w:val="24"/>
          <w:lang w:val="pl-PL"/>
        </w:rPr>
        <w:t xml:space="preserve"> podkreślił</w:t>
      </w:r>
      <w:r w:rsidR="00A06533" w:rsidRPr="00ED0C6A">
        <w:rPr>
          <w:rFonts w:asciiTheme="minorHAnsi" w:hAnsiTheme="minorHAnsi"/>
          <w:sz w:val="24"/>
          <w:lang w:val="pl-PL"/>
        </w:rPr>
        <w:t xml:space="preserve">, </w:t>
      </w:r>
      <w:r w:rsidRPr="00ED0C6A">
        <w:rPr>
          <w:rFonts w:asciiTheme="minorHAnsi" w:hAnsiTheme="minorHAnsi"/>
          <w:sz w:val="24"/>
          <w:lang w:val="pl-PL"/>
        </w:rPr>
        <w:t xml:space="preserve">że </w:t>
      </w:r>
      <w:r w:rsidR="00A06533" w:rsidRPr="00ED0C6A">
        <w:rPr>
          <w:rFonts w:asciiTheme="minorHAnsi" w:hAnsiTheme="minorHAnsi"/>
          <w:sz w:val="24"/>
          <w:lang w:val="pl-PL"/>
        </w:rPr>
        <w:t xml:space="preserve">stwierdzenie naruszenia art. 6 Konwencji </w:t>
      </w:r>
      <w:r w:rsidR="00DA0788" w:rsidRPr="00ED0C6A">
        <w:rPr>
          <w:rFonts w:asciiTheme="minorHAnsi" w:hAnsiTheme="minorHAnsi"/>
          <w:sz w:val="24"/>
          <w:lang w:val="pl-PL"/>
        </w:rPr>
        <w:t>zasadniczo</w:t>
      </w:r>
      <w:r w:rsidR="00A06533" w:rsidRPr="00ED0C6A">
        <w:rPr>
          <w:rFonts w:asciiTheme="minorHAnsi" w:hAnsiTheme="minorHAnsi"/>
          <w:sz w:val="24"/>
          <w:lang w:val="pl-PL"/>
        </w:rPr>
        <w:t xml:space="preserve"> nie</w:t>
      </w:r>
      <w:r w:rsidR="00110B07">
        <w:rPr>
          <w:rFonts w:asciiTheme="minorHAnsi" w:hAnsiTheme="minorHAnsi"/>
          <w:sz w:val="24"/>
          <w:lang w:val="pl-PL"/>
        </w:rPr>
        <w:t> </w:t>
      </w:r>
      <w:r w:rsidR="00A06533" w:rsidRPr="00ED0C6A">
        <w:rPr>
          <w:rFonts w:asciiTheme="minorHAnsi" w:hAnsiTheme="minorHAnsi"/>
          <w:sz w:val="24"/>
          <w:lang w:val="pl-PL"/>
        </w:rPr>
        <w:t xml:space="preserve">stwarza sytuacji ciągłej i nie nakłada na pozwane Państwo ciągłego obowiązku proceduralnego. </w:t>
      </w:r>
    </w:p>
    <w:p w:rsidR="005E290D" w:rsidRPr="00ED0C6A" w:rsidRDefault="005E290D" w:rsidP="008176C7">
      <w:pPr>
        <w:pStyle w:val="ClinContent"/>
        <w:spacing w:before="0"/>
        <w:rPr>
          <w:rFonts w:asciiTheme="minorHAnsi" w:hAnsiTheme="minorHAnsi"/>
          <w:sz w:val="24"/>
          <w:lang w:val="pl-PL"/>
        </w:rPr>
      </w:pPr>
    </w:p>
    <w:p w:rsidR="00A06533" w:rsidRPr="00ED0C6A" w:rsidRDefault="005E290D" w:rsidP="008176C7">
      <w:pPr>
        <w:pStyle w:val="ClinContent"/>
        <w:spacing w:before="0"/>
        <w:rPr>
          <w:rFonts w:asciiTheme="minorHAnsi" w:hAnsiTheme="minorHAnsi"/>
          <w:sz w:val="24"/>
          <w:lang w:val="pl-PL"/>
        </w:rPr>
      </w:pPr>
      <w:r w:rsidRPr="00ED0C6A">
        <w:rPr>
          <w:rFonts w:asciiTheme="minorHAnsi" w:hAnsiTheme="minorHAnsi"/>
          <w:sz w:val="24"/>
          <w:lang w:val="pl-PL"/>
        </w:rPr>
        <w:t>Wielka Izba wyjaśniła także, że w</w:t>
      </w:r>
      <w:r w:rsidR="00A06533" w:rsidRPr="00ED0C6A">
        <w:rPr>
          <w:rFonts w:asciiTheme="minorHAnsi" w:hAnsiTheme="minorHAnsi"/>
          <w:sz w:val="24"/>
          <w:lang w:val="pl-PL"/>
        </w:rPr>
        <w:t>yrok Izby Trybunału z 5 lipca 2011 r. stwierdzał, że ponowy proces lub wznowienie postępowania na wniosek skarżącej stanowi „co do zasady, odpowiedni środek naprawienia stwierdzonego naruszenia”. Ponowny proces lub</w:t>
      </w:r>
      <w:r w:rsidR="00335B71">
        <w:rPr>
          <w:rFonts w:asciiTheme="minorHAnsi" w:hAnsiTheme="minorHAnsi"/>
          <w:sz w:val="24"/>
          <w:lang w:val="pl-PL"/>
        </w:rPr>
        <w:t> </w:t>
      </w:r>
      <w:r w:rsidR="00A06533" w:rsidRPr="00ED0C6A">
        <w:rPr>
          <w:rFonts w:asciiTheme="minorHAnsi" w:hAnsiTheme="minorHAnsi"/>
          <w:sz w:val="24"/>
          <w:lang w:val="pl-PL"/>
        </w:rPr>
        <w:t>wznowienie zostało więc opisane jako rozwiązanie</w:t>
      </w:r>
      <w:r w:rsidR="00DA0788" w:rsidRPr="00ED0C6A">
        <w:rPr>
          <w:rFonts w:asciiTheme="minorHAnsi" w:hAnsiTheme="minorHAnsi"/>
          <w:sz w:val="24"/>
          <w:lang w:val="pl-PL"/>
        </w:rPr>
        <w:t xml:space="preserve"> odpowiednie</w:t>
      </w:r>
      <w:r w:rsidR="00A06533" w:rsidRPr="00ED0C6A">
        <w:rPr>
          <w:rFonts w:asciiTheme="minorHAnsi" w:hAnsiTheme="minorHAnsi"/>
          <w:sz w:val="24"/>
          <w:lang w:val="pl-PL"/>
        </w:rPr>
        <w:t>, ale nie jako konieczne czy wyłączne. Ponadto użycie zwrotu „co do zasady” z</w:t>
      </w:r>
      <w:r w:rsidR="00DA0788" w:rsidRPr="00ED0C6A">
        <w:rPr>
          <w:rFonts w:asciiTheme="minorHAnsi" w:hAnsiTheme="minorHAnsi"/>
          <w:sz w:val="24"/>
          <w:lang w:val="pl-PL"/>
        </w:rPr>
        <w:t>a</w:t>
      </w:r>
      <w:r w:rsidR="00A06533" w:rsidRPr="00ED0C6A">
        <w:rPr>
          <w:rFonts w:asciiTheme="minorHAnsi" w:hAnsiTheme="minorHAnsi"/>
          <w:sz w:val="24"/>
          <w:lang w:val="pl-PL"/>
        </w:rPr>
        <w:t>wężało zakres zalecenia, sugerując, że</w:t>
      </w:r>
      <w:r w:rsidR="00335B71">
        <w:rPr>
          <w:rFonts w:asciiTheme="minorHAnsi" w:hAnsiTheme="minorHAnsi"/>
          <w:sz w:val="24"/>
          <w:lang w:val="pl-PL"/>
        </w:rPr>
        <w:t> </w:t>
      </w:r>
      <w:r w:rsidR="00A06533" w:rsidRPr="00ED0C6A">
        <w:rPr>
          <w:rFonts w:asciiTheme="minorHAnsi" w:hAnsiTheme="minorHAnsi"/>
          <w:sz w:val="24"/>
          <w:lang w:val="pl-PL"/>
        </w:rPr>
        <w:t>w niektórych sytuacjach ponowny proces lub wznowienie postępowania może</w:t>
      </w:r>
      <w:r w:rsidR="00110B07">
        <w:rPr>
          <w:rFonts w:asciiTheme="minorHAnsi" w:hAnsiTheme="minorHAnsi"/>
          <w:sz w:val="24"/>
          <w:lang w:val="pl-PL"/>
        </w:rPr>
        <w:t> </w:t>
      </w:r>
      <w:r w:rsidR="00A06533" w:rsidRPr="00ED0C6A">
        <w:rPr>
          <w:rFonts w:asciiTheme="minorHAnsi" w:hAnsiTheme="minorHAnsi"/>
          <w:sz w:val="24"/>
          <w:lang w:val="pl-PL"/>
        </w:rPr>
        <w:t>nie</w:t>
      </w:r>
      <w:r w:rsidR="00335B71">
        <w:rPr>
          <w:rFonts w:asciiTheme="minorHAnsi" w:hAnsiTheme="minorHAnsi"/>
          <w:sz w:val="24"/>
          <w:lang w:val="pl-PL"/>
        </w:rPr>
        <w:t> </w:t>
      </w:r>
      <w:r w:rsidR="00A06533" w:rsidRPr="00ED0C6A">
        <w:rPr>
          <w:rFonts w:asciiTheme="minorHAnsi" w:hAnsiTheme="minorHAnsi"/>
          <w:sz w:val="24"/>
          <w:lang w:val="pl-PL"/>
        </w:rPr>
        <w:t xml:space="preserve">stanowić odpowiedniego rozwiązania. </w:t>
      </w:r>
      <w:r w:rsidRPr="00ED0C6A">
        <w:rPr>
          <w:rFonts w:asciiTheme="minorHAnsi" w:hAnsiTheme="minorHAnsi"/>
          <w:sz w:val="24"/>
          <w:lang w:val="pl-PL"/>
        </w:rPr>
        <w:t xml:space="preserve">Izba </w:t>
      </w:r>
      <w:r w:rsidR="00A06533" w:rsidRPr="00ED0C6A">
        <w:rPr>
          <w:rFonts w:asciiTheme="minorHAnsi" w:hAnsiTheme="minorHAnsi"/>
          <w:sz w:val="24"/>
          <w:lang w:val="pl-PL"/>
        </w:rPr>
        <w:t>Trybunał</w:t>
      </w:r>
      <w:r w:rsidRPr="00ED0C6A">
        <w:rPr>
          <w:rFonts w:asciiTheme="minorHAnsi" w:hAnsiTheme="minorHAnsi"/>
          <w:sz w:val="24"/>
          <w:lang w:val="pl-PL"/>
        </w:rPr>
        <w:t>u</w:t>
      </w:r>
      <w:r w:rsidR="00A06533" w:rsidRPr="00ED0C6A">
        <w:rPr>
          <w:rFonts w:asciiTheme="minorHAnsi" w:hAnsiTheme="minorHAnsi"/>
          <w:sz w:val="24"/>
          <w:lang w:val="pl-PL"/>
        </w:rPr>
        <w:t xml:space="preserve"> powstrzymał</w:t>
      </w:r>
      <w:r w:rsidRPr="00ED0C6A">
        <w:rPr>
          <w:rFonts w:asciiTheme="minorHAnsi" w:hAnsiTheme="minorHAnsi"/>
          <w:sz w:val="24"/>
          <w:lang w:val="pl-PL"/>
        </w:rPr>
        <w:t>a</w:t>
      </w:r>
      <w:r w:rsidR="00A06533" w:rsidRPr="00ED0C6A">
        <w:rPr>
          <w:rFonts w:asciiTheme="minorHAnsi" w:hAnsiTheme="minorHAnsi"/>
          <w:sz w:val="24"/>
          <w:lang w:val="pl-PL"/>
        </w:rPr>
        <w:t xml:space="preserve"> się zatem</w:t>
      </w:r>
      <w:r w:rsidR="00110B07">
        <w:rPr>
          <w:rFonts w:asciiTheme="minorHAnsi" w:hAnsiTheme="minorHAnsi"/>
          <w:sz w:val="24"/>
          <w:lang w:val="pl-PL"/>
        </w:rPr>
        <w:t> </w:t>
      </w:r>
      <w:r w:rsidR="00A06533" w:rsidRPr="00ED0C6A">
        <w:rPr>
          <w:rFonts w:asciiTheme="minorHAnsi" w:hAnsiTheme="minorHAnsi"/>
          <w:sz w:val="24"/>
          <w:lang w:val="pl-PL"/>
        </w:rPr>
        <w:t>od</w:t>
      </w:r>
      <w:r w:rsidR="00335B71">
        <w:rPr>
          <w:rFonts w:asciiTheme="minorHAnsi" w:hAnsiTheme="minorHAnsi"/>
          <w:sz w:val="24"/>
          <w:lang w:val="pl-PL"/>
        </w:rPr>
        <w:t> </w:t>
      </w:r>
      <w:r w:rsidR="00A06533" w:rsidRPr="00ED0C6A">
        <w:rPr>
          <w:rFonts w:asciiTheme="minorHAnsi" w:hAnsiTheme="minorHAnsi"/>
          <w:sz w:val="24"/>
          <w:lang w:val="pl-PL"/>
        </w:rPr>
        <w:t>udzielania wiążących wskazówek co do sposobu wykonania je</w:t>
      </w:r>
      <w:r w:rsidRPr="00ED0C6A">
        <w:rPr>
          <w:rFonts w:asciiTheme="minorHAnsi" w:hAnsiTheme="minorHAnsi"/>
          <w:sz w:val="24"/>
          <w:lang w:val="pl-PL"/>
        </w:rPr>
        <w:t>j</w:t>
      </w:r>
      <w:r w:rsidR="00A06533" w:rsidRPr="00ED0C6A">
        <w:rPr>
          <w:rFonts w:asciiTheme="minorHAnsi" w:hAnsiTheme="minorHAnsi"/>
          <w:sz w:val="24"/>
          <w:lang w:val="pl-PL"/>
        </w:rPr>
        <w:t xml:space="preserve"> wyroku, a zamiast tego postanowił</w:t>
      </w:r>
      <w:r w:rsidRPr="00ED0C6A">
        <w:rPr>
          <w:rFonts w:asciiTheme="minorHAnsi" w:hAnsiTheme="minorHAnsi"/>
          <w:sz w:val="24"/>
          <w:lang w:val="pl-PL"/>
        </w:rPr>
        <w:t>a</w:t>
      </w:r>
      <w:r w:rsidR="00A06533" w:rsidRPr="00ED0C6A">
        <w:rPr>
          <w:rFonts w:asciiTheme="minorHAnsi" w:hAnsiTheme="minorHAnsi"/>
          <w:sz w:val="24"/>
          <w:lang w:val="pl-PL"/>
        </w:rPr>
        <w:t xml:space="preserve"> przyznać Państwu szeroki margines </w:t>
      </w:r>
      <w:r w:rsidR="00DA0788" w:rsidRPr="00ED0C6A">
        <w:rPr>
          <w:rFonts w:asciiTheme="minorHAnsi" w:hAnsiTheme="minorHAnsi"/>
          <w:sz w:val="24"/>
          <w:lang w:val="pl-PL"/>
        </w:rPr>
        <w:t>swobody</w:t>
      </w:r>
      <w:r w:rsidR="00A06533" w:rsidRPr="00ED0C6A">
        <w:rPr>
          <w:rFonts w:asciiTheme="minorHAnsi" w:hAnsiTheme="minorHAnsi"/>
          <w:sz w:val="24"/>
          <w:lang w:val="pl-PL"/>
        </w:rPr>
        <w:t xml:space="preserve"> w tym obszarze. Ponadto</w:t>
      </w:r>
      <w:r w:rsidR="00110B07">
        <w:rPr>
          <w:rFonts w:asciiTheme="minorHAnsi" w:hAnsiTheme="minorHAnsi"/>
          <w:sz w:val="24"/>
          <w:lang w:val="pl-PL"/>
        </w:rPr>
        <w:t> </w:t>
      </w:r>
      <w:r w:rsidR="00A06533" w:rsidRPr="00ED0C6A">
        <w:rPr>
          <w:rFonts w:asciiTheme="minorHAnsi" w:hAnsiTheme="minorHAnsi"/>
          <w:sz w:val="24"/>
          <w:lang w:val="pl-PL"/>
        </w:rPr>
        <w:t>Trybunał nie mógł przesądzać wyniku oceny sądów krajowych, czy w świetle konkretnych okoliczności sprawy właściwe będzie przyznanie ponownego procesu lub</w:t>
      </w:r>
      <w:r w:rsidR="00110B07">
        <w:rPr>
          <w:rFonts w:asciiTheme="minorHAnsi" w:hAnsiTheme="minorHAnsi"/>
          <w:sz w:val="24"/>
          <w:lang w:val="pl-PL"/>
        </w:rPr>
        <w:t> </w:t>
      </w:r>
      <w:r w:rsidR="00A06533" w:rsidRPr="00ED0C6A">
        <w:rPr>
          <w:rFonts w:asciiTheme="minorHAnsi" w:hAnsiTheme="minorHAnsi"/>
          <w:sz w:val="24"/>
          <w:lang w:val="pl-PL"/>
        </w:rPr>
        <w:t xml:space="preserve">wznowienia postępowania. </w:t>
      </w:r>
    </w:p>
    <w:p w:rsidR="00B273EE" w:rsidRPr="00ED0C6A" w:rsidRDefault="00B273EE" w:rsidP="008176C7">
      <w:pPr>
        <w:pStyle w:val="ClinContent"/>
        <w:spacing w:before="0"/>
        <w:rPr>
          <w:rFonts w:asciiTheme="minorHAnsi" w:hAnsiTheme="minorHAnsi"/>
          <w:sz w:val="24"/>
          <w:lang w:val="pl-PL"/>
        </w:rPr>
      </w:pPr>
    </w:p>
    <w:p w:rsidR="00A06533" w:rsidRPr="00ED0C6A" w:rsidRDefault="00076E16"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Biorąc powyższe pod uwagę, </w:t>
      </w:r>
      <w:r w:rsidR="00A06533" w:rsidRPr="00ED0C6A">
        <w:rPr>
          <w:rFonts w:asciiTheme="minorHAnsi" w:hAnsiTheme="minorHAnsi"/>
          <w:sz w:val="24"/>
          <w:lang w:val="pl-PL"/>
        </w:rPr>
        <w:t>wznowienie postępowania nie wydawało się jedynym sposobem wykonania wyroku Trybunału z 5 lipca 2011 r.</w:t>
      </w:r>
      <w:r w:rsidRPr="00ED0C6A">
        <w:rPr>
          <w:rFonts w:asciiTheme="minorHAnsi" w:hAnsiTheme="minorHAnsi"/>
          <w:sz w:val="24"/>
          <w:lang w:val="pl-PL"/>
        </w:rPr>
        <w:t xml:space="preserve"> –</w:t>
      </w:r>
      <w:r w:rsidR="00A06533" w:rsidRPr="00ED0C6A">
        <w:rPr>
          <w:rFonts w:asciiTheme="minorHAnsi" w:hAnsiTheme="minorHAnsi"/>
          <w:sz w:val="24"/>
          <w:lang w:val="pl-PL"/>
        </w:rPr>
        <w:t xml:space="preserve"> w</w:t>
      </w:r>
      <w:r w:rsidRPr="00ED0C6A">
        <w:rPr>
          <w:rFonts w:asciiTheme="minorHAnsi" w:hAnsiTheme="minorHAnsi"/>
          <w:sz w:val="24"/>
          <w:lang w:val="pl-PL"/>
        </w:rPr>
        <w:t xml:space="preserve"> </w:t>
      </w:r>
      <w:r w:rsidR="00A06533" w:rsidRPr="00ED0C6A">
        <w:rPr>
          <w:rFonts w:asciiTheme="minorHAnsi" w:hAnsiTheme="minorHAnsi"/>
          <w:sz w:val="24"/>
          <w:lang w:val="pl-PL"/>
        </w:rPr>
        <w:t>najlepszym razie stanowiło ono</w:t>
      </w:r>
      <w:r w:rsidR="00335B71">
        <w:rPr>
          <w:rFonts w:asciiTheme="minorHAnsi" w:hAnsiTheme="minorHAnsi"/>
          <w:sz w:val="24"/>
          <w:lang w:val="pl-PL"/>
        </w:rPr>
        <w:t> </w:t>
      </w:r>
      <w:r w:rsidR="00A06533" w:rsidRPr="00ED0C6A">
        <w:rPr>
          <w:rFonts w:asciiTheme="minorHAnsi" w:hAnsiTheme="minorHAnsi"/>
          <w:sz w:val="24"/>
          <w:lang w:val="pl-PL"/>
        </w:rPr>
        <w:t>najbardziej pożądaną opcję, której celowość należała do oceny sąd</w:t>
      </w:r>
      <w:r w:rsidRPr="00ED0C6A">
        <w:rPr>
          <w:rFonts w:asciiTheme="minorHAnsi" w:hAnsiTheme="minorHAnsi"/>
          <w:sz w:val="24"/>
          <w:lang w:val="pl-PL"/>
        </w:rPr>
        <w:t>ów krajowych</w:t>
      </w:r>
      <w:r w:rsidR="00A06533" w:rsidRPr="00ED0C6A">
        <w:rPr>
          <w:rFonts w:asciiTheme="minorHAnsi" w:hAnsiTheme="minorHAnsi"/>
          <w:sz w:val="24"/>
          <w:lang w:val="pl-PL"/>
        </w:rPr>
        <w:t xml:space="preserve"> z</w:t>
      </w:r>
      <w:r w:rsidR="00335B71">
        <w:rPr>
          <w:rFonts w:asciiTheme="minorHAnsi" w:hAnsiTheme="minorHAnsi"/>
          <w:sz w:val="24"/>
          <w:lang w:val="pl-PL"/>
        </w:rPr>
        <w:t> </w:t>
      </w:r>
      <w:r w:rsidR="00A06533" w:rsidRPr="00ED0C6A">
        <w:rPr>
          <w:rFonts w:asciiTheme="minorHAnsi" w:hAnsiTheme="minorHAnsi"/>
          <w:sz w:val="24"/>
          <w:lang w:val="pl-PL"/>
        </w:rPr>
        <w:t xml:space="preserve">uwzględnieniem prawa portugalskiego i szczególnych okoliczności sprawy. </w:t>
      </w:r>
    </w:p>
    <w:p w:rsidR="00831B36" w:rsidRPr="00ED0C6A" w:rsidRDefault="00831B36" w:rsidP="008176C7">
      <w:pPr>
        <w:pStyle w:val="ClinContent"/>
        <w:spacing w:before="0"/>
        <w:rPr>
          <w:rFonts w:asciiTheme="minorHAnsi" w:hAnsiTheme="minorHAnsi"/>
          <w:sz w:val="24"/>
          <w:lang w:val="pl-PL"/>
        </w:rPr>
      </w:pPr>
    </w:p>
    <w:p w:rsidR="00A06533" w:rsidRPr="00ED0C6A" w:rsidRDefault="00831B36"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zauważył również, że </w:t>
      </w:r>
      <w:r w:rsidR="00A06533" w:rsidRPr="00ED0C6A">
        <w:rPr>
          <w:rFonts w:asciiTheme="minorHAnsi" w:hAnsiTheme="minorHAnsi"/>
          <w:sz w:val="24"/>
          <w:lang w:val="pl-PL"/>
        </w:rPr>
        <w:t xml:space="preserve">Sąd Najwyższy w uzasadnieniu swego wyroku z dnia 21 marca 2012 r. przeanalizował treść wyroku </w:t>
      </w:r>
      <w:r w:rsidRPr="00ED0C6A">
        <w:rPr>
          <w:rFonts w:asciiTheme="minorHAnsi" w:hAnsiTheme="minorHAnsi"/>
          <w:sz w:val="24"/>
          <w:lang w:val="pl-PL"/>
        </w:rPr>
        <w:t xml:space="preserve">Izby </w:t>
      </w:r>
      <w:r w:rsidR="00A06533" w:rsidRPr="00ED0C6A">
        <w:rPr>
          <w:rFonts w:asciiTheme="minorHAnsi" w:hAnsiTheme="minorHAnsi"/>
          <w:sz w:val="24"/>
          <w:lang w:val="pl-PL"/>
        </w:rPr>
        <w:t>Trybunału z dnia 5 lipca 2011 r. i przedstawił własną jego interpretację. Zważywszy na przysługujący władzom krajowym margines oceny przy</w:t>
      </w:r>
      <w:r w:rsidR="00335B71">
        <w:rPr>
          <w:rFonts w:asciiTheme="minorHAnsi" w:hAnsiTheme="minorHAnsi"/>
          <w:sz w:val="24"/>
          <w:lang w:val="pl-PL"/>
        </w:rPr>
        <w:t> </w:t>
      </w:r>
      <w:r w:rsidR="00A06533" w:rsidRPr="00ED0C6A">
        <w:rPr>
          <w:rFonts w:asciiTheme="minorHAnsi" w:hAnsiTheme="minorHAnsi"/>
          <w:sz w:val="24"/>
          <w:lang w:val="pl-PL"/>
        </w:rPr>
        <w:t xml:space="preserve">interpretacji wyroków Trybunału oraz </w:t>
      </w:r>
      <w:r w:rsidR="00DA0788" w:rsidRPr="00ED0C6A">
        <w:rPr>
          <w:rFonts w:asciiTheme="minorHAnsi" w:hAnsiTheme="minorHAnsi"/>
          <w:sz w:val="24"/>
          <w:lang w:val="pl-PL"/>
        </w:rPr>
        <w:t>w świetle zasad regulujących</w:t>
      </w:r>
      <w:r w:rsidR="00A06533" w:rsidRPr="00ED0C6A">
        <w:rPr>
          <w:rFonts w:asciiTheme="minorHAnsi" w:hAnsiTheme="minorHAnsi"/>
          <w:sz w:val="24"/>
          <w:lang w:val="pl-PL"/>
        </w:rPr>
        <w:t xml:space="preserve"> wykonywanie jego</w:t>
      </w:r>
      <w:r w:rsidR="00335B71">
        <w:rPr>
          <w:rFonts w:asciiTheme="minorHAnsi" w:hAnsiTheme="minorHAnsi"/>
          <w:sz w:val="24"/>
          <w:lang w:val="pl-PL"/>
        </w:rPr>
        <w:t> </w:t>
      </w:r>
      <w:r w:rsidR="00A06533" w:rsidRPr="00ED0C6A">
        <w:rPr>
          <w:rFonts w:asciiTheme="minorHAnsi" w:hAnsiTheme="minorHAnsi"/>
          <w:sz w:val="24"/>
          <w:lang w:val="pl-PL"/>
        </w:rPr>
        <w:t>wyroków, Trybunał uznał, że zbędne jest wyrażanie stanowiska co do zasadności tej</w:t>
      </w:r>
      <w:r w:rsidR="00335B71">
        <w:rPr>
          <w:rFonts w:asciiTheme="minorHAnsi" w:hAnsiTheme="minorHAnsi"/>
          <w:sz w:val="24"/>
          <w:lang w:val="pl-PL"/>
        </w:rPr>
        <w:t> </w:t>
      </w:r>
      <w:r w:rsidR="00A06533" w:rsidRPr="00ED0C6A">
        <w:rPr>
          <w:rFonts w:asciiTheme="minorHAnsi" w:hAnsiTheme="minorHAnsi"/>
          <w:sz w:val="24"/>
          <w:lang w:val="pl-PL"/>
        </w:rPr>
        <w:t xml:space="preserve">interpretacji. </w:t>
      </w:r>
      <w:r w:rsidRPr="00ED0C6A">
        <w:rPr>
          <w:rFonts w:asciiTheme="minorHAnsi" w:hAnsiTheme="minorHAnsi"/>
          <w:sz w:val="24"/>
          <w:lang w:val="pl-PL"/>
        </w:rPr>
        <w:t>W</w:t>
      </w:r>
      <w:r w:rsidR="00A06533" w:rsidRPr="00ED0C6A">
        <w:rPr>
          <w:rFonts w:asciiTheme="minorHAnsi" w:hAnsiTheme="minorHAnsi"/>
          <w:sz w:val="24"/>
          <w:lang w:val="pl-PL"/>
        </w:rPr>
        <w:t xml:space="preserve">ystarczające było ustalenie przez Trybunał, </w:t>
      </w:r>
      <w:r w:rsidR="00DA0788" w:rsidRPr="00ED0C6A">
        <w:rPr>
          <w:rFonts w:asciiTheme="minorHAnsi" w:hAnsiTheme="minorHAnsi"/>
          <w:sz w:val="24"/>
          <w:lang w:val="pl-PL"/>
        </w:rPr>
        <w:t xml:space="preserve">że </w:t>
      </w:r>
      <w:r w:rsidR="00A06533" w:rsidRPr="00ED0C6A">
        <w:rPr>
          <w:rFonts w:asciiTheme="minorHAnsi" w:hAnsiTheme="minorHAnsi"/>
          <w:sz w:val="24"/>
          <w:lang w:val="pl-PL"/>
        </w:rPr>
        <w:t xml:space="preserve">wyrok z 21 marca 2012 r. nie był arbitralny, to jest, </w:t>
      </w:r>
      <w:r w:rsidR="00DA0788" w:rsidRPr="00ED0C6A">
        <w:rPr>
          <w:rFonts w:asciiTheme="minorHAnsi" w:hAnsiTheme="minorHAnsi"/>
          <w:sz w:val="24"/>
          <w:lang w:val="pl-PL"/>
        </w:rPr>
        <w:t xml:space="preserve">że </w:t>
      </w:r>
      <w:r w:rsidR="00A06533" w:rsidRPr="00ED0C6A">
        <w:rPr>
          <w:rFonts w:asciiTheme="minorHAnsi" w:hAnsiTheme="minorHAnsi"/>
          <w:sz w:val="24"/>
          <w:lang w:val="pl-PL"/>
        </w:rPr>
        <w:t>sędziowie Sądu Najwyższego nie wypaczyli lub nie przedstawili w nieprawdziwym świetle wyroku wydanego przez Trybunał.</w:t>
      </w:r>
    </w:p>
    <w:p w:rsidR="00831B36" w:rsidRPr="00ED0C6A" w:rsidRDefault="00831B36" w:rsidP="008176C7">
      <w:pPr>
        <w:pStyle w:val="ClinContent"/>
        <w:spacing w:before="0"/>
        <w:rPr>
          <w:rFonts w:asciiTheme="minorHAnsi" w:hAnsiTheme="minorHAnsi"/>
          <w:sz w:val="24"/>
          <w:lang w:val="pl-PL"/>
        </w:rPr>
      </w:pPr>
    </w:p>
    <w:p w:rsidR="00831B36" w:rsidRPr="00ED0C6A" w:rsidRDefault="00831B36" w:rsidP="008176C7">
      <w:pPr>
        <w:pStyle w:val="ClinContent"/>
        <w:spacing w:before="0"/>
        <w:rPr>
          <w:rFonts w:asciiTheme="minorHAnsi" w:hAnsiTheme="minorHAnsi"/>
          <w:sz w:val="24"/>
          <w:lang w:val="pl-PL"/>
        </w:rPr>
      </w:pPr>
      <w:r w:rsidRPr="00ED0C6A">
        <w:rPr>
          <w:rFonts w:asciiTheme="minorHAnsi" w:hAnsiTheme="minorHAnsi"/>
          <w:sz w:val="24"/>
          <w:lang w:val="pl-PL"/>
        </w:rPr>
        <w:t>Zdaniem Trybunału nie można uznać, że</w:t>
      </w:r>
      <w:r w:rsidR="00A06533" w:rsidRPr="00ED0C6A">
        <w:rPr>
          <w:rFonts w:asciiTheme="minorHAnsi" w:hAnsiTheme="minorHAnsi"/>
          <w:sz w:val="24"/>
          <w:lang w:val="pl-PL"/>
        </w:rPr>
        <w:t xml:space="preserve"> sposób odczytania przez Sąd Najwyższy </w:t>
      </w:r>
      <w:r w:rsidRPr="00ED0C6A">
        <w:rPr>
          <w:rFonts w:asciiTheme="minorHAnsi" w:hAnsiTheme="minorHAnsi"/>
          <w:sz w:val="24"/>
          <w:lang w:val="pl-PL"/>
        </w:rPr>
        <w:t xml:space="preserve">wcześniejszego </w:t>
      </w:r>
      <w:r w:rsidR="00A06533" w:rsidRPr="00ED0C6A">
        <w:rPr>
          <w:rFonts w:asciiTheme="minorHAnsi" w:hAnsiTheme="minorHAnsi"/>
          <w:sz w:val="24"/>
          <w:lang w:val="pl-PL"/>
        </w:rPr>
        <w:t xml:space="preserve">wyroku Trybunału z 2011 r., oceniany jako całość, wynikał z oczywistego błędu co do faktów lub prawa, prowadząc do „odmowy sprawiedliwości”. </w:t>
      </w:r>
    </w:p>
    <w:p w:rsidR="00831B36" w:rsidRPr="00ED0C6A" w:rsidRDefault="00831B36" w:rsidP="008176C7">
      <w:pPr>
        <w:pStyle w:val="ClinContent"/>
        <w:spacing w:before="0"/>
        <w:rPr>
          <w:rFonts w:asciiTheme="minorHAnsi" w:hAnsiTheme="minorHAnsi"/>
          <w:sz w:val="24"/>
          <w:lang w:val="pl-PL"/>
        </w:rPr>
      </w:pPr>
    </w:p>
    <w:p w:rsidR="00BC6BCA" w:rsidRPr="00ED0C6A" w:rsidRDefault="00A0653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Mając na względzie zasadę subsydiarności oraz </w:t>
      </w:r>
      <w:r w:rsidR="00831B36" w:rsidRPr="00ED0C6A">
        <w:rPr>
          <w:rFonts w:asciiTheme="minorHAnsi" w:hAnsiTheme="minorHAnsi"/>
          <w:sz w:val="24"/>
          <w:lang w:val="pl-PL"/>
        </w:rPr>
        <w:t>sformułowan</w:t>
      </w:r>
      <w:r w:rsidR="00DA0788" w:rsidRPr="00ED0C6A">
        <w:rPr>
          <w:rFonts w:asciiTheme="minorHAnsi" w:hAnsiTheme="minorHAnsi"/>
          <w:sz w:val="24"/>
          <w:lang w:val="pl-PL"/>
        </w:rPr>
        <w:t>ie</w:t>
      </w:r>
      <w:r w:rsidRPr="00ED0C6A">
        <w:rPr>
          <w:rFonts w:asciiTheme="minorHAnsi" w:hAnsiTheme="minorHAnsi"/>
          <w:sz w:val="24"/>
          <w:lang w:val="pl-PL"/>
        </w:rPr>
        <w:t xml:space="preserve"> wyroku Trybunału z 2011 r., Trybunał uznał, że odmowa wznowienia </w:t>
      </w:r>
      <w:r w:rsidR="00DA0788" w:rsidRPr="00ED0C6A">
        <w:rPr>
          <w:rFonts w:asciiTheme="minorHAnsi" w:hAnsiTheme="minorHAnsi"/>
          <w:sz w:val="24"/>
          <w:lang w:val="pl-PL"/>
        </w:rPr>
        <w:t xml:space="preserve">postępowania </w:t>
      </w:r>
      <w:r w:rsidRPr="00ED0C6A">
        <w:rPr>
          <w:rFonts w:asciiTheme="minorHAnsi" w:hAnsiTheme="minorHAnsi"/>
          <w:sz w:val="24"/>
          <w:lang w:val="pl-PL"/>
        </w:rPr>
        <w:t xml:space="preserve">przez Sąd Najwyższy, o </w:t>
      </w:r>
      <w:r w:rsidR="00DA0788" w:rsidRPr="00ED0C6A">
        <w:rPr>
          <w:rFonts w:asciiTheme="minorHAnsi" w:hAnsiTheme="minorHAnsi"/>
          <w:sz w:val="24"/>
          <w:lang w:val="pl-PL"/>
        </w:rPr>
        <w:t xml:space="preserve">które </w:t>
      </w:r>
      <w:r w:rsidRPr="00ED0C6A">
        <w:rPr>
          <w:rFonts w:asciiTheme="minorHAnsi" w:hAnsiTheme="minorHAnsi"/>
          <w:sz w:val="24"/>
          <w:lang w:val="pl-PL"/>
        </w:rPr>
        <w:t>wnioskowała skarżąca, nie była arbitralna. Wyrok Sądu Najwyższego z dnia 21 marca 2012 r. w sposób wystarczający wskazywał podstawy, na jakich się opierał. Podstawy te należały do</w:t>
      </w:r>
      <w:r w:rsidR="00335B71">
        <w:rPr>
          <w:rFonts w:asciiTheme="minorHAnsi" w:hAnsiTheme="minorHAnsi"/>
          <w:sz w:val="24"/>
          <w:lang w:val="pl-PL"/>
        </w:rPr>
        <w:t> </w:t>
      </w:r>
      <w:r w:rsidRPr="00ED0C6A">
        <w:rPr>
          <w:rFonts w:asciiTheme="minorHAnsi" w:hAnsiTheme="minorHAnsi"/>
          <w:sz w:val="24"/>
          <w:lang w:val="pl-PL"/>
        </w:rPr>
        <w:t>obszaru objęte</w:t>
      </w:r>
      <w:r w:rsidR="0008101C" w:rsidRPr="00ED0C6A">
        <w:rPr>
          <w:rFonts w:asciiTheme="minorHAnsi" w:hAnsiTheme="minorHAnsi"/>
          <w:sz w:val="24"/>
          <w:lang w:val="pl-PL"/>
        </w:rPr>
        <w:t>go</w:t>
      </w:r>
      <w:r w:rsidRPr="00ED0C6A">
        <w:rPr>
          <w:rFonts w:asciiTheme="minorHAnsi" w:hAnsiTheme="minorHAnsi"/>
          <w:sz w:val="24"/>
          <w:lang w:val="pl-PL"/>
        </w:rPr>
        <w:t xml:space="preserve"> marginesem oceny władz krajowych i nie wypaczały stwierdzeń zawartych w wyroku Trybunału. </w:t>
      </w:r>
    </w:p>
    <w:p w:rsidR="00BC6BCA" w:rsidRPr="00ED0C6A" w:rsidRDefault="00BC6BCA" w:rsidP="008176C7">
      <w:pPr>
        <w:pStyle w:val="ClinContent"/>
        <w:spacing w:before="0"/>
        <w:rPr>
          <w:rFonts w:asciiTheme="minorHAnsi" w:hAnsiTheme="minorHAnsi"/>
          <w:sz w:val="24"/>
          <w:lang w:val="pl-PL"/>
        </w:rPr>
      </w:pPr>
    </w:p>
    <w:p w:rsidR="00A06533" w:rsidRPr="00ED0C6A" w:rsidRDefault="00831B36" w:rsidP="008176C7">
      <w:pPr>
        <w:pStyle w:val="ClinContent"/>
        <w:spacing w:before="0"/>
        <w:rPr>
          <w:rFonts w:asciiTheme="minorHAnsi" w:hAnsiTheme="minorHAnsi"/>
          <w:sz w:val="24"/>
          <w:lang w:val="pl-PL"/>
        </w:rPr>
      </w:pPr>
      <w:r w:rsidRPr="00ED0C6A">
        <w:rPr>
          <w:rFonts w:asciiTheme="minorHAnsi" w:hAnsiTheme="minorHAnsi"/>
          <w:sz w:val="24"/>
          <w:lang w:val="pl-PL"/>
        </w:rPr>
        <w:t>Trybunał stwierdził zatem dziewięcioma głosami do ośmiu, że nie doszło do naruszenia prawa do rzetelnego procesu sądowego chronionego art. 6 ust. 1 Konwencji.</w:t>
      </w:r>
    </w:p>
    <w:p w:rsidR="00831B36" w:rsidRPr="00ED0C6A" w:rsidRDefault="00831B36" w:rsidP="008176C7">
      <w:pPr>
        <w:pStyle w:val="ClinContent"/>
        <w:spacing w:before="0"/>
        <w:rPr>
          <w:rFonts w:asciiTheme="minorHAnsi" w:hAnsiTheme="minorHAnsi"/>
          <w:sz w:val="24"/>
          <w:lang w:val="pl-PL"/>
        </w:rPr>
      </w:pPr>
    </w:p>
    <w:p w:rsidR="00A06533" w:rsidRPr="00ED0C6A" w:rsidRDefault="00831B36" w:rsidP="008176C7">
      <w:pPr>
        <w:pStyle w:val="ClinContent"/>
        <w:spacing w:before="0"/>
        <w:rPr>
          <w:rFonts w:asciiTheme="minorHAnsi" w:hAnsiTheme="minorHAnsi"/>
          <w:sz w:val="24"/>
          <w:lang w:val="pl-PL"/>
        </w:rPr>
      </w:pPr>
      <w:r w:rsidRPr="00ED0C6A">
        <w:rPr>
          <w:rFonts w:asciiTheme="minorHAnsi" w:hAnsiTheme="minorHAnsi"/>
          <w:sz w:val="24"/>
          <w:lang w:val="pl-PL"/>
        </w:rPr>
        <w:t>Trybunał jednocześnie podkreślił, że p</w:t>
      </w:r>
      <w:r w:rsidR="00A06533" w:rsidRPr="00ED0C6A">
        <w:rPr>
          <w:rFonts w:asciiTheme="minorHAnsi" w:hAnsiTheme="minorHAnsi"/>
          <w:sz w:val="24"/>
          <w:lang w:val="pl-PL"/>
        </w:rPr>
        <w:t xml:space="preserve">owyższe względy nie mają na celu pomniejszenia </w:t>
      </w:r>
      <w:r w:rsidR="00DA0788" w:rsidRPr="00ED0C6A">
        <w:rPr>
          <w:rFonts w:asciiTheme="minorHAnsi" w:hAnsiTheme="minorHAnsi"/>
          <w:sz w:val="24"/>
          <w:lang w:val="pl-PL"/>
        </w:rPr>
        <w:t xml:space="preserve">doniosłości </w:t>
      </w:r>
      <w:r w:rsidR="00A06533" w:rsidRPr="00ED0C6A">
        <w:rPr>
          <w:rFonts w:asciiTheme="minorHAnsi" w:hAnsiTheme="minorHAnsi"/>
          <w:sz w:val="24"/>
          <w:lang w:val="pl-PL"/>
        </w:rPr>
        <w:t>zapewnienia procedur krajowych, za pomocą których sprawa mogłaby zostać zbadana</w:t>
      </w:r>
      <w:r w:rsidR="00DA0788" w:rsidRPr="00ED0C6A">
        <w:rPr>
          <w:rFonts w:asciiTheme="minorHAnsi" w:hAnsiTheme="minorHAnsi"/>
          <w:sz w:val="24"/>
          <w:lang w:val="pl-PL"/>
        </w:rPr>
        <w:t xml:space="preserve"> ponownie w świetle stwierdzonego</w:t>
      </w:r>
      <w:r w:rsidRPr="00ED0C6A">
        <w:rPr>
          <w:rFonts w:asciiTheme="minorHAnsi" w:hAnsiTheme="minorHAnsi"/>
          <w:sz w:val="24"/>
          <w:lang w:val="pl-PL"/>
        </w:rPr>
        <w:t xml:space="preserve"> przez Trybunał</w:t>
      </w:r>
      <w:r w:rsidR="00DA0788" w:rsidRPr="00ED0C6A">
        <w:rPr>
          <w:rFonts w:asciiTheme="minorHAnsi" w:hAnsiTheme="minorHAnsi"/>
          <w:sz w:val="24"/>
          <w:lang w:val="pl-PL"/>
        </w:rPr>
        <w:t xml:space="preserve"> naruszenia</w:t>
      </w:r>
      <w:r w:rsidR="00A06533" w:rsidRPr="00ED0C6A">
        <w:rPr>
          <w:rFonts w:asciiTheme="minorHAnsi" w:hAnsiTheme="minorHAnsi"/>
          <w:sz w:val="24"/>
          <w:lang w:val="pl-PL"/>
        </w:rPr>
        <w:t xml:space="preserve"> art. 6 Konwencji. Przeciwnie, procedury takie mogą być uznane za istotny aspekt wykonywania wyroków Trybunału, a ich dostępność wskazuje na przywiązanie Układających się Państw do</w:t>
      </w:r>
      <w:r w:rsidR="00335B71">
        <w:rPr>
          <w:rFonts w:asciiTheme="minorHAnsi" w:hAnsiTheme="minorHAnsi"/>
          <w:sz w:val="24"/>
          <w:lang w:val="pl-PL"/>
        </w:rPr>
        <w:t> </w:t>
      </w:r>
      <w:r w:rsidR="00A06533" w:rsidRPr="00ED0C6A">
        <w:rPr>
          <w:rFonts w:asciiTheme="minorHAnsi" w:hAnsiTheme="minorHAnsi"/>
          <w:sz w:val="24"/>
          <w:lang w:val="pl-PL"/>
        </w:rPr>
        <w:t xml:space="preserve">Konwencji </w:t>
      </w:r>
      <w:r w:rsidR="00DA0788" w:rsidRPr="00ED0C6A">
        <w:rPr>
          <w:rFonts w:asciiTheme="minorHAnsi" w:hAnsiTheme="minorHAnsi"/>
          <w:sz w:val="24"/>
          <w:lang w:val="pl-PL"/>
        </w:rPr>
        <w:t xml:space="preserve">i </w:t>
      </w:r>
      <w:r w:rsidR="00A06533" w:rsidRPr="00ED0C6A">
        <w:rPr>
          <w:rFonts w:asciiTheme="minorHAnsi" w:hAnsiTheme="minorHAnsi"/>
          <w:sz w:val="24"/>
          <w:lang w:val="pl-PL"/>
        </w:rPr>
        <w:t>orzecznictwa Trybunału.</w:t>
      </w:r>
    </w:p>
    <w:p w:rsidR="00831B36" w:rsidRPr="00ED0C6A" w:rsidRDefault="00831B36" w:rsidP="008176C7">
      <w:pPr>
        <w:pStyle w:val="ClinContent"/>
        <w:spacing w:before="0"/>
        <w:rPr>
          <w:rFonts w:asciiTheme="minorHAnsi" w:hAnsiTheme="minorHAnsi"/>
          <w:sz w:val="24"/>
          <w:lang w:val="pl-PL"/>
        </w:rPr>
      </w:pPr>
    </w:p>
    <w:p w:rsidR="00BC6BCA" w:rsidRPr="00ED0C6A" w:rsidRDefault="00BC6BCA" w:rsidP="00BC6BCA">
      <w:pPr>
        <w:pStyle w:val="ClinContent"/>
        <w:spacing w:before="0"/>
        <w:rPr>
          <w:rFonts w:asciiTheme="minorHAnsi" w:hAnsiTheme="minorHAnsi"/>
          <w:sz w:val="24"/>
          <w:lang w:val="pl-PL"/>
        </w:rPr>
      </w:pPr>
      <w:r w:rsidRPr="00ED0C6A">
        <w:rPr>
          <w:rFonts w:asciiTheme="minorHAnsi" w:hAnsiTheme="minorHAnsi"/>
          <w:sz w:val="24"/>
          <w:lang w:val="pl-PL"/>
        </w:rPr>
        <w:t>Skarżąca zarzucała również, że oddalenie przez Sąd Najwyższy jej wniosku o wznowienie postępowania karne</w:t>
      </w:r>
      <w:r w:rsidR="00DD37E7" w:rsidRPr="00ED0C6A">
        <w:rPr>
          <w:rFonts w:asciiTheme="minorHAnsi" w:hAnsiTheme="minorHAnsi"/>
          <w:sz w:val="24"/>
          <w:lang w:val="pl-PL"/>
        </w:rPr>
        <w:t xml:space="preserve">go stanowiło naruszenie także </w:t>
      </w:r>
      <w:r w:rsidRPr="00ED0C6A">
        <w:rPr>
          <w:rFonts w:asciiTheme="minorHAnsi" w:hAnsiTheme="minorHAnsi"/>
          <w:sz w:val="24"/>
          <w:lang w:val="pl-PL"/>
        </w:rPr>
        <w:t>art. 46 Konwencji (moc obowiązująca i</w:t>
      </w:r>
      <w:r w:rsidR="00335B71">
        <w:rPr>
          <w:rFonts w:asciiTheme="minorHAnsi" w:hAnsiTheme="minorHAnsi"/>
          <w:sz w:val="24"/>
          <w:lang w:val="pl-PL"/>
        </w:rPr>
        <w:t> </w:t>
      </w:r>
      <w:r w:rsidRPr="00ED0C6A">
        <w:rPr>
          <w:rFonts w:asciiTheme="minorHAnsi" w:hAnsiTheme="minorHAnsi"/>
          <w:sz w:val="24"/>
          <w:lang w:val="pl-PL"/>
        </w:rPr>
        <w:t xml:space="preserve">wykonywanie wyroków Trybunału) poprzez zaniechanie wdrożenia środków </w:t>
      </w:r>
      <w:r w:rsidR="00DD37E7" w:rsidRPr="00ED0C6A">
        <w:rPr>
          <w:rFonts w:asciiTheme="minorHAnsi" w:hAnsiTheme="minorHAnsi"/>
          <w:sz w:val="24"/>
          <w:lang w:val="pl-PL"/>
        </w:rPr>
        <w:t>indywidualnych</w:t>
      </w:r>
      <w:r w:rsidRPr="00ED0C6A">
        <w:rPr>
          <w:rFonts w:asciiTheme="minorHAnsi" w:hAnsiTheme="minorHAnsi"/>
          <w:sz w:val="24"/>
          <w:lang w:val="pl-PL"/>
        </w:rPr>
        <w:t xml:space="preserve"> wskazanych w pierwszym wyroku Trybunału. Trybunał przypomniał</w:t>
      </w:r>
      <w:r w:rsidR="00DD37E7" w:rsidRPr="00ED0C6A">
        <w:rPr>
          <w:rFonts w:asciiTheme="minorHAnsi" w:hAnsiTheme="minorHAnsi"/>
          <w:sz w:val="24"/>
          <w:lang w:val="pl-PL"/>
        </w:rPr>
        <w:t xml:space="preserve"> jednak</w:t>
      </w:r>
      <w:r w:rsidRPr="00ED0C6A">
        <w:rPr>
          <w:rFonts w:asciiTheme="minorHAnsi" w:hAnsiTheme="minorHAnsi"/>
          <w:sz w:val="24"/>
          <w:lang w:val="pl-PL"/>
        </w:rPr>
        <w:t>, że jego jurysdykcja nie obejmuje kwestii przestrzegania przez Państw</w:t>
      </w:r>
      <w:r w:rsidR="00D83C1A" w:rsidRPr="00ED0C6A">
        <w:rPr>
          <w:rFonts w:asciiTheme="minorHAnsi" w:hAnsiTheme="minorHAnsi"/>
          <w:sz w:val="24"/>
          <w:lang w:val="pl-PL"/>
        </w:rPr>
        <w:t>a</w:t>
      </w:r>
      <w:r w:rsidRPr="00ED0C6A">
        <w:rPr>
          <w:rFonts w:asciiTheme="minorHAnsi" w:hAnsiTheme="minorHAnsi"/>
          <w:sz w:val="24"/>
          <w:lang w:val="pl-PL"/>
        </w:rPr>
        <w:t xml:space="preserve"> jego wyroków – poza</w:t>
      </w:r>
      <w:r w:rsidR="00335B71">
        <w:rPr>
          <w:rFonts w:asciiTheme="minorHAnsi" w:hAnsiTheme="minorHAnsi"/>
          <w:sz w:val="24"/>
          <w:lang w:val="pl-PL"/>
        </w:rPr>
        <w:t> </w:t>
      </w:r>
      <w:r w:rsidRPr="00ED0C6A">
        <w:rPr>
          <w:rFonts w:asciiTheme="minorHAnsi" w:hAnsiTheme="minorHAnsi"/>
          <w:sz w:val="24"/>
          <w:lang w:val="pl-PL"/>
        </w:rPr>
        <w:t xml:space="preserve">przypadkami objętymi tzw. procedurą naruszenia przewidzianą przez art. 46 ust. 4 i 5 Konwencji. A zatem skarga na brak naprawienia naruszenia art. 6 ust. 1 Konwencji stwierdzonego przez Trybunał w 2001 r. jest </w:t>
      </w:r>
      <w:r w:rsidRPr="00ED0C6A">
        <w:rPr>
          <w:rFonts w:asciiTheme="minorHAnsi" w:hAnsiTheme="minorHAnsi"/>
          <w:i/>
          <w:sz w:val="24"/>
          <w:lang w:val="pl-PL"/>
        </w:rPr>
        <w:t xml:space="preserve">ratione materiae </w:t>
      </w:r>
      <w:r w:rsidRPr="00ED0C6A">
        <w:rPr>
          <w:rFonts w:asciiTheme="minorHAnsi" w:hAnsiTheme="minorHAnsi"/>
          <w:sz w:val="24"/>
          <w:lang w:val="pl-PL"/>
        </w:rPr>
        <w:t>niezgodna z Konwencją.</w:t>
      </w:r>
    </w:p>
    <w:p w:rsidR="000E5818" w:rsidRPr="00ED0C6A" w:rsidRDefault="000E5818" w:rsidP="00BC6BCA">
      <w:pPr>
        <w:pStyle w:val="ClinContent"/>
        <w:spacing w:before="0"/>
        <w:rPr>
          <w:rFonts w:asciiTheme="minorHAnsi" w:hAnsiTheme="minorHAnsi"/>
          <w:sz w:val="24"/>
          <w:u w:val="single"/>
          <w:lang w:val="pl-PL"/>
        </w:rPr>
      </w:pPr>
    </w:p>
    <w:p w:rsidR="000E5818" w:rsidRPr="00ED0C6A" w:rsidRDefault="000E5818" w:rsidP="00BC6BCA">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kolejny z wyroków Trybunału</w:t>
      </w:r>
      <w:r w:rsidRPr="00ED0C6A">
        <w:rPr>
          <w:rStyle w:val="Odwoanieprzypisudolnego"/>
          <w:rFonts w:asciiTheme="minorHAnsi" w:eastAsiaTheme="majorEastAsia" w:hAnsiTheme="minorHAnsi"/>
          <w:sz w:val="24"/>
          <w:lang w:val="pl-PL"/>
        </w:rPr>
        <w:footnoteReference w:id="27"/>
      </w:r>
      <w:r w:rsidRPr="00ED0C6A">
        <w:rPr>
          <w:rFonts w:asciiTheme="minorHAnsi" w:hAnsiTheme="minorHAnsi"/>
          <w:sz w:val="24"/>
          <w:lang w:val="pl-PL"/>
        </w:rPr>
        <w:t xml:space="preserve"> dotyczących problematyki wznowienia postępowania karnego na poziomie krajowym po stwierdzeniu przez Trybunał naruszenia gwarancji rzetelnego procesu sądowego (art. 6 ust. 1). Potwierdza trend w</w:t>
      </w:r>
      <w:r w:rsidR="00335B71">
        <w:rPr>
          <w:rFonts w:asciiTheme="minorHAnsi" w:hAnsiTheme="minorHAnsi"/>
          <w:sz w:val="24"/>
          <w:lang w:val="pl-PL"/>
        </w:rPr>
        <w:t> </w:t>
      </w:r>
      <w:r w:rsidRPr="00ED0C6A">
        <w:rPr>
          <w:rFonts w:asciiTheme="minorHAnsi" w:hAnsiTheme="minorHAnsi"/>
          <w:sz w:val="24"/>
          <w:lang w:val="pl-PL"/>
        </w:rPr>
        <w:t>orzecznictwie Trybunału idący w kierunku objęcia zakresem gwarancji prawa do</w:t>
      </w:r>
      <w:r w:rsidR="00335B71">
        <w:rPr>
          <w:rFonts w:asciiTheme="minorHAnsi" w:hAnsiTheme="minorHAnsi"/>
          <w:sz w:val="24"/>
          <w:lang w:val="pl-PL"/>
        </w:rPr>
        <w:t> </w:t>
      </w:r>
      <w:r w:rsidRPr="00ED0C6A">
        <w:rPr>
          <w:rFonts w:asciiTheme="minorHAnsi" w:hAnsiTheme="minorHAnsi"/>
          <w:sz w:val="24"/>
          <w:lang w:val="pl-PL"/>
        </w:rPr>
        <w:t xml:space="preserve">rzetelnego procesu sądowego również postępowań, w których wniosek o wznowienie jest rozpatrywany w sposób merytoryczny i oddalany z uwagi na stwierdzenie w porządku krajowym </w:t>
      </w:r>
      <w:r w:rsidR="00D83C1A" w:rsidRPr="00ED0C6A">
        <w:rPr>
          <w:rFonts w:asciiTheme="minorHAnsi" w:hAnsiTheme="minorHAnsi"/>
          <w:sz w:val="24"/>
          <w:lang w:val="pl-PL"/>
        </w:rPr>
        <w:t xml:space="preserve">braku </w:t>
      </w:r>
      <w:r w:rsidRPr="00ED0C6A">
        <w:rPr>
          <w:rFonts w:asciiTheme="minorHAnsi" w:hAnsiTheme="minorHAnsi"/>
          <w:sz w:val="24"/>
          <w:lang w:val="pl-PL"/>
        </w:rPr>
        <w:t xml:space="preserve">zasadności wznowienia. Tym niemniej Trybunał akceptuje fakt, że nie każde jego stwierdzenie naruszenia art. 6 ust. 1 automatycznie gwarantuje prawo do wznowienia postępowania karnego w porządku krajowym (wniosek ten warto wziąć pod uwagę </w:t>
      </w:r>
      <w:r w:rsidRPr="00ED0C6A">
        <w:rPr>
          <w:rFonts w:asciiTheme="minorHAnsi" w:hAnsiTheme="minorHAnsi"/>
          <w:i/>
          <w:sz w:val="24"/>
          <w:lang w:val="pl-PL"/>
        </w:rPr>
        <w:t>per</w:t>
      </w:r>
      <w:r w:rsidR="00335B71">
        <w:rPr>
          <w:rFonts w:asciiTheme="minorHAnsi" w:hAnsiTheme="minorHAnsi"/>
          <w:i/>
          <w:sz w:val="24"/>
          <w:lang w:val="pl-PL"/>
        </w:rPr>
        <w:t> </w:t>
      </w:r>
      <w:r w:rsidRPr="00ED0C6A">
        <w:rPr>
          <w:rFonts w:asciiTheme="minorHAnsi" w:hAnsiTheme="minorHAnsi"/>
          <w:i/>
          <w:sz w:val="24"/>
          <w:lang w:val="pl-PL"/>
        </w:rPr>
        <w:t xml:space="preserve">analogiam </w:t>
      </w:r>
      <w:r w:rsidRPr="00ED0C6A">
        <w:rPr>
          <w:rFonts w:asciiTheme="minorHAnsi" w:hAnsiTheme="minorHAnsi"/>
          <w:sz w:val="24"/>
          <w:lang w:val="pl-PL"/>
        </w:rPr>
        <w:t>przy rozważaniu również zasadności uzupełnienia prawa polskiego o</w:t>
      </w:r>
      <w:r w:rsidR="00335B71">
        <w:rPr>
          <w:rFonts w:asciiTheme="minorHAnsi" w:hAnsiTheme="minorHAnsi"/>
          <w:sz w:val="24"/>
          <w:lang w:val="pl-PL"/>
        </w:rPr>
        <w:t> </w:t>
      </w:r>
      <w:r w:rsidRPr="00ED0C6A">
        <w:rPr>
          <w:rFonts w:asciiTheme="minorHAnsi" w:hAnsiTheme="minorHAnsi"/>
          <w:sz w:val="24"/>
          <w:lang w:val="pl-PL"/>
        </w:rPr>
        <w:t>możliwość wznowienia postepowań cywilnych). W postępowaniu krajowym, w którym wniosek jest rozpatrywany, konieczne jest jednak zachowanie wymogów rzetelności, i</w:t>
      </w:r>
      <w:r w:rsidR="00335B71">
        <w:rPr>
          <w:rFonts w:asciiTheme="minorHAnsi" w:hAnsiTheme="minorHAnsi"/>
          <w:sz w:val="24"/>
          <w:lang w:val="pl-PL"/>
        </w:rPr>
        <w:t> </w:t>
      </w:r>
      <w:r w:rsidRPr="00ED0C6A">
        <w:rPr>
          <w:rFonts w:asciiTheme="minorHAnsi" w:hAnsiTheme="minorHAnsi"/>
          <w:sz w:val="24"/>
          <w:lang w:val="pl-PL"/>
        </w:rPr>
        <w:t>choć</w:t>
      </w:r>
      <w:r w:rsidR="00335B71">
        <w:rPr>
          <w:rFonts w:asciiTheme="minorHAnsi" w:hAnsiTheme="minorHAnsi"/>
          <w:sz w:val="24"/>
          <w:lang w:val="pl-PL"/>
        </w:rPr>
        <w:t> </w:t>
      </w:r>
      <w:r w:rsidRPr="00ED0C6A">
        <w:rPr>
          <w:rFonts w:asciiTheme="minorHAnsi" w:hAnsiTheme="minorHAnsi"/>
          <w:sz w:val="24"/>
          <w:lang w:val="pl-PL"/>
        </w:rPr>
        <w:t>sądy krajowe dokonują interpretacji wyroków Trybunału, nie powinno to prowadzić do</w:t>
      </w:r>
      <w:r w:rsidR="00335B71">
        <w:rPr>
          <w:rFonts w:asciiTheme="minorHAnsi" w:hAnsiTheme="minorHAnsi"/>
          <w:sz w:val="24"/>
          <w:lang w:val="pl-PL"/>
        </w:rPr>
        <w:t> </w:t>
      </w:r>
      <w:r w:rsidRPr="00ED0C6A">
        <w:rPr>
          <w:rFonts w:asciiTheme="minorHAnsi" w:hAnsiTheme="minorHAnsi"/>
          <w:sz w:val="24"/>
          <w:lang w:val="pl-PL"/>
        </w:rPr>
        <w:t>arbitralności. Istotną kwestią jest odpowiednie uzasadnienie orzeczeń krajowych w</w:t>
      </w:r>
      <w:r w:rsidR="00335B71">
        <w:rPr>
          <w:rFonts w:asciiTheme="minorHAnsi" w:hAnsiTheme="minorHAnsi"/>
          <w:sz w:val="24"/>
          <w:lang w:val="pl-PL"/>
        </w:rPr>
        <w:t> </w:t>
      </w:r>
      <w:r w:rsidRPr="00ED0C6A">
        <w:rPr>
          <w:rFonts w:asciiTheme="minorHAnsi" w:hAnsiTheme="minorHAnsi"/>
          <w:sz w:val="24"/>
          <w:lang w:val="pl-PL"/>
        </w:rPr>
        <w:t xml:space="preserve">przedmiocie oddalenia/nieuwzględnienia wniosku o wznowienie. Trybunał jednocześnie zachęca </w:t>
      </w:r>
      <w:r w:rsidR="00721A8D" w:rsidRPr="00ED0C6A">
        <w:rPr>
          <w:rFonts w:asciiTheme="minorHAnsi" w:hAnsiTheme="minorHAnsi"/>
          <w:sz w:val="24"/>
          <w:lang w:val="pl-PL"/>
        </w:rPr>
        <w:t xml:space="preserve">Państwa </w:t>
      </w:r>
      <w:r w:rsidRPr="00ED0C6A">
        <w:rPr>
          <w:rFonts w:asciiTheme="minorHAnsi" w:hAnsiTheme="minorHAnsi"/>
          <w:sz w:val="24"/>
          <w:lang w:val="pl-PL"/>
        </w:rPr>
        <w:t xml:space="preserve">do tworzenia tego typu procedur, które są istotnym instrumentem ułatwiającym wykonywanie wyroków Trybunału. Tym niemniej, Trybunał konsekwentnie podkreśla, że zarzuty dotyczące niewykonania w sposób właściwy jego wyroków, nie należą do jego kompetencji na podstawie art. 46 ust. 1 i 2 Konwencji, lecz powinny być rozpatrywane przez Komitet Ministrów. </w:t>
      </w:r>
    </w:p>
    <w:p w:rsidR="00FC2DA3" w:rsidRPr="00ED0C6A" w:rsidRDefault="00FC2DA3" w:rsidP="00BC6BCA">
      <w:pPr>
        <w:pStyle w:val="ClinContent"/>
        <w:spacing w:before="0"/>
        <w:rPr>
          <w:rFonts w:asciiTheme="minorHAnsi" w:hAnsiTheme="minorHAnsi"/>
          <w:sz w:val="24"/>
          <w:lang w:val="pl-PL"/>
        </w:rPr>
      </w:pPr>
    </w:p>
    <w:p w:rsidR="000E5818" w:rsidRPr="00ED0C6A" w:rsidRDefault="000E5818" w:rsidP="00BC6BCA">
      <w:pPr>
        <w:pStyle w:val="ClinContent"/>
        <w:spacing w:before="0"/>
        <w:rPr>
          <w:rFonts w:asciiTheme="minorHAnsi" w:hAnsiTheme="minorHAnsi"/>
          <w:sz w:val="24"/>
          <w:u w:val="single"/>
          <w:lang w:val="pl-PL"/>
        </w:rPr>
      </w:pPr>
      <w:r w:rsidRPr="00ED0C6A">
        <w:rPr>
          <w:rFonts w:asciiTheme="minorHAnsi" w:hAnsiTheme="minorHAnsi"/>
          <w:sz w:val="24"/>
          <w:lang w:val="pl-PL"/>
        </w:rPr>
        <w:t>Wyrok może mieć znaczenie zwłaszcza dla sędziów Sądu Najwyższego i Naczelnego Sądu Administracyjnego</w:t>
      </w:r>
      <w:r w:rsidR="000D134E" w:rsidRPr="00ED0C6A">
        <w:rPr>
          <w:rFonts w:asciiTheme="minorHAnsi" w:hAnsiTheme="minorHAnsi"/>
          <w:sz w:val="24"/>
          <w:lang w:val="pl-PL"/>
        </w:rPr>
        <w:t xml:space="preserve"> oraz sądów apelacyjnych</w:t>
      </w:r>
      <w:r w:rsidRPr="00ED0C6A">
        <w:rPr>
          <w:rFonts w:asciiTheme="minorHAnsi" w:hAnsiTheme="minorHAnsi"/>
          <w:sz w:val="24"/>
          <w:lang w:val="pl-PL"/>
        </w:rPr>
        <w:t xml:space="preserve">, a także </w:t>
      </w:r>
      <w:r w:rsidR="00837491" w:rsidRPr="00ED0C6A">
        <w:rPr>
          <w:rFonts w:asciiTheme="minorHAnsi" w:hAnsiTheme="minorHAnsi"/>
          <w:sz w:val="24"/>
          <w:lang w:val="pl-PL"/>
        </w:rPr>
        <w:t xml:space="preserve">organów właściwych ds. uregulowań prawnych i kontroli prawa </w:t>
      </w:r>
      <w:r w:rsidRPr="00ED0C6A">
        <w:rPr>
          <w:rFonts w:asciiTheme="minorHAnsi" w:hAnsiTheme="minorHAnsi"/>
          <w:sz w:val="24"/>
          <w:lang w:val="pl-PL"/>
        </w:rPr>
        <w:t xml:space="preserve">w kontekście </w:t>
      </w:r>
      <w:r w:rsidR="00837491" w:rsidRPr="00ED0C6A">
        <w:rPr>
          <w:rFonts w:asciiTheme="minorHAnsi" w:hAnsiTheme="minorHAnsi"/>
          <w:sz w:val="24"/>
          <w:lang w:val="pl-PL"/>
        </w:rPr>
        <w:t>wznowienia postępowań</w:t>
      </w:r>
      <w:r w:rsidR="009805D8" w:rsidRPr="00ED0C6A">
        <w:rPr>
          <w:rFonts w:asciiTheme="minorHAnsi" w:hAnsiTheme="minorHAnsi"/>
          <w:sz w:val="24"/>
          <w:lang w:val="pl-PL"/>
        </w:rPr>
        <w:t xml:space="preserve"> krajowych</w:t>
      </w:r>
      <w:r w:rsidRPr="00ED0C6A">
        <w:rPr>
          <w:rFonts w:asciiTheme="minorHAnsi" w:hAnsiTheme="minorHAnsi"/>
          <w:sz w:val="24"/>
          <w:lang w:val="pl-PL"/>
        </w:rPr>
        <w:t xml:space="preserve">. </w:t>
      </w:r>
      <w:r w:rsidR="000D134E" w:rsidRPr="00ED0C6A">
        <w:rPr>
          <w:rFonts w:asciiTheme="minorHAnsi" w:hAnsiTheme="minorHAnsi"/>
          <w:sz w:val="24"/>
          <w:lang w:val="pl-PL"/>
        </w:rPr>
        <w:t xml:space="preserve"> </w:t>
      </w:r>
    </w:p>
    <w:p w:rsidR="00BC6BCA" w:rsidRPr="00ED0C6A" w:rsidRDefault="00BC6BCA" w:rsidP="00BC6BCA">
      <w:pPr>
        <w:pStyle w:val="ClinContent"/>
        <w:spacing w:before="0"/>
        <w:rPr>
          <w:snapToGrid w:val="0"/>
          <w:lang w:val="pl-PL"/>
        </w:rPr>
      </w:pPr>
      <w:r w:rsidRPr="00ED0C6A">
        <w:rPr>
          <w:rFonts w:asciiTheme="minorHAnsi" w:hAnsiTheme="minorHAnsi"/>
          <w:sz w:val="24"/>
          <w:lang w:val="pl-PL"/>
        </w:rPr>
        <w:t xml:space="preserve"> </w:t>
      </w:r>
    </w:p>
    <w:p w:rsidR="002768A3" w:rsidRPr="00ED0C6A" w:rsidRDefault="002768A3" w:rsidP="009333A7">
      <w:pPr>
        <w:pStyle w:val="Nagwek2"/>
        <w:spacing w:before="480"/>
        <w:rPr>
          <w:rFonts w:asciiTheme="minorHAnsi" w:hAnsiTheme="minorHAnsi"/>
          <w:color w:val="auto"/>
          <w:sz w:val="24"/>
          <w:szCs w:val="24"/>
        </w:rPr>
      </w:pPr>
      <w:bookmarkStart w:id="24" w:name="_Toc524696740"/>
      <w:r w:rsidRPr="00ED0C6A">
        <w:rPr>
          <w:rFonts w:asciiTheme="minorHAnsi" w:hAnsiTheme="minorHAnsi"/>
          <w:color w:val="auto"/>
          <w:sz w:val="24"/>
          <w:szCs w:val="24"/>
        </w:rPr>
        <w:t>Regner p. Republice Czeskiej</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35289/11</w:t>
      </w:r>
      <w:r w:rsidR="004A22AD" w:rsidRPr="00ED0C6A">
        <w:rPr>
          <w:rFonts w:asciiTheme="minorHAnsi" w:hAnsiTheme="minorHAnsi"/>
          <w:color w:val="auto"/>
          <w:sz w:val="24"/>
          <w:szCs w:val="24"/>
        </w:rPr>
        <w:t>, w</w:t>
      </w:r>
      <w:r w:rsidRPr="00ED0C6A">
        <w:rPr>
          <w:rFonts w:asciiTheme="minorHAnsi" w:hAnsiTheme="minorHAnsi"/>
          <w:color w:val="auto"/>
          <w:sz w:val="24"/>
          <w:szCs w:val="24"/>
        </w:rPr>
        <w:t>yrok</w:t>
      </w:r>
      <w:r w:rsidR="00FA6421" w:rsidRPr="00ED0C6A">
        <w:rPr>
          <w:rFonts w:asciiTheme="minorHAnsi" w:hAnsiTheme="minorHAnsi"/>
          <w:color w:val="auto"/>
          <w:sz w:val="24"/>
          <w:szCs w:val="24"/>
        </w:rPr>
        <w:t xml:space="preserve"> Wielkiej Izby</w:t>
      </w:r>
      <w:r w:rsidRPr="00ED0C6A">
        <w:rPr>
          <w:rFonts w:asciiTheme="minorHAnsi" w:hAnsiTheme="minorHAnsi"/>
          <w:color w:val="auto"/>
          <w:sz w:val="24"/>
          <w:szCs w:val="24"/>
        </w:rPr>
        <w:t xml:space="preserve"> z 19</w:t>
      </w:r>
      <w:r w:rsidR="00B4260D" w:rsidRPr="00ED0C6A">
        <w:rPr>
          <w:rFonts w:asciiTheme="minorHAnsi" w:hAnsiTheme="minorHAnsi"/>
          <w:color w:val="auto"/>
          <w:sz w:val="24"/>
          <w:szCs w:val="24"/>
        </w:rPr>
        <w:t xml:space="preserve"> września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24"/>
    </w:p>
    <w:p w:rsidR="002768A3" w:rsidRPr="00ED0C6A" w:rsidRDefault="00097002"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zastosowalność i brak naruszenia art. 6 Konwencji (prawo do rzetelnego procesu sądowego – aspekt </w:t>
      </w:r>
      <w:r w:rsidR="00A56F88" w:rsidRPr="00ED0C6A">
        <w:rPr>
          <w:b/>
          <w:color w:val="000000" w:themeColor="text1"/>
          <w:sz w:val="24"/>
          <w:szCs w:val="24"/>
          <w:lang w:val="pl-PL"/>
        </w:rPr>
        <w:t>równości broni i kontradyktoryjności oraz</w:t>
      </w:r>
      <w:r w:rsidRPr="00ED0C6A">
        <w:rPr>
          <w:b/>
          <w:color w:val="000000" w:themeColor="text1"/>
          <w:sz w:val="24"/>
          <w:szCs w:val="24"/>
          <w:lang w:val="pl-PL"/>
        </w:rPr>
        <w:t xml:space="preserve"> sprawiedliwego rozpatrzenia sprawy) w odniesieniu do brak</w:t>
      </w:r>
      <w:r w:rsidR="00596B0A" w:rsidRPr="00ED0C6A">
        <w:rPr>
          <w:b/>
          <w:color w:val="000000" w:themeColor="text1"/>
          <w:sz w:val="24"/>
          <w:szCs w:val="24"/>
          <w:lang w:val="pl-PL"/>
        </w:rPr>
        <w:t>u</w:t>
      </w:r>
      <w:r w:rsidRPr="00ED0C6A">
        <w:rPr>
          <w:b/>
          <w:color w:val="000000" w:themeColor="text1"/>
          <w:sz w:val="24"/>
          <w:szCs w:val="24"/>
          <w:lang w:val="pl-PL"/>
        </w:rPr>
        <w:t xml:space="preserve"> dostępu do informacji niejawnych będących decydującymi dowodami w postępowaniu prowadzonym w ramach sądowej kontroli decyzji Agencji Bezpieczeństwa Wewnętrznego w sprawie cofnięcia poświadczenia bezpieczeństwa</w:t>
      </w: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We wrześniu 2006 r. Agencja Bezpieczeństwa </w:t>
      </w:r>
      <w:r w:rsidR="00A42949" w:rsidRPr="00ED0C6A">
        <w:rPr>
          <w:rFonts w:asciiTheme="minorHAnsi" w:hAnsiTheme="minorHAnsi"/>
          <w:sz w:val="24"/>
          <w:lang w:val="pl-PL"/>
        </w:rPr>
        <w:t>Narodoweg</w:t>
      </w:r>
      <w:r w:rsidRPr="00ED0C6A">
        <w:rPr>
          <w:rFonts w:asciiTheme="minorHAnsi" w:hAnsiTheme="minorHAnsi"/>
          <w:sz w:val="24"/>
          <w:lang w:val="pl-PL"/>
        </w:rPr>
        <w:t xml:space="preserve">o wydała decyzję o </w:t>
      </w:r>
      <w:r w:rsidR="00A42949" w:rsidRPr="00ED0C6A">
        <w:rPr>
          <w:rFonts w:asciiTheme="minorHAnsi" w:hAnsiTheme="minorHAnsi"/>
          <w:sz w:val="24"/>
          <w:lang w:val="pl-PL"/>
        </w:rPr>
        <w:t>cofnięciu</w:t>
      </w:r>
      <w:r w:rsidRPr="00ED0C6A">
        <w:rPr>
          <w:rFonts w:asciiTheme="minorHAnsi" w:hAnsiTheme="minorHAnsi"/>
          <w:sz w:val="24"/>
          <w:lang w:val="pl-PL"/>
        </w:rPr>
        <w:t xml:space="preserve"> poświadczenia bezpieczeństwa skarżącego, umożliwiającego mu sprawowanie funkcji zastępcy pierwszego wiceministra obrony, na tej podstawie, że stwarzał on zagrożenie dla</w:t>
      </w:r>
      <w:r w:rsidR="00335B71">
        <w:rPr>
          <w:rFonts w:asciiTheme="minorHAnsi" w:hAnsiTheme="minorHAnsi"/>
          <w:sz w:val="24"/>
          <w:lang w:val="pl-PL"/>
        </w:rPr>
        <w:t> </w:t>
      </w:r>
      <w:r w:rsidRPr="00ED0C6A">
        <w:rPr>
          <w:rFonts w:asciiTheme="minorHAnsi" w:hAnsiTheme="minorHAnsi"/>
          <w:sz w:val="24"/>
          <w:lang w:val="pl-PL"/>
        </w:rPr>
        <w:t xml:space="preserve">bezpieczeństwa narodowego. Decyzja </w:t>
      </w:r>
      <w:r w:rsidR="00A42949" w:rsidRPr="00ED0C6A">
        <w:rPr>
          <w:rFonts w:asciiTheme="minorHAnsi" w:hAnsiTheme="minorHAnsi"/>
          <w:sz w:val="24"/>
          <w:lang w:val="pl-PL"/>
        </w:rPr>
        <w:t xml:space="preserve">ta </w:t>
      </w:r>
      <w:r w:rsidRPr="00ED0C6A">
        <w:rPr>
          <w:rFonts w:asciiTheme="minorHAnsi" w:hAnsiTheme="minorHAnsi"/>
          <w:sz w:val="24"/>
          <w:lang w:val="pl-PL"/>
        </w:rPr>
        <w:t xml:space="preserve">nie wskazywała jednak informacji niejawnych, na których się opierała, </w:t>
      </w:r>
      <w:r w:rsidR="00E64FEA" w:rsidRPr="00ED0C6A">
        <w:rPr>
          <w:rFonts w:asciiTheme="minorHAnsi" w:hAnsiTheme="minorHAnsi"/>
          <w:sz w:val="24"/>
          <w:lang w:val="pl-PL"/>
        </w:rPr>
        <w:t xml:space="preserve">gdyż </w:t>
      </w:r>
      <w:r w:rsidRPr="00ED0C6A">
        <w:rPr>
          <w:rFonts w:asciiTheme="minorHAnsi" w:hAnsiTheme="minorHAnsi"/>
          <w:sz w:val="24"/>
          <w:lang w:val="pl-PL"/>
        </w:rPr>
        <w:t xml:space="preserve">były one opatrzone klauzulą „zastrzeżone” i zgodnie z prawem nie mogły być ujawnione skarżącemu. </w:t>
      </w:r>
    </w:p>
    <w:p w:rsidR="00E64FEA" w:rsidRPr="00ED0C6A" w:rsidRDefault="00E64FEA"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Po wniesieniu odwołania przez skarżącego dyrektor Agencji potwierdził istnienie t</w:t>
      </w:r>
      <w:r w:rsidR="00A42949" w:rsidRPr="00ED0C6A">
        <w:rPr>
          <w:rFonts w:asciiTheme="minorHAnsi" w:hAnsiTheme="minorHAnsi"/>
          <w:sz w:val="24"/>
          <w:lang w:val="pl-PL"/>
        </w:rPr>
        <w:t>aki</w:t>
      </w:r>
      <w:r w:rsidRPr="00ED0C6A">
        <w:rPr>
          <w:rFonts w:asciiTheme="minorHAnsi" w:hAnsiTheme="minorHAnsi"/>
          <w:sz w:val="24"/>
          <w:lang w:val="pl-PL"/>
        </w:rPr>
        <w:t xml:space="preserve">ego zagrożenia. Wniosek skarżącego o dokonanie sądowej kontroli tej decyzji został następnie oddalony przez Sąd Miejski, któremu Agencja przekazała przedmiotowe dokumenty. Skarżącemu i jego adwokatowi nie zezwolono na zapoznanie się z nimi. Kolejne odwołania skarżącego </w:t>
      </w:r>
      <w:r w:rsidR="00A42949" w:rsidRPr="00ED0C6A">
        <w:rPr>
          <w:rFonts w:asciiTheme="minorHAnsi" w:hAnsiTheme="minorHAnsi"/>
          <w:sz w:val="24"/>
          <w:lang w:val="pl-PL"/>
        </w:rPr>
        <w:t>zakończyły się niepowodzeniem</w:t>
      </w:r>
      <w:r w:rsidRPr="00ED0C6A">
        <w:rPr>
          <w:rFonts w:asciiTheme="minorHAnsi" w:hAnsiTheme="minorHAnsi"/>
          <w:sz w:val="24"/>
          <w:lang w:val="pl-PL"/>
        </w:rPr>
        <w:t xml:space="preserve">. </w:t>
      </w:r>
    </w:p>
    <w:p w:rsidR="00E64FEA" w:rsidRPr="00ED0C6A" w:rsidRDefault="00E64FEA"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Na podstawie art. 6 ust. 1 Konwencji </w:t>
      </w:r>
      <w:r w:rsidR="00E64FEA" w:rsidRPr="00ED0C6A">
        <w:rPr>
          <w:rFonts w:asciiTheme="minorHAnsi" w:hAnsiTheme="minorHAnsi"/>
          <w:sz w:val="24"/>
          <w:lang w:val="pl-PL"/>
        </w:rPr>
        <w:t xml:space="preserve">(prawo do rzetelnego procesu sądowego) </w:t>
      </w:r>
      <w:r w:rsidRPr="00ED0C6A">
        <w:rPr>
          <w:rFonts w:asciiTheme="minorHAnsi" w:hAnsiTheme="minorHAnsi"/>
          <w:sz w:val="24"/>
          <w:lang w:val="pl-PL"/>
        </w:rPr>
        <w:t xml:space="preserve">skarżący zarzucał, że postępowanie administracyjne było nierzetelne, gdyż nie mógł on uzyskać wglądu w decydujące dowody, sklasyfikowane jako informacje niejawne, a które zostały udostępnione sądom przez pozwany organ. </w:t>
      </w:r>
    </w:p>
    <w:p w:rsidR="00E64FEA" w:rsidRPr="00ED0C6A" w:rsidRDefault="00E64FEA"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W wyroku z </w:t>
      </w:r>
      <w:r w:rsidR="00E64FEA" w:rsidRPr="00ED0C6A">
        <w:rPr>
          <w:rFonts w:asciiTheme="minorHAnsi" w:hAnsiTheme="minorHAnsi"/>
          <w:sz w:val="24"/>
          <w:lang w:val="pl-PL"/>
        </w:rPr>
        <w:t xml:space="preserve">dnia </w:t>
      </w:r>
      <w:r w:rsidRPr="00ED0C6A">
        <w:rPr>
          <w:rFonts w:asciiTheme="minorHAnsi" w:hAnsiTheme="minorHAnsi"/>
          <w:sz w:val="24"/>
          <w:lang w:val="pl-PL"/>
        </w:rPr>
        <w:t>26 listopada 2015 r. Izba Trybunału jednomyślnie orzekła, że nie doszło do</w:t>
      </w:r>
      <w:r w:rsidR="00335B71">
        <w:rPr>
          <w:rFonts w:asciiTheme="minorHAnsi" w:hAnsiTheme="minorHAnsi"/>
          <w:sz w:val="24"/>
          <w:lang w:val="pl-PL"/>
        </w:rPr>
        <w:t> </w:t>
      </w:r>
      <w:r w:rsidRPr="00ED0C6A">
        <w:rPr>
          <w:rFonts w:asciiTheme="minorHAnsi" w:hAnsiTheme="minorHAnsi"/>
          <w:sz w:val="24"/>
          <w:lang w:val="pl-PL"/>
        </w:rPr>
        <w:t>naruszenia art. 6 ust. 1 Konwencji, stwierdzając, że proces decyzyjny w możliwym zakresie spełniał wymogi kontradyktoryjności i równości broni oraz uwzględniał odpowiednie gwarancje ochrony interesów skarżącego.</w:t>
      </w:r>
    </w:p>
    <w:p w:rsidR="00E64FEA" w:rsidRPr="00ED0C6A" w:rsidRDefault="00E64FEA"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W dniu 2 maja 2016 r. sprawa została na wniosek skarżącego przekazana do Wielkiej Izby. </w:t>
      </w:r>
    </w:p>
    <w:p w:rsidR="002768A3" w:rsidRPr="00ED0C6A" w:rsidRDefault="00E64FEA" w:rsidP="008176C7">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E64FEA" w:rsidRPr="00ED0C6A" w:rsidRDefault="00E64FEA"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Wielka Izba w pierwszej kolejności zbadała, </w:t>
      </w:r>
      <w:r w:rsidRPr="00ED0C6A">
        <w:rPr>
          <w:rFonts w:asciiTheme="minorHAnsi" w:hAnsiTheme="minorHAnsi"/>
          <w:i/>
          <w:sz w:val="24"/>
          <w:u w:val="single"/>
          <w:lang w:val="pl-PL"/>
        </w:rPr>
        <w:t>czy art. 6 ust. 1 Konwencji, chroniący prawo do</w:t>
      </w:r>
      <w:r w:rsidR="00335B71">
        <w:rPr>
          <w:rFonts w:asciiTheme="minorHAnsi" w:hAnsiTheme="minorHAnsi"/>
          <w:i/>
          <w:sz w:val="24"/>
          <w:u w:val="single"/>
          <w:lang w:val="pl-PL"/>
        </w:rPr>
        <w:t> </w:t>
      </w:r>
      <w:r w:rsidRPr="00ED0C6A">
        <w:rPr>
          <w:rFonts w:asciiTheme="minorHAnsi" w:hAnsiTheme="minorHAnsi"/>
          <w:i/>
          <w:sz w:val="24"/>
          <w:u w:val="single"/>
          <w:lang w:val="pl-PL"/>
        </w:rPr>
        <w:t>rzetelnego procesu sądowego, ma</w:t>
      </w:r>
      <w:r w:rsidR="002768A3" w:rsidRPr="00ED0C6A">
        <w:rPr>
          <w:rFonts w:asciiTheme="minorHAnsi" w:hAnsiTheme="minorHAnsi"/>
          <w:i/>
          <w:sz w:val="24"/>
          <w:u w:val="single"/>
          <w:lang w:val="pl-PL"/>
        </w:rPr>
        <w:t xml:space="preserve"> </w:t>
      </w:r>
      <w:r w:rsidRPr="00ED0C6A">
        <w:rPr>
          <w:rFonts w:asciiTheme="minorHAnsi" w:hAnsiTheme="minorHAnsi"/>
          <w:i/>
          <w:sz w:val="24"/>
          <w:u w:val="single"/>
          <w:lang w:val="pl-PL"/>
        </w:rPr>
        <w:t>zastosowanie</w:t>
      </w:r>
      <w:r w:rsidRPr="00ED0C6A">
        <w:rPr>
          <w:rFonts w:asciiTheme="minorHAnsi" w:hAnsiTheme="minorHAnsi"/>
          <w:i/>
          <w:sz w:val="24"/>
          <w:lang w:val="pl-PL"/>
        </w:rPr>
        <w:t xml:space="preserve"> w sprawie skarżącego.</w:t>
      </w:r>
    </w:p>
    <w:p w:rsidR="00E64FEA" w:rsidRPr="00ED0C6A" w:rsidRDefault="00E64FEA" w:rsidP="008176C7">
      <w:pPr>
        <w:pStyle w:val="ClinContent"/>
        <w:spacing w:before="0"/>
        <w:rPr>
          <w:rFonts w:asciiTheme="minorHAnsi" w:hAnsiTheme="minorHAnsi"/>
          <w:i/>
          <w:sz w:val="24"/>
          <w:lang w:val="pl-PL"/>
        </w:rPr>
      </w:pPr>
    </w:p>
    <w:p w:rsidR="002768A3" w:rsidRPr="00ED0C6A" w:rsidRDefault="00E64FEA" w:rsidP="008176C7">
      <w:pPr>
        <w:pStyle w:val="ClinContent"/>
        <w:spacing w:before="0"/>
        <w:rPr>
          <w:rFonts w:asciiTheme="minorHAnsi" w:hAnsiTheme="minorHAnsi"/>
          <w:sz w:val="24"/>
          <w:lang w:val="pl-PL"/>
        </w:rPr>
      </w:pPr>
      <w:r w:rsidRPr="00ED0C6A">
        <w:rPr>
          <w:rFonts w:asciiTheme="minorHAnsi" w:hAnsiTheme="minorHAnsi"/>
          <w:sz w:val="24"/>
          <w:lang w:val="pl-PL"/>
        </w:rPr>
        <w:t>Zauważyła, że m</w:t>
      </w:r>
      <w:r w:rsidR="002768A3" w:rsidRPr="00ED0C6A">
        <w:rPr>
          <w:rFonts w:asciiTheme="minorHAnsi" w:hAnsiTheme="minorHAnsi"/>
          <w:sz w:val="24"/>
          <w:lang w:val="pl-PL"/>
        </w:rPr>
        <w:t>ożliwość wypełniania obowiązków przez skarżącego była uzależniona od</w:t>
      </w:r>
      <w:r w:rsidR="00335B71">
        <w:rPr>
          <w:rFonts w:asciiTheme="minorHAnsi" w:hAnsiTheme="minorHAnsi"/>
          <w:sz w:val="24"/>
          <w:lang w:val="pl-PL"/>
        </w:rPr>
        <w:t> </w:t>
      </w:r>
      <w:r w:rsidR="002768A3" w:rsidRPr="00ED0C6A">
        <w:rPr>
          <w:rFonts w:asciiTheme="minorHAnsi" w:hAnsiTheme="minorHAnsi"/>
          <w:sz w:val="24"/>
          <w:lang w:val="pl-PL"/>
        </w:rPr>
        <w:t xml:space="preserve">posiadania upoważnienia do dostępu do informacji niejawnych. </w:t>
      </w:r>
      <w:r w:rsidR="00A42949" w:rsidRPr="00ED0C6A">
        <w:rPr>
          <w:rFonts w:asciiTheme="minorHAnsi" w:hAnsiTheme="minorHAnsi"/>
          <w:sz w:val="24"/>
          <w:lang w:val="pl-PL"/>
        </w:rPr>
        <w:t>Cofnięcie</w:t>
      </w:r>
      <w:r w:rsidR="002768A3" w:rsidRPr="00ED0C6A">
        <w:rPr>
          <w:rFonts w:asciiTheme="minorHAnsi" w:hAnsiTheme="minorHAnsi"/>
          <w:sz w:val="24"/>
          <w:lang w:val="pl-PL"/>
        </w:rPr>
        <w:t xml:space="preserve"> jego poświadczenia bezpieczeństwa uniemożliwiało mu zatem pełne wykonywanie swych obowiązków i miało niekorzystny wpływ na jego zdolność otrzymania nowego stanowiska w</w:t>
      </w:r>
      <w:r w:rsidR="00335B71">
        <w:rPr>
          <w:rFonts w:asciiTheme="minorHAnsi" w:hAnsiTheme="minorHAnsi"/>
          <w:sz w:val="24"/>
          <w:lang w:val="pl-PL"/>
        </w:rPr>
        <w:t> </w:t>
      </w:r>
      <w:r w:rsidR="002768A3" w:rsidRPr="00ED0C6A">
        <w:rPr>
          <w:rFonts w:asciiTheme="minorHAnsi" w:hAnsiTheme="minorHAnsi"/>
          <w:sz w:val="24"/>
          <w:lang w:val="pl-PL"/>
        </w:rPr>
        <w:t xml:space="preserve">służbie cywilnej. W tych okolicznościach związek między decyzją o </w:t>
      </w:r>
      <w:r w:rsidR="00A42949" w:rsidRPr="00ED0C6A">
        <w:rPr>
          <w:rFonts w:asciiTheme="minorHAnsi" w:hAnsiTheme="minorHAnsi"/>
          <w:sz w:val="24"/>
          <w:lang w:val="pl-PL"/>
        </w:rPr>
        <w:t xml:space="preserve">cofnięciu </w:t>
      </w:r>
      <w:r w:rsidR="002768A3" w:rsidRPr="00ED0C6A">
        <w:rPr>
          <w:rFonts w:asciiTheme="minorHAnsi" w:hAnsiTheme="minorHAnsi"/>
          <w:sz w:val="24"/>
          <w:lang w:val="pl-PL"/>
        </w:rPr>
        <w:t>poświadczenia bezpieczeństwa skarżącego a utratą jego zatrudnienia i obowiązków nie był wątpliwy bądź</w:t>
      </w:r>
      <w:r w:rsidR="00335B71">
        <w:rPr>
          <w:rFonts w:asciiTheme="minorHAnsi" w:hAnsiTheme="minorHAnsi"/>
          <w:sz w:val="24"/>
          <w:lang w:val="pl-PL"/>
        </w:rPr>
        <w:t> </w:t>
      </w:r>
      <w:r w:rsidR="002768A3" w:rsidRPr="00ED0C6A">
        <w:rPr>
          <w:rFonts w:asciiTheme="minorHAnsi" w:hAnsiTheme="minorHAnsi"/>
          <w:sz w:val="24"/>
          <w:lang w:val="pl-PL"/>
        </w:rPr>
        <w:t xml:space="preserve">odległy. A zatem może on powoływać się na prawo do kwestionowania przed sądami zgodności z prawem odwołania jego poświadczenia. </w:t>
      </w:r>
    </w:p>
    <w:p w:rsidR="00E64FEA" w:rsidRPr="00ED0C6A" w:rsidRDefault="00E64FEA"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Stosunek </w:t>
      </w:r>
      <w:r w:rsidR="00A42949" w:rsidRPr="00ED0C6A">
        <w:rPr>
          <w:rFonts w:asciiTheme="minorHAnsi" w:hAnsiTheme="minorHAnsi"/>
          <w:sz w:val="24"/>
          <w:lang w:val="pl-PL"/>
        </w:rPr>
        <w:t>pracy</w:t>
      </w:r>
      <w:r w:rsidRPr="00ED0C6A">
        <w:rPr>
          <w:rFonts w:asciiTheme="minorHAnsi" w:hAnsiTheme="minorHAnsi"/>
          <w:sz w:val="24"/>
          <w:lang w:val="pl-PL"/>
        </w:rPr>
        <w:t xml:space="preserve"> między skarżącym a Ministerstwem Obrony opierał się na postanowieniach Kodeksu Pracy, które nie zawierały żadnych szczególnych postanowień mających zastosowanie do funkcji sprawowanych w ramach administracji państwowej, a</w:t>
      </w:r>
      <w:r w:rsidR="00110B07">
        <w:rPr>
          <w:rFonts w:asciiTheme="minorHAnsi" w:hAnsiTheme="minorHAnsi"/>
          <w:sz w:val="24"/>
          <w:lang w:val="pl-PL"/>
        </w:rPr>
        <w:t> </w:t>
      </w:r>
      <w:r w:rsidRPr="00ED0C6A">
        <w:rPr>
          <w:rFonts w:asciiTheme="minorHAnsi" w:hAnsiTheme="minorHAnsi"/>
          <w:sz w:val="24"/>
          <w:lang w:val="pl-PL"/>
        </w:rPr>
        <w:t>więc</w:t>
      </w:r>
      <w:r w:rsidR="00110B07">
        <w:rPr>
          <w:rFonts w:asciiTheme="minorHAnsi" w:hAnsiTheme="minorHAnsi"/>
          <w:sz w:val="24"/>
          <w:lang w:val="pl-PL"/>
        </w:rPr>
        <w:t> </w:t>
      </w:r>
      <w:r w:rsidRPr="00ED0C6A">
        <w:rPr>
          <w:rFonts w:asciiTheme="minorHAnsi" w:hAnsiTheme="minorHAnsi"/>
          <w:sz w:val="24"/>
          <w:lang w:val="pl-PL"/>
        </w:rPr>
        <w:t>w</w:t>
      </w:r>
      <w:r w:rsidR="00335B71">
        <w:rPr>
          <w:rFonts w:asciiTheme="minorHAnsi" w:hAnsiTheme="minorHAnsi"/>
          <w:sz w:val="24"/>
          <w:lang w:val="pl-PL"/>
        </w:rPr>
        <w:t> </w:t>
      </w:r>
      <w:r w:rsidRPr="00ED0C6A">
        <w:rPr>
          <w:rFonts w:asciiTheme="minorHAnsi" w:hAnsiTheme="minorHAnsi"/>
          <w:sz w:val="24"/>
          <w:lang w:val="pl-PL"/>
        </w:rPr>
        <w:t>przedmiotowym czasie nie było służby cywilnej, w tradycyjnym rozumieniu tego terminu, nakładającej na urzędników publicznych obowiązki i przywileje wychodzące poza zakres zwykłych ustaw. Ponieważ spory dotyczące zatrudnienia dotyczyły praw o charakterze cywilnym w rozumieniu art. 6 ust. 1 Konwencji, decyzja o cofnięciu poświadczenia bezpieczeństwa skarżącego oraz prowadzone następnie postępowania miały wpływ na</w:t>
      </w:r>
      <w:r w:rsidR="00335B71">
        <w:rPr>
          <w:rFonts w:asciiTheme="minorHAnsi" w:hAnsiTheme="minorHAnsi"/>
          <w:sz w:val="24"/>
          <w:lang w:val="pl-PL"/>
        </w:rPr>
        <w:t> </w:t>
      </w:r>
      <w:r w:rsidRPr="00ED0C6A">
        <w:rPr>
          <w:rFonts w:asciiTheme="minorHAnsi" w:hAnsiTheme="minorHAnsi"/>
          <w:sz w:val="24"/>
          <w:lang w:val="pl-PL"/>
        </w:rPr>
        <w:t>jego</w:t>
      </w:r>
      <w:r w:rsidR="00335B71">
        <w:rPr>
          <w:rFonts w:asciiTheme="minorHAnsi" w:hAnsiTheme="minorHAnsi"/>
          <w:sz w:val="24"/>
          <w:lang w:val="pl-PL"/>
        </w:rPr>
        <w:t> </w:t>
      </w:r>
      <w:r w:rsidRPr="00ED0C6A">
        <w:rPr>
          <w:rFonts w:asciiTheme="minorHAnsi" w:hAnsiTheme="minorHAnsi"/>
          <w:sz w:val="24"/>
          <w:lang w:val="pl-PL"/>
        </w:rPr>
        <w:t xml:space="preserve">prawa o charakterze cywilnym. </w:t>
      </w:r>
    </w:p>
    <w:p w:rsidR="00E64FEA" w:rsidRPr="00ED0C6A" w:rsidRDefault="00E64FEA"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W tej sytuacji, przyjmując</w:t>
      </w:r>
      <w:r w:rsidR="00A42949" w:rsidRPr="00ED0C6A">
        <w:rPr>
          <w:rFonts w:asciiTheme="minorHAnsi" w:hAnsiTheme="minorHAnsi"/>
          <w:sz w:val="24"/>
          <w:lang w:val="pl-PL"/>
        </w:rPr>
        <w:t xml:space="preserve"> nawet</w:t>
      </w:r>
      <w:r w:rsidRPr="00ED0C6A">
        <w:rPr>
          <w:rFonts w:asciiTheme="minorHAnsi" w:hAnsiTheme="minorHAnsi"/>
          <w:sz w:val="24"/>
          <w:lang w:val="pl-PL"/>
        </w:rPr>
        <w:t xml:space="preserve">, że skarżącego należało uważać za urzędnika </w:t>
      </w:r>
      <w:r w:rsidR="00A42949" w:rsidRPr="00ED0C6A">
        <w:rPr>
          <w:rFonts w:asciiTheme="minorHAnsi" w:hAnsiTheme="minorHAnsi"/>
          <w:sz w:val="24"/>
          <w:lang w:val="pl-PL"/>
        </w:rPr>
        <w:t xml:space="preserve">służby </w:t>
      </w:r>
      <w:r w:rsidRPr="00ED0C6A">
        <w:rPr>
          <w:rFonts w:asciiTheme="minorHAnsi" w:hAnsiTheme="minorHAnsi"/>
          <w:sz w:val="24"/>
          <w:lang w:val="pl-PL"/>
        </w:rPr>
        <w:t>c</w:t>
      </w:r>
      <w:r w:rsidR="00A42949" w:rsidRPr="00ED0C6A">
        <w:rPr>
          <w:rFonts w:asciiTheme="minorHAnsi" w:hAnsiTheme="minorHAnsi"/>
          <w:sz w:val="24"/>
          <w:lang w:val="pl-PL"/>
        </w:rPr>
        <w:t>ywilnej</w:t>
      </w:r>
      <w:r w:rsidRPr="00ED0C6A">
        <w:rPr>
          <w:rFonts w:asciiTheme="minorHAnsi" w:hAnsiTheme="minorHAnsi"/>
          <w:sz w:val="24"/>
          <w:lang w:val="pl-PL"/>
        </w:rPr>
        <w:t xml:space="preserve">, miał on możliwość wystąpienia do sądów administracyjnych o kontrolę sądową decyzji Agencji. W konsekwencji </w:t>
      </w:r>
      <w:r w:rsidR="00E64FEA" w:rsidRPr="00ED0C6A">
        <w:rPr>
          <w:rFonts w:asciiTheme="minorHAnsi" w:hAnsiTheme="minorHAnsi"/>
          <w:sz w:val="24"/>
          <w:lang w:val="pl-PL"/>
        </w:rPr>
        <w:t xml:space="preserve">Trybunał uznał, że </w:t>
      </w:r>
      <w:r w:rsidRPr="00ED0C6A">
        <w:rPr>
          <w:rFonts w:asciiTheme="minorHAnsi" w:hAnsiTheme="minorHAnsi"/>
          <w:sz w:val="24"/>
          <w:lang w:val="pl-PL"/>
        </w:rPr>
        <w:t>art. 6 ma zastosowanie w obecnej sp</w:t>
      </w:r>
      <w:r w:rsidR="00E64FEA" w:rsidRPr="00ED0C6A">
        <w:rPr>
          <w:rFonts w:asciiTheme="minorHAnsi" w:hAnsiTheme="minorHAnsi"/>
          <w:sz w:val="24"/>
          <w:lang w:val="pl-PL"/>
        </w:rPr>
        <w:t xml:space="preserve">rawie w swym aspekcie cywilnym, a </w:t>
      </w:r>
      <w:r w:rsidRPr="00ED0C6A">
        <w:rPr>
          <w:rFonts w:asciiTheme="minorHAnsi" w:hAnsiTheme="minorHAnsi"/>
          <w:sz w:val="24"/>
          <w:lang w:val="pl-PL"/>
        </w:rPr>
        <w:t xml:space="preserve">zatem skarżący może </w:t>
      </w:r>
      <w:r w:rsidR="00A42949" w:rsidRPr="00ED0C6A">
        <w:rPr>
          <w:rFonts w:asciiTheme="minorHAnsi" w:hAnsiTheme="minorHAnsi"/>
          <w:sz w:val="24"/>
          <w:lang w:val="pl-PL"/>
        </w:rPr>
        <w:t xml:space="preserve">powoływać się na </w:t>
      </w:r>
      <w:r w:rsidRPr="00ED0C6A">
        <w:rPr>
          <w:rFonts w:asciiTheme="minorHAnsi" w:hAnsiTheme="minorHAnsi"/>
          <w:sz w:val="24"/>
          <w:lang w:val="pl-PL"/>
        </w:rPr>
        <w:t>status ofiary na potrzeby art. 34 Konwencji.</w:t>
      </w:r>
      <w:r w:rsidR="00E64FEA" w:rsidRPr="00ED0C6A">
        <w:rPr>
          <w:rFonts w:asciiTheme="minorHAnsi" w:hAnsiTheme="minorHAnsi"/>
          <w:sz w:val="24"/>
          <w:lang w:val="pl-PL"/>
        </w:rPr>
        <w:t xml:space="preserve"> Trybunał piętnastoma głosami do dwóch</w:t>
      </w:r>
      <w:r w:rsidRPr="00ED0C6A">
        <w:rPr>
          <w:rFonts w:asciiTheme="minorHAnsi" w:hAnsiTheme="minorHAnsi"/>
          <w:sz w:val="24"/>
          <w:lang w:val="pl-PL"/>
        </w:rPr>
        <w:t xml:space="preserve"> </w:t>
      </w:r>
      <w:r w:rsidR="00C9049C" w:rsidRPr="00ED0C6A">
        <w:rPr>
          <w:rFonts w:asciiTheme="minorHAnsi" w:hAnsiTheme="minorHAnsi"/>
          <w:sz w:val="24"/>
          <w:lang w:val="pl-PL"/>
        </w:rPr>
        <w:t>oddalił zastrzeżenia</w:t>
      </w:r>
      <w:r w:rsidR="00E64FEA" w:rsidRPr="00ED0C6A">
        <w:rPr>
          <w:rFonts w:asciiTheme="minorHAnsi" w:hAnsiTheme="minorHAnsi"/>
          <w:sz w:val="24"/>
          <w:lang w:val="pl-PL"/>
        </w:rPr>
        <w:t xml:space="preserve"> wstępne zgłoszone w tym względzie przez Rząd. </w:t>
      </w:r>
    </w:p>
    <w:p w:rsidR="002768A3" w:rsidRPr="00ED0C6A" w:rsidRDefault="00E64FEA" w:rsidP="008176C7">
      <w:pPr>
        <w:pStyle w:val="ClinContent"/>
        <w:spacing w:before="0"/>
        <w:rPr>
          <w:rFonts w:asciiTheme="minorHAnsi" w:hAnsiTheme="minorHAnsi"/>
          <w:sz w:val="24"/>
          <w:lang w:val="pl-PL"/>
        </w:rPr>
      </w:pPr>
      <w:r w:rsidRPr="00ED0C6A">
        <w:rPr>
          <w:rFonts w:asciiTheme="minorHAnsi" w:hAnsiTheme="minorHAnsi"/>
          <w:i/>
          <w:sz w:val="24"/>
          <w:lang w:val="pl-PL"/>
        </w:rPr>
        <w:t xml:space="preserve"> </w:t>
      </w:r>
    </w:p>
    <w:p w:rsidR="00C9049C" w:rsidRPr="00ED0C6A" w:rsidRDefault="00C9049C"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Rozpatrując </w:t>
      </w:r>
      <w:r w:rsidRPr="00ED0C6A">
        <w:rPr>
          <w:rFonts w:asciiTheme="minorHAnsi" w:hAnsiTheme="minorHAnsi"/>
          <w:i/>
          <w:sz w:val="24"/>
          <w:u w:val="single"/>
          <w:lang w:val="pl-PL"/>
        </w:rPr>
        <w:t>p</w:t>
      </w:r>
      <w:r w:rsidR="002768A3" w:rsidRPr="00ED0C6A">
        <w:rPr>
          <w:rFonts w:asciiTheme="minorHAnsi" w:hAnsiTheme="minorHAnsi"/>
          <w:i/>
          <w:sz w:val="24"/>
          <w:u w:val="single"/>
          <w:lang w:val="pl-PL"/>
        </w:rPr>
        <w:t>rzedmiot sprawy</w:t>
      </w:r>
      <w:r w:rsidRPr="00ED0C6A">
        <w:rPr>
          <w:rFonts w:asciiTheme="minorHAnsi" w:hAnsiTheme="minorHAnsi"/>
          <w:i/>
          <w:sz w:val="24"/>
          <w:u w:val="single"/>
          <w:lang w:val="pl-PL"/>
        </w:rPr>
        <w:t>,</w:t>
      </w:r>
      <w:r w:rsidRPr="00ED0C6A">
        <w:rPr>
          <w:rFonts w:asciiTheme="minorHAnsi" w:hAnsiTheme="minorHAnsi"/>
          <w:i/>
          <w:sz w:val="24"/>
          <w:lang w:val="pl-PL"/>
        </w:rPr>
        <w:t xml:space="preserve"> </w:t>
      </w:r>
      <w:r w:rsidRPr="00ED0C6A">
        <w:rPr>
          <w:rFonts w:asciiTheme="minorHAnsi" w:hAnsiTheme="minorHAnsi"/>
          <w:sz w:val="24"/>
          <w:lang w:val="pl-PL"/>
        </w:rPr>
        <w:t>Trybunał odnotował, że z</w:t>
      </w:r>
      <w:r w:rsidR="002768A3" w:rsidRPr="00ED0C6A">
        <w:rPr>
          <w:rFonts w:asciiTheme="minorHAnsi" w:hAnsiTheme="minorHAnsi"/>
          <w:sz w:val="24"/>
          <w:lang w:val="pl-PL"/>
        </w:rPr>
        <w:t xml:space="preserve">godnie z wymogami prawa czeskiego dotyczącego postępowania w sprawie kwestionowania decyzji o odmowie wydania lub </w:t>
      </w:r>
      <w:r w:rsidR="00A42949" w:rsidRPr="00ED0C6A">
        <w:rPr>
          <w:rFonts w:asciiTheme="minorHAnsi" w:hAnsiTheme="minorHAnsi"/>
          <w:sz w:val="24"/>
          <w:lang w:val="pl-PL"/>
        </w:rPr>
        <w:t>cofnięciu</w:t>
      </w:r>
      <w:r w:rsidR="002768A3" w:rsidRPr="00ED0C6A">
        <w:rPr>
          <w:rFonts w:asciiTheme="minorHAnsi" w:hAnsiTheme="minorHAnsi"/>
          <w:sz w:val="24"/>
          <w:lang w:val="pl-PL"/>
        </w:rPr>
        <w:t xml:space="preserve"> poświadczenia bezpieczeństwa, postępowanie wszczęte przez skarżącego podlegało dwojakim ograniczeniom w porównaniu do zasad zwykłego ustawodawstwa gwarantującego rzetelny proces: </w:t>
      </w:r>
    </w:p>
    <w:p w:rsidR="00C9049C" w:rsidRPr="00ED0C6A" w:rsidRDefault="00C9049C"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 </w:t>
      </w:r>
      <w:r w:rsidR="002768A3" w:rsidRPr="00ED0C6A">
        <w:rPr>
          <w:rFonts w:asciiTheme="minorHAnsi" w:hAnsiTheme="minorHAnsi"/>
          <w:sz w:val="24"/>
          <w:lang w:val="pl-PL"/>
        </w:rPr>
        <w:t>po pierwsze, dokumenty i informacje</w:t>
      </w:r>
      <w:r w:rsidR="0008101C" w:rsidRPr="00ED0C6A">
        <w:rPr>
          <w:rFonts w:asciiTheme="minorHAnsi" w:hAnsiTheme="minorHAnsi"/>
          <w:sz w:val="24"/>
          <w:lang w:val="pl-PL"/>
        </w:rPr>
        <w:t xml:space="preserve"> </w:t>
      </w:r>
      <w:r w:rsidR="00A42949" w:rsidRPr="00ED0C6A">
        <w:rPr>
          <w:rFonts w:asciiTheme="minorHAnsi" w:hAnsiTheme="minorHAnsi"/>
          <w:sz w:val="24"/>
          <w:lang w:val="pl-PL"/>
        </w:rPr>
        <w:t xml:space="preserve">niejawne </w:t>
      </w:r>
      <w:r w:rsidR="002768A3" w:rsidRPr="00ED0C6A">
        <w:rPr>
          <w:rFonts w:asciiTheme="minorHAnsi" w:hAnsiTheme="minorHAnsi"/>
          <w:sz w:val="24"/>
          <w:lang w:val="pl-PL"/>
        </w:rPr>
        <w:t>nie były dostępne ani dla niego, ani</w:t>
      </w:r>
      <w:r w:rsidR="00110B07">
        <w:rPr>
          <w:rFonts w:asciiTheme="minorHAnsi" w:hAnsiTheme="minorHAnsi"/>
          <w:sz w:val="24"/>
          <w:lang w:val="pl-PL"/>
        </w:rPr>
        <w:t> </w:t>
      </w:r>
      <w:r w:rsidR="002768A3" w:rsidRPr="00ED0C6A">
        <w:rPr>
          <w:rFonts w:asciiTheme="minorHAnsi" w:hAnsiTheme="minorHAnsi"/>
          <w:sz w:val="24"/>
          <w:lang w:val="pl-PL"/>
        </w:rPr>
        <w:t>dla</w:t>
      </w:r>
      <w:r w:rsidR="00110B07">
        <w:rPr>
          <w:rFonts w:asciiTheme="minorHAnsi" w:hAnsiTheme="minorHAnsi"/>
          <w:sz w:val="24"/>
          <w:lang w:val="pl-PL"/>
        </w:rPr>
        <w:t> </w:t>
      </w:r>
      <w:r w:rsidR="002768A3" w:rsidRPr="00ED0C6A">
        <w:rPr>
          <w:rFonts w:asciiTheme="minorHAnsi" w:hAnsiTheme="minorHAnsi"/>
          <w:sz w:val="24"/>
          <w:lang w:val="pl-PL"/>
        </w:rPr>
        <w:t>jego</w:t>
      </w:r>
      <w:r w:rsidR="00110B07">
        <w:rPr>
          <w:rFonts w:asciiTheme="minorHAnsi" w:hAnsiTheme="minorHAnsi"/>
          <w:sz w:val="24"/>
          <w:lang w:val="pl-PL"/>
        </w:rPr>
        <w:t> </w:t>
      </w:r>
      <w:r w:rsidR="002768A3" w:rsidRPr="00ED0C6A">
        <w:rPr>
          <w:rFonts w:asciiTheme="minorHAnsi" w:hAnsiTheme="minorHAnsi"/>
          <w:sz w:val="24"/>
          <w:lang w:val="pl-PL"/>
        </w:rPr>
        <w:t xml:space="preserve">adwokata; </w:t>
      </w:r>
    </w:p>
    <w:p w:rsidR="002768A3" w:rsidRPr="00ED0C6A" w:rsidRDefault="00C9049C"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 </w:t>
      </w:r>
      <w:r w:rsidR="002768A3" w:rsidRPr="00ED0C6A">
        <w:rPr>
          <w:rFonts w:asciiTheme="minorHAnsi" w:hAnsiTheme="minorHAnsi"/>
          <w:sz w:val="24"/>
          <w:lang w:val="pl-PL"/>
        </w:rPr>
        <w:t xml:space="preserve">po drugie, w zakresie, w jakim decyzja o </w:t>
      </w:r>
      <w:r w:rsidR="00A42949" w:rsidRPr="00ED0C6A">
        <w:rPr>
          <w:rFonts w:asciiTheme="minorHAnsi" w:hAnsiTheme="minorHAnsi"/>
          <w:sz w:val="24"/>
          <w:lang w:val="pl-PL"/>
        </w:rPr>
        <w:t>cofnięciu</w:t>
      </w:r>
      <w:r w:rsidR="002768A3" w:rsidRPr="00ED0C6A">
        <w:rPr>
          <w:rFonts w:asciiTheme="minorHAnsi" w:hAnsiTheme="minorHAnsi"/>
          <w:sz w:val="24"/>
          <w:lang w:val="pl-PL"/>
        </w:rPr>
        <w:t xml:space="preserve"> poświadczenia bezpieczeństwa opierała się na tych dokumentach, podstawy tej decyzji nie były mu ujawnione. </w:t>
      </w:r>
    </w:p>
    <w:p w:rsidR="00C9049C" w:rsidRPr="00ED0C6A" w:rsidRDefault="00C9049C" w:rsidP="008176C7">
      <w:pPr>
        <w:pStyle w:val="ClinContent"/>
        <w:spacing w:before="0"/>
        <w:rPr>
          <w:rFonts w:asciiTheme="minorHAnsi" w:hAnsiTheme="minorHAnsi"/>
          <w:sz w:val="24"/>
          <w:lang w:val="pl-PL"/>
        </w:rPr>
      </w:pPr>
    </w:p>
    <w:p w:rsidR="00C9049C"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w:t>
      </w:r>
      <w:r w:rsidR="00C9049C" w:rsidRPr="00ED0C6A">
        <w:rPr>
          <w:rFonts w:asciiTheme="minorHAnsi" w:hAnsiTheme="minorHAnsi"/>
          <w:sz w:val="24"/>
          <w:lang w:val="pl-PL"/>
        </w:rPr>
        <w:t xml:space="preserve">wziął pod uwagę również </w:t>
      </w:r>
      <w:r w:rsidRPr="00ED0C6A">
        <w:rPr>
          <w:rFonts w:asciiTheme="minorHAnsi" w:hAnsiTheme="minorHAnsi"/>
          <w:sz w:val="24"/>
          <w:lang w:val="pl-PL"/>
        </w:rPr>
        <w:t>uprawnienia przyznane sądom krajowym. Sądy miały nieograniczony dostęp do wszystkich dokumentów niejawnych, na których oparła się</w:t>
      </w:r>
      <w:r w:rsidR="00335B71">
        <w:rPr>
          <w:rFonts w:asciiTheme="minorHAnsi" w:hAnsiTheme="minorHAnsi"/>
          <w:sz w:val="24"/>
          <w:lang w:val="pl-PL"/>
        </w:rPr>
        <w:t> </w:t>
      </w:r>
      <w:r w:rsidRPr="00ED0C6A">
        <w:rPr>
          <w:rFonts w:asciiTheme="minorHAnsi" w:hAnsiTheme="minorHAnsi"/>
          <w:sz w:val="24"/>
          <w:lang w:val="pl-PL"/>
        </w:rPr>
        <w:t>Agencja w celu uzasadnienia swe</w:t>
      </w:r>
      <w:r w:rsidR="00C9049C" w:rsidRPr="00ED0C6A">
        <w:rPr>
          <w:rFonts w:asciiTheme="minorHAnsi" w:hAnsiTheme="minorHAnsi"/>
          <w:sz w:val="24"/>
          <w:lang w:val="pl-PL"/>
        </w:rPr>
        <w:t>j decyzji.</w:t>
      </w:r>
      <w:r w:rsidRPr="00ED0C6A">
        <w:rPr>
          <w:rFonts w:asciiTheme="minorHAnsi" w:hAnsiTheme="minorHAnsi"/>
          <w:sz w:val="24"/>
          <w:lang w:val="pl-PL"/>
        </w:rPr>
        <w:t xml:space="preserve"> </w:t>
      </w:r>
      <w:r w:rsidR="00C9049C" w:rsidRPr="00ED0C6A">
        <w:rPr>
          <w:rFonts w:asciiTheme="minorHAnsi" w:hAnsiTheme="minorHAnsi"/>
          <w:sz w:val="24"/>
          <w:lang w:val="pl-PL"/>
        </w:rPr>
        <w:t>B</w:t>
      </w:r>
      <w:r w:rsidRPr="00ED0C6A">
        <w:rPr>
          <w:rFonts w:asciiTheme="minorHAnsi" w:hAnsiTheme="minorHAnsi"/>
          <w:sz w:val="24"/>
          <w:lang w:val="pl-PL"/>
        </w:rPr>
        <w:t>yły one uprawnione do przeprowadzenia szczegółowego badania uzasadnienia podanego przez Agencję na rzecz nieuj</w:t>
      </w:r>
      <w:r w:rsidR="00C9049C" w:rsidRPr="00ED0C6A">
        <w:rPr>
          <w:rFonts w:asciiTheme="minorHAnsi" w:hAnsiTheme="minorHAnsi"/>
          <w:sz w:val="24"/>
          <w:lang w:val="pl-PL"/>
        </w:rPr>
        <w:t>awniania dokumentów niejawnych. Mogły</w:t>
      </w:r>
      <w:r w:rsidRPr="00ED0C6A">
        <w:rPr>
          <w:rFonts w:asciiTheme="minorHAnsi" w:hAnsiTheme="minorHAnsi"/>
          <w:sz w:val="24"/>
          <w:lang w:val="pl-PL"/>
        </w:rPr>
        <w:t xml:space="preserve"> także </w:t>
      </w:r>
      <w:r w:rsidR="00A42949" w:rsidRPr="00ED0C6A">
        <w:rPr>
          <w:rFonts w:asciiTheme="minorHAnsi" w:hAnsiTheme="minorHAnsi"/>
          <w:sz w:val="24"/>
          <w:lang w:val="pl-PL"/>
        </w:rPr>
        <w:t>postanowić o ujawnieniu</w:t>
      </w:r>
      <w:r w:rsidRPr="00ED0C6A">
        <w:rPr>
          <w:rFonts w:asciiTheme="minorHAnsi" w:hAnsiTheme="minorHAnsi"/>
          <w:sz w:val="24"/>
          <w:lang w:val="pl-PL"/>
        </w:rPr>
        <w:t xml:space="preserve"> tych dokumentów, co</w:t>
      </w:r>
      <w:r w:rsidR="00335B71">
        <w:rPr>
          <w:rFonts w:asciiTheme="minorHAnsi" w:hAnsiTheme="minorHAnsi"/>
          <w:sz w:val="24"/>
          <w:lang w:val="pl-PL"/>
        </w:rPr>
        <w:t> </w:t>
      </w:r>
      <w:r w:rsidRPr="00ED0C6A">
        <w:rPr>
          <w:rFonts w:asciiTheme="minorHAnsi" w:hAnsiTheme="minorHAnsi"/>
          <w:sz w:val="24"/>
          <w:lang w:val="pl-PL"/>
        </w:rPr>
        <w:t>do</w:t>
      </w:r>
      <w:r w:rsidR="00335B71">
        <w:rPr>
          <w:rFonts w:asciiTheme="minorHAnsi" w:hAnsiTheme="minorHAnsi"/>
          <w:sz w:val="24"/>
          <w:lang w:val="pl-PL"/>
        </w:rPr>
        <w:t> </w:t>
      </w:r>
      <w:r w:rsidRPr="00ED0C6A">
        <w:rPr>
          <w:rFonts w:asciiTheme="minorHAnsi" w:hAnsiTheme="minorHAnsi"/>
          <w:sz w:val="24"/>
          <w:lang w:val="pl-PL"/>
        </w:rPr>
        <w:t xml:space="preserve">których uznały, że brak jest potrzeby klasyfikowania </w:t>
      </w:r>
      <w:r w:rsidR="00A42949" w:rsidRPr="00ED0C6A">
        <w:rPr>
          <w:rFonts w:asciiTheme="minorHAnsi" w:hAnsiTheme="minorHAnsi"/>
          <w:sz w:val="24"/>
          <w:lang w:val="pl-PL"/>
        </w:rPr>
        <w:t xml:space="preserve">ich </w:t>
      </w:r>
      <w:r w:rsidRPr="00ED0C6A">
        <w:rPr>
          <w:rFonts w:asciiTheme="minorHAnsi" w:hAnsiTheme="minorHAnsi"/>
          <w:sz w:val="24"/>
          <w:lang w:val="pl-PL"/>
        </w:rPr>
        <w:t xml:space="preserve">jako niejawne. Mogły również ocenić co do istoty decyzję Agencji </w:t>
      </w:r>
      <w:proofErr w:type="spellStart"/>
      <w:r w:rsidRPr="00ED0C6A">
        <w:rPr>
          <w:rFonts w:asciiTheme="minorHAnsi" w:hAnsiTheme="minorHAnsi"/>
          <w:sz w:val="24"/>
          <w:lang w:val="pl-PL"/>
        </w:rPr>
        <w:t>ws</w:t>
      </w:r>
      <w:proofErr w:type="spellEnd"/>
      <w:r w:rsidRPr="00ED0C6A">
        <w:rPr>
          <w:rFonts w:asciiTheme="minorHAnsi" w:hAnsiTheme="minorHAnsi"/>
          <w:sz w:val="24"/>
          <w:lang w:val="pl-PL"/>
        </w:rPr>
        <w:t xml:space="preserve">. </w:t>
      </w:r>
      <w:r w:rsidR="00A42949" w:rsidRPr="00ED0C6A">
        <w:rPr>
          <w:rFonts w:asciiTheme="minorHAnsi" w:hAnsiTheme="minorHAnsi"/>
          <w:sz w:val="24"/>
          <w:lang w:val="pl-PL"/>
        </w:rPr>
        <w:t>cofnięcia</w:t>
      </w:r>
      <w:r w:rsidRPr="00ED0C6A">
        <w:rPr>
          <w:rFonts w:asciiTheme="minorHAnsi" w:hAnsiTheme="minorHAnsi"/>
          <w:sz w:val="24"/>
          <w:lang w:val="pl-PL"/>
        </w:rPr>
        <w:t xml:space="preserve"> poświadczenia bezpieczeństwa i</w:t>
      </w:r>
      <w:r w:rsidR="00110B07">
        <w:rPr>
          <w:rFonts w:asciiTheme="minorHAnsi" w:hAnsiTheme="minorHAnsi"/>
          <w:sz w:val="24"/>
          <w:lang w:val="pl-PL"/>
        </w:rPr>
        <w:t> </w:t>
      </w:r>
      <w:r w:rsidRPr="00ED0C6A">
        <w:rPr>
          <w:rFonts w:asciiTheme="minorHAnsi" w:hAnsiTheme="minorHAnsi"/>
          <w:sz w:val="24"/>
          <w:lang w:val="pl-PL"/>
        </w:rPr>
        <w:t>tam,</w:t>
      </w:r>
      <w:r w:rsidR="00110B07">
        <w:rPr>
          <w:rFonts w:asciiTheme="minorHAnsi" w:hAnsiTheme="minorHAnsi"/>
          <w:sz w:val="24"/>
          <w:lang w:val="pl-PL"/>
        </w:rPr>
        <w:t> </w:t>
      </w:r>
      <w:r w:rsidRPr="00ED0C6A">
        <w:rPr>
          <w:rFonts w:asciiTheme="minorHAnsi" w:hAnsiTheme="minorHAnsi"/>
          <w:sz w:val="24"/>
          <w:lang w:val="pl-PL"/>
        </w:rPr>
        <w:t>gdzie</w:t>
      </w:r>
      <w:r w:rsidR="00335B71">
        <w:rPr>
          <w:rFonts w:asciiTheme="minorHAnsi" w:hAnsiTheme="minorHAnsi"/>
          <w:sz w:val="24"/>
          <w:lang w:val="pl-PL"/>
        </w:rPr>
        <w:t> </w:t>
      </w:r>
      <w:r w:rsidRPr="00ED0C6A">
        <w:rPr>
          <w:rFonts w:asciiTheme="minorHAnsi" w:hAnsiTheme="minorHAnsi"/>
          <w:sz w:val="24"/>
          <w:lang w:val="pl-PL"/>
        </w:rPr>
        <w:t xml:space="preserve">to stosowne, uchylić arbitralną decyzję. Ich jurysdykcja obejmowała </w:t>
      </w:r>
      <w:r w:rsidR="00C9049C" w:rsidRPr="00ED0C6A">
        <w:rPr>
          <w:rFonts w:asciiTheme="minorHAnsi" w:hAnsiTheme="minorHAnsi"/>
          <w:sz w:val="24"/>
          <w:lang w:val="pl-PL"/>
        </w:rPr>
        <w:t xml:space="preserve">zatem </w:t>
      </w:r>
      <w:r w:rsidRPr="00ED0C6A">
        <w:rPr>
          <w:rFonts w:asciiTheme="minorHAnsi" w:hAnsiTheme="minorHAnsi"/>
          <w:sz w:val="24"/>
          <w:lang w:val="pl-PL"/>
        </w:rPr>
        <w:t>wszystkie okoliczności faktyczne sprawy i nie była ograniczona do badania jedynie podstaw, n</w:t>
      </w:r>
      <w:r w:rsidR="00C9049C" w:rsidRPr="00ED0C6A">
        <w:rPr>
          <w:rFonts w:asciiTheme="minorHAnsi" w:hAnsiTheme="minorHAnsi"/>
          <w:sz w:val="24"/>
          <w:lang w:val="pl-PL"/>
        </w:rPr>
        <w:t>a których opierał się skarżący</w:t>
      </w:r>
      <w:r w:rsidR="00A42949" w:rsidRPr="00ED0C6A">
        <w:rPr>
          <w:rFonts w:asciiTheme="minorHAnsi" w:hAnsiTheme="minorHAnsi"/>
          <w:sz w:val="24"/>
          <w:lang w:val="pl-PL"/>
        </w:rPr>
        <w:t>, przy czym</w:t>
      </w:r>
      <w:r w:rsidR="00C9049C" w:rsidRPr="00ED0C6A">
        <w:rPr>
          <w:rFonts w:asciiTheme="minorHAnsi" w:hAnsiTheme="minorHAnsi"/>
          <w:sz w:val="24"/>
          <w:lang w:val="pl-PL"/>
        </w:rPr>
        <w:t xml:space="preserve"> </w:t>
      </w:r>
      <w:r w:rsidR="00A42949" w:rsidRPr="00ED0C6A">
        <w:rPr>
          <w:rFonts w:asciiTheme="minorHAnsi" w:hAnsiTheme="minorHAnsi"/>
          <w:sz w:val="24"/>
          <w:lang w:val="pl-PL"/>
        </w:rPr>
        <w:t>z</w:t>
      </w:r>
      <w:r w:rsidRPr="00ED0C6A">
        <w:rPr>
          <w:rFonts w:asciiTheme="minorHAnsi" w:hAnsiTheme="minorHAnsi"/>
          <w:sz w:val="24"/>
          <w:lang w:val="pl-PL"/>
        </w:rPr>
        <w:t xml:space="preserve">ostał </w:t>
      </w:r>
      <w:r w:rsidR="00C9049C" w:rsidRPr="00ED0C6A">
        <w:rPr>
          <w:rFonts w:asciiTheme="minorHAnsi" w:hAnsiTheme="minorHAnsi"/>
          <w:sz w:val="24"/>
          <w:lang w:val="pl-PL"/>
        </w:rPr>
        <w:t xml:space="preserve">on </w:t>
      </w:r>
      <w:r w:rsidRPr="00ED0C6A">
        <w:rPr>
          <w:rFonts w:asciiTheme="minorHAnsi" w:hAnsiTheme="minorHAnsi"/>
          <w:sz w:val="24"/>
          <w:lang w:val="pl-PL"/>
        </w:rPr>
        <w:t>przesłuchany przez sędziów i miał możliwość przedkładania swych oświadczeń również na piśmie.</w:t>
      </w: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2768A3" w:rsidRPr="00ED0C6A" w:rsidRDefault="00C9049C" w:rsidP="008176C7">
      <w:pPr>
        <w:pStyle w:val="ClinContent"/>
        <w:spacing w:before="0"/>
        <w:rPr>
          <w:rFonts w:asciiTheme="minorHAnsi" w:hAnsiTheme="minorHAnsi"/>
          <w:sz w:val="24"/>
          <w:lang w:val="pl-PL"/>
        </w:rPr>
      </w:pPr>
      <w:r w:rsidRPr="00ED0C6A">
        <w:rPr>
          <w:rFonts w:asciiTheme="minorHAnsi" w:hAnsiTheme="minorHAnsi"/>
          <w:sz w:val="24"/>
          <w:lang w:val="pl-PL"/>
        </w:rPr>
        <w:t>Trybunał uznał, że s</w:t>
      </w:r>
      <w:r w:rsidR="002768A3" w:rsidRPr="00ED0C6A">
        <w:rPr>
          <w:rFonts w:asciiTheme="minorHAnsi" w:hAnsiTheme="minorHAnsi"/>
          <w:sz w:val="24"/>
          <w:lang w:val="pl-PL"/>
        </w:rPr>
        <w:t>ądy krajowe należycie wykonały uprawnienia kontrolne przysługujące im</w:t>
      </w:r>
      <w:r w:rsidR="00335B71">
        <w:rPr>
          <w:rFonts w:asciiTheme="minorHAnsi" w:hAnsiTheme="minorHAnsi"/>
          <w:sz w:val="24"/>
          <w:lang w:val="pl-PL"/>
        </w:rPr>
        <w:t> </w:t>
      </w:r>
      <w:r w:rsidR="002768A3" w:rsidRPr="00ED0C6A">
        <w:rPr>
          <w:rFonts w:asciiTheme="minorHAnsi" w:hAnsiTheme="minorHAnsi"/>
          <w:sz w:val="24"/>
          <w:lang w:val="pl-PL"/>
        </w:rPr>
        <w:t xml:space="preserve">w tego typu postępowaniach, zarówno w odniesieniu do </w:t>
      </w:r>
      <w:r w:rsidRPr="00ED0C6A">
        <w:rPr>
          <w:rFonts w:asciiTheme="minorHAnsi" w:hAnsiTheme="minorHAnsi"/>
          <w:sz w:val="24"/>
          <w:lang w:val="pl-PL"/>
        </w:rPr>
        <w:t xml:space="preserve">oceny </w:t>
      </w:r>
      <w:r w:rsidR="002768A3" w:rsidRPr="00ED0C6A">
        <w:rPr>
          <w:rFonts w:asciiTheme="minorHAnsi" w:hAnsiTheme="minorHAnsi"/>
          <w:sz w:val="24"/>
          <w:lang w:val="pl-PL"/>
        </w:rPr>
        <w:t xml:space="preserve">potrzeby zachowania poufności dokumentów niejawnych, jak też w odniesieniu do </w:t>
      </w:r>
      <w:r w:rsidRPr="00ED0C6A">
        <w:rPr>
          <w:rFonts w:asciiTheme="minorHAnsi" w:hAnsiTheme="minorHAnsi"/>
          <w:sz w:val="24"/>
          <w:lang w:val="pl-PL"/>
        </w:rPr>
        <w:t xml:space="preserve">oceny </w:t>
      </w:r>
      <w:r w:rsidR="002768A3" w:rsidRPr="00ED0C6A">
        <w:rPr>
          <w:rFonts w:asciiTheme="minorHAnsi" w:hAnsiTheme="minorHAnsi"/>
          <w:sz w:val="24"/>
          <w:lang w:val="pl-PL"/>
        </w:rPr>
        <w:t xml:space="preserve">uzasadnienia decyzji </w:t>
      </w:r>
      <w:proofErr w:type="spellStart"/>
      <w:r w:rsidR="00A42949" w:rsidRPr="00ED0C6A">
        <w:rPr>
          <w:rFonts w:asciiTheme="minorHAnsi" w:hAnsiTheme="minorHAnsi"/>
          <w:sz w:val="24"/>
          <w:lang w:val="pl-PL"/>
        </w:rPr>
        <w:t>ws</w:t>
      </w:r>
      <w:proofErr w:type="spellEnd"/>
      <w:r w:rsidR="00A42949" w:rsidRPr="00ED0C6A">
        <w:rPr>
          <w:rFonts w:asciiTheme="minorHAnsi" w:hAnsiTheme="minorHAnsi"/>
          <w:sz w:val="24"/>
          <w:lang w:val="pl-PL"/>
        </w:rPr>
        <w:t>.</w:t>
      </w:r>
      <w:r w:rsidR="00335B71">
        <w:rPr>
          <w:rFonts w:asciiTheme="minorHAnsi" w:hAnsiTheme="minorHAnsi"/>
          <w:sz w:val="24"/>
          <w:lang w:val="pl-PL"/>
        </w:rPr>
        <w:t> </w:t>
      </w:r>
      <w:r w:rsidR="00A42949" w:rsidRPr="00ED0C6A">
        <w:rPr>
          <w:rFonts w:asciiTheme="minorHAnsi" w:hAnsiTheme="minorHAnsi"/>
          <w:sz w:val="24"/>
          <w:lang w:val="pl-PL"/>
        </w:rPr>
        <w:t>cofnięcia</w:t>
      </w:r>
      <w:r w:rsidR="002768A3" w:rsidRPr="00ED0C6A">
        <w:rPr>
          <w:rFonts w:asciiTheme="minorHAnsi" w:hAnsiTheme="minorHAnsi"/>
          <w:sz w:val="24"/>
          <w:lang w:val="pl-PL"/>
        </w:rPr>
        <w:t xml:space="preserve"> poświadczenie bezpieczeństwa skarżącego</w:t>
      </w:r>
      <w:r w:rsidRPr="00ED0C6A">
        <w:rPr>
          <w:rFonts w:asciiTheme="minorHAnsi" w:hAnsiTheme="minorHAnsi"/>
          <w:sz w:val="24"/>
          <w:lang w:val="pl-PL"/>
        </w:rPr>
        <w:t>.</w:t>
      </w:r>
      <w:r w:rsidR="002768A3" w:rsidRPr="00ED0C6A">
        <w:rPr>
          <w:rFonts w:asciiTheme="minorHAnsi" w:hAnsiTheme="minorHAnsi"/>
          <w:sz w:val="24"/>
          <w:lang w:val="pl-PL"/>
        </w:rPr>
        <w:t xml:space="preserve"> </w:t>
      </w:r>
      <w:r w:rsidRPr="00ED0C6A">
        <w:rPr>
          <w:rFonts w:asciiTheme="minorHAnsi" w:hAnsiTheme="minorHAnsi"/>
          <w:sz w:val="24"/>
          <w:lang w:val="pl-PL"/>
        </w:rPr>
        <w:t>Uzasadniały</w:t>
      </w:r>
      <w:r w:rsidR="002768A3" w:rsidRPr="00ED0C6A">
        <w:rPr>
          <w:rFonts w:asciiTheme="minorHAnsi" w:hAnsiTheme="minorHAnsi"/>
          <w:sz w:val="24"/>
          <w:lang w:val="pl-PL"/>
        </w:rPr>
        <w:t xml:space="preserve"> </w:t>
      </w:r>
      <w:r w:rsidRPr="00ED0C6A">
        <w:rPr>
          <w:rFonts w:asciiTheme="minorHAnsi" w:hAnsiTheme="minorHAnsi"/>
          <w:sz w:val="24"/>
          <w:lang w:val="pl-PL"/>
        </w:rPr>
        <w:t xml:space="preserve">ponadto </w:t>
      </w:r>
      <w:r w:rsidR="002768A3" w:rsidRPr="00ED0C6A">
        <w:rPr>
          <w:rFonts w:asciiTheme="minorHAnsi" w:hAnsiTheme="minorHAnsi"/>
          <w:sz w:val="24"/>
          <w:lang w:val="pl-PL"/>
        </w:rPr>
        <w:t>swe</w:t>
      </w:r>
      <w:r w:rsidR="00335B71">
        <w:rPr>
          <w:rFonts w:asciiTheme="minorHAnsi" w:hAnsiTheme="minorHAnsi"/>
          <w:sz w:val="24"/>
          <w:lang w:val="pl-PL"/>
        </w:rPr>
        <w:t> </w:t>
      </w:r>
      <w:r w:rsidR="002768A3" w:rsidRPr="00ED0C6A">
        <w:rPr>
          <w:rFonts w:asciiTheme="minorHAnsi" w:hAnsiTheme="minorHAnsi"/>
          <w:sz w:val="24"/>
          <w:lang w:val="pl-PL"/>
        </w:rPr>
        <w:t xml:space="preserve">orzeczenia z uwzględnieniem konkretnych okoliczności </w:t>
      </w:r>
      <w:r w:rsidR="00A42949" w:rsidRPr="00ED0C6A">
        <w:rPr>
          <w:rFonts w:asciiTheme="minorHAnsi" w:hAnsiTheme="minorHAnsi"/>
          <w:sz w:val="24"/>
          <w:lang w:val="pl-PL"/>
        </w:rPr>
        <w:t xml:space="preserve">przedmiotowej </w:t>
      </w:r>
      <w:r w:rsidR="002768A3" w:rsidRPr="00ED0C6A">
        <w:rPr>
          <w:rFonts w:asciiTheme="minorHAnsi" w:hAnsiTheme="minorHAnsi"/>
          <w:sz w:val="24"/>
          <w:lang w:val="pl-PL"/>
        </w:rPr>
        <w:t xml:space="preserve">sprawy.  </w:t>
      </w:r>
    </w:p>
    <w:p w:rsidR="00C9049C" w:rsidRPr="00ED0C6A" w:rsidRDefault="00C9049C" w:rsidP="008176C7">
      <w:pPr>
        <w:pStyle w:val="ClinContent"/>
        <w:spacing w:before="0"/>
        <w:rPr>
          <w:rFonts w:asciiTheme="minorHAnsi" w:hAnsiTheme="minorHAnsi"/>
          <w:sz w:val="24"/>
          <w:lang w:val="pl-PL"/>
        </w:rPr>
      </w:pPr>
    </w:p>
    <w:p w:rsidR="002768A3" w:rsidRPr="00ED0C6A" w:rsidRDefault="00C9049C"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I tak, </w:t>
      </w:r>
      <w:r w:rsidR="002768A3" w:rsidRPr="00ED0C6A">
        <w:rPr>
          <w:rFonts w:asciiTheme="minorHAnsi" w:hAnsiTheme="minorHAnsi"/>
          <w:sz w:val="24"/>
          <w:lang w:val="pl-PL"/>
        </w:rPr>
        <w:t>Naczelny Sąd Administracyjny uznał, że ujawnienie dokumentów niejawnych mogło skutkować ujawnieniem metod pracy służby wywiadowczej, ujawniając jej źródła informacji lub prowadząc do prób wpływania na potencjalnych świadków. Wyjaśnił, że z prawnego punktu widzenia nie było możliwe wskazanie, gdzie dokładnie występuje zagrożenie bezpieczeństwa, lub precyzyjne wskazanie względów leżących u podstaw decyzji Agencji wynikającej wyłącznie z informacji niejawnej. Stosownie do tego, nic nie wskaz</w:t>
      </w:r>
      <w:r w:rsidRPr="00ED0C6A">
        <w:rPr>
          <w:rFonts w:asciiTheme="minorHAnsi" w:hAnsiTheme="minorHAnsi"/>
          <w:sz w:val="24"/>
          <w:lang w:val="pl-PL"/>
        </w:rPr>
        <w:t>uje</w:t>
      </w:r>
      <w:r w:rsidR="002768A3" w:rsidRPr="00ED0C6A">
        <w:rPr>
          <w:rFonts w:asciiTheme="minorHAnsi" w:hAnsiTheme="minorHAnsi"/>
          <w:sz w:val="24"/>
          <w:lang w:val="pl-PL"/>
        </w:rPr>
        <w:t>, by</w:t>
      </w:r>
      <w:r w:rsidR="00335B71">
        <w:rPr>
          <w:rFonts w:asciiTheme="minorHAnsi" w:hAnsiTheme="minorHAnsi"/>
          <w:sz w:val="24"/>
          <w:lang w:val="pl-PL"/>
        </w:rPr>
        <w:t> </w:t>
      </w:r>
      <w:r w:rsidR="002768A3" w:rsidRPr="00ED0C6A">
        <w:rPr>
          <w:rFonts w:asciiTheme="minorHAnsi" w:hAnsiTheme="minorHAnsi"/>
          <w:sz w:val="24"/>
          <w:lang w:val="pl-PL"/>
        </w:rPr>
        <w:t>decyzja o opatrzeniu klauzulą przedmiotowych dokumentów była podjęta w sposób arbitralny lub służyła innym celom niż wskazany uprawniony interes, do którego</w:t>
      </w:r>
      <w:r w:rsidR="00A42949" w:rsidRPr="00ED0C6A">
        <w:rPr>
          <w:rFonts w:asciiTheme="minorHAnsi" w:hAnsiTheme="minorHAnsi"/>
          <w:sz w:val="24"/>
          <w:lang w:val="pl-PL"/>
        </w:rPr>
        <w:t xml:space="preserve"> realizacji</w:t>
      </w:r>
      <w:r w:rsidR="002768A3" w:rsidRPr="00ED0C6A">
        <w:rPr>
          <w:rFonts w:asciiTheme="minorHAnsi" w:hAnsiTheme="minorHAnsi"/>
          <w:sz w:val="24"/>
          <w:lang w:val="pl-PL"/>
        </w:rPr>
        <w:t xml:space="preserve"> dążono. </w:t>
      </w:r>
    </w:p>
    <w:p w:rsidR="00C9049C" w:rsidRPr="00ED0C6A" w:rsidRDefault="00C9049C" w:rsidP="008176C7">
      <w:pPr>
        <w:pStyle w:val="ClinContent"/>
        <w:spacing w:before="0"/>
        <w:rPr>
          <w:rFonts w:asciiTheme="minorHAnsi" w:hAnsiTheme="minorHAnsi"/>
          <w:sz w:val="24"/>
          <w:lang w:val="pl-PL"/>
        </w:rPr>
      </w:pPr>
    </w:p>
    <w:p w:rsidR="00C9049C"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W opinii Naczelnego Sądu Administracyjnego z niejawnych dokumentów w sposób jednoznaczny wynikało, że skarżący nie spełniał już wymogów ustawowych, by powierzano mu tajemnice państwowe. Jego postępowanie narażało bezpieczeństwo narodowe na</w:t>
      </w:r>
      <w:r w:rsidR="00335B71">
        <w:rPr>
          <w:rFonts w:asciiTheme="minorHAnsi" w:hAnsiTheme="minorHAnsi"/>
          <w:sz w:val="24"/>
          <w:lang w:val="pl-PL"/>
        </w:rPr>
        <w:t> </w:t>
      </w:r>
      <w:r w:rsidRPr="00ED0C6A">
        <w:rPr>
          <w:rFonts w:asciiTheme="minorHAnsi" w:hAnsiTheme="minorHAnsi"/>
          <w:sz w:val="24"/>
          <w:lang w:val="pl-PL"/>
        </w:rPr>
        <w:t xml:space="preserve">zagrożenie. </w:t>
      </w:r>
    </w:p>
    <w:p w:rsidR="00C9049C" w:rsidRPr="00ED0C6A" w:rsidRDefault="00C9049C"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W tym względzie, </w:t>
      </w:r>
      <w:r w:rsidR="00C9049C" w:rsidRPr="00ED0C6A">
        <w:rPr>
          <w:rFonts w:asciiTheme="minorHAnsi" w:hAnsiTheme="minorHAnsi"/>
          <w:sz w:val="24"/>
          <w:lang w:val="pl-PL"/>
        </w:rPr>
        <w:t xml:space="preserve">Trybunał zauważył, że </w:t>
      </w:r>
      <w:r w:rsidRPr="00ED0C6A">
        <w:rPr>
          <w:rFonts w:asciiTheme="minorHAnsi" w:hAnsiTheme="minorHAnsi"/>
          <w:sz w:val="24"/>
          <w:lang w:val="pl-PL"/>
        </w:rPr>
        <w:t>w marcu 2011 r. wobec skarżącego prowadzon</w:t>
      </w:r>
      <w:r w:rsidR="00C9049C" w:rsidRPr="00ED0C6A">
        <w:rPr>
          <w:rFonts w:asciiTheme="minorHAnsi" w:hAnsiTheme="minorHAnsi"/>
          <w:sz w:val="24"/>
          <w:lang w:val="pl-PL"/>
        </w:rPr>
        <w:t>e było</w:t>
      </w:r>
      <w:r w:rsidRPr="00ED0C6A">
        <w:rPr>
          <w:rFonts w:asciiTheme="minorHAnsi" w:hAnsiTheme="minorHAnsi"/>
          <w:sz w:val="24"/>
          <w:lang w:val="pl-PL"/>
        </w:rPr>
        <w:t xml:space="preserve"> dochodzenie dotyczące udziału w przestępczości zorganizowanej, </w:t>
      </w:r>
      <w:r w:rsidR="00A42949" w:rsidRPr="00ED0C6A">
        <w:rPr>
          <w:rFonts w:asciiTheme="minorHAnsi" w:hAnsiTheme="minorHAnsi"/>
          <w:sz w:val="24"/>
          <w:lang w:val="pl-PL"/>
        </w:rPr>
        <w:t>pomocnictwa i</w:t>
      </w:r>
      <w:r w:rsidR="00335B71">
        <w:rPr>
          <w:rFonts w:asciiTheme="minorHAnsi" w:hAnsiTheme="minorHAnsi"/>
          <w:sz w:val="24"/>
          <w:lang w:val="pl-PL"/>
        </w:rPr>
        <w:t> </w:t>
      </w:r>
      <w:r w:rsidRPr="00ED0C6A">
        <w:rPr>
          <w:rFonts w:asciiTheme="minorHAnsi" w:hAnsiTheme="minorHAnsi"/>
          <w:sz w:val="24"/>
          <w:lang w:val="pl-PL"/>
        </w:rPr>
        <w:t xml:space="preserve">podżegania do </w:t>
      </w:r>
      <w:r w:rsidR="00A42949" w:rsidRPr="00ED0C6A">
        <w:rPr>
          <w:rFonts w:asciiTheme="minorHAnsi" w:hAnsiTheme="minorHAnsi"/>
          <w:sz w:val="24"/>
          <w:lang w:val="pl-PL"/>
        </w:rPr>
        <w:t>nadużycia</w:t>
      </w:r>
      <w:r w:rsidRPr="00ED0C6A">
        <w:rPr>
          <w:rFonts w:asciiTheme="minorHAnsi" w:hAnsiTheme="minorHAnsi"/>
          <w:sz w:val="24"/>
          <w:lang w:val="pl-PL"/>
        </w:rPr>
        <w:t xml:space="preserve"> władzy publicznej; współudziału w nielegalnym wpływaniu na</w:t>
      </w:r>
      <w:r w:rsidR="00335B71">
        <w:rPr>
          <w:rFonts w:asciiTheme="minorHAnsi" w:hAnsiTheme="minorHAnsi"/>
          <w:sz w:val="24"/>
          <w:lang w:val="pl-PL"/>
        </w:rPr>
        <w:t> </w:t>
      </w:r>
      <w:r w:rsidRPr="00ED0C6A">
        <w:rPr>
          <w:rFonts w:asciiTheme="minorHAnsi" w:hAnsiTheme="minorHAnsi"/>
          <w:sz w:val="24"/>
          <w:lang w:val="pl-PL"/>
        </w:rPr>
        <w:t>procedury przetargów i zamówień publicznych, a także podżegania i pomocnictwa w</w:t>
      </w:r>
      <w:r w:rsidR="00335B71">
        <w:rPr>
          <w:rFonts w:asciiTheme="minorHAnsi" w:hAnsiTheme="minorHAnsi"/>
          <w:sz w:val="24"/>
          <w:lang w:val="pl-PL"/>
        </w:rPr>
        <w:t> </w:t>
      </w:r>
      <w:r w:rsidRPr="00ED0C6A">
        <w:rPr>
          <w:rFonts w:asciiTheme="minorHAnsi" w:hAnsiTheme="minorHAnsi"/>
          <w:sz w:val="24"/>
          <w:lang w:val="pl-PL"/>
        </w:rPr>
        <w:t>naruszaniu obowiązujących regulacji dotyczących relacji gospodarczych. Zrozumiałe było, że w sytuacji, gdy istniały takie podejrzenia, władze uznały za konieczne podjąć szyb</w:t>
      </w:r>
      <w:r w:rsidR="003148BD" w:rsidRPr="00ED0C6A">
        <w:rPr>
          <w:rFonts w:asciiTheme="minorHAnsi" w:hAnsiTheme="minorHAnsi"/>
          <w:sz w:val="24"/>
          <w:lang w:val="pl-PL"/>
        </w:rPr>
        <w:t>k</w:t>
      </w:r>
      <w:r w:rsidRPr="00ED0C6A">
        <w:rPr>
          <w:rFonts w:asciiTheme="minorHAnsi" w:hAnsiTheme="minorHAnsi"/>
          <w:sz w:val="24"/>
          <w:lang w:val="pl-PL"/>
        </w:rPr>
        <w:t>ie działania bez oczekiwania na wynik postępowania karnego, jednocześnie uniemożliwiając ujawnienie na tym wczesnym etapie podejrzeń dotyczących osób zainteresowanych, co</w:t>
      </w:r>
      <w:r w:rsidR="00335B71">
        <w:rPr>
          <w:rFonts w:asciiTheme="minorHAnsi" w:hAnsiTheme="minorHAnsi"/>
          <w:sz w:val="24"/>
          <w:lang w:val="pl-PL"/>
        </w:rPr>
        <w:t> </w:t>
      </w:r>
      <w:r w:rsidRPr="00ED0C6A">
        <w:rPr>
          <w:rFonts w:asciiTheme="minorHAnsi" w:hAnsiTheme="minorHAnsi"/>
          <w:sz w:val="24"/>
          <w:lang w:val="pl-PL"/>
        </w:rPr>
        <w:t xml:space="preserve">wiązałoby się z ryzykiem utrudnienia śledztwa. </w:t>
      </w:r>
    </w:p>
    <w:p w:rsidR="00C9049C" w:rsidRPr="00ED0C6A" w:rsidRDefault="00C9049C"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Tym niemniej, </w:t>
      </w:r>
      <w:r w:rsidR="00E50D46" w:rsidRPr="00ED0C6A">
        <w:rPr>
          <w:rFonts w:asciiTheme="minorHAnsi" w:hAnsiTheme="minorHAnsi"/>
          <w:sz w:val="24"/>
          <w:lang w:val="pl-PL"/>
        </w:rPr>
        <w:t xml:space="preserve">w opinii Trybunału </w:t>
      </w:r>
      <w:r w:rsidRPr="00ED0C6A">
        <w:rPr>
          <w:rFonts w:asciiTheme="minorHAnsi" w:hAnsiTheme="minorHAnsi"/>
          <w:sz w:val="24"/>
          <w:lang w:val="pl-PL"/>
        </w:rPr>
        <w:t>byłoby pożądane – w zakresie zgodnym z zachowaniem poufności i skuteczności dochodzeń w sprawie skarżącego – by władze krajowe, a</w:t>
      </w:r>
      <w:r w:rsidR="00335B71">
        <w:rPr>
          <w:rFonts w:asciiTheme="minorHAnsi" w:hAnsiTheme="minorHAnsi"/>
          <w:sz w:val="24"/>
          <w:lang w:val="pl-PL"/>
        </w:rPr>
        <w:t> </w:t>
      </w:r>
      <w:r w:rsidRPr="00ED0C6A">
        <w:rPr>
          <w:rFonts w:asciiTheme="minorHAnsi" w:hAnsiTheme="minorHAnsi"/>
          <w:sz w:val="24"/>
          <w:lang w:val="pl-PL"/>
        </w:rPr>
        <w:t xml:space="preserve">przynajmniej Naczelny Sąd Administracyjny, wyjaśniły, choćby skrótowo, zakres przeprowadzonej przez nie kontroli i </w:t>
      </w:r>
      <w:r w:rsidR="00A42949" w:rsidRPr="00ED0C6A">
        <w:rPr>
          <w:rFonts w:asciiTheme="minorHAnsi" w:hAnsiTheme="minorHAnsi"/>
          <w:sz w:val="24"/>
          <w:lang w:val="pl-PL"/>
        </w:rPr>
        <w:t>zarzutów</w:t>
      </w:r>
      <w:r w:rsidRPr="00ED0C6A">
        <w:rPr>
          <w:rFonts w:asciiTheme="minorHAnsi" w:hAnsiTheme="minorHAnsi"/>
          <w:sz w:val="24"/>
          <w:lang w:val="pl-PL"/>
        </w:rPr>
        <w:t xml:space="preserve"> wobec skarżącego. W tym względzie Trybunał z zadowoleniem odnotował najnowszy pozytywny rozwój orzecznictwa Naczelnego Sądu Administracyjnego.  </w:t>
      </w:r>
    </w:p>
    <w:p w:rsidR="00E50D46" w:rsidRPr="00ED0C6A" w:rsidRDefault="00E50D46" w:rsidP="008176C7">
      <w:pPr>
        <w:pStyle w:val="ClinContent"/>
        <w:spacing w:before="0"/>
        <w:rPr>
          <w:rFonts w:asciiTheme="minorHAnsi" w:hAnsiTheme="minorHAnsi"/>
          <w:sz w:val="24"/>
          <w:lang w:val="pl-PL"/>
        </w:rPr>
      </w:pPr>
    </w:p>
    <w:p w:rsidR="002768A3" w:rsidRPr="00ED0C6A" w:rsidRDefault="002768A3"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Mając </w:t>
      </w:r>
      <w:r w:rsidR="007B3432" w:rsidRPr="00ED0C6A">
        <w:rPr>
          <w:rFonts w:asciiTheme="minorHAnsi" w:hAnsiTheme="minorHAnsi"/>
          <w:sz w:val="24"/>
          <w:lang w:val="pl-PL"/>
        </w:rPr>
        <w:t xml:space="preserve">jednak </w:t>
      </w:r>
      <w:r w:rsidRPr="00ED0C6A">
        <w:rPr>
          <w:rFonts w:asciiTheme="minorHAnsi" w:hAnsiTheme="minorHAnsi"/>
          <w:sz w:val="24"/>
          <w:lang w:val="pl-PL"/>
        </w:rPr>
        <w:t xml:space="preserve">na względzie postępowanie jako całość, charakter sporu oraz margines oceny przysługujący władzom krajowym, </w:t>
      </w:r>
      <w:r w:rsidR="00E50D46" w:rsidRPr="00ED0C6A">
        <w:rPr>
          <w:rFonts w:asciiTheme="minorHAnsi" w:hAnsiTheme="minorHAnsi"/>
          <w:sz w:val="24"/>
          <w:lang w:val="pl-PL"/>
        </w:rPr>
        <w:t xml:space="preserve">Trybunał uznał, że </w:t>
      </w:r>
      <w:r w:rsidRPr="00ED0C6A">
        <w:rPr>
          <w:rFonts w:asciiTheme="minorHAnsi" w:hAnsiTheme="minorHAnsi"/>
          <w:sz w:val="24"/>
          <w:lang w:val="pl-PL"/>
        </w:rPr>
        <w:t>ograniczenia zmniejszające korzystanie przez skarżącego z praw przyznanych mu zgodnie z zasadami kontradyktoryjności i równości broni w postępowaniu zostały zrekompensowane w taki sposób, że nie wpłynęły one</w:t>
      </w:r>
      <w:r w:rsidR="00110B07">
        <w:rPr>
          <w:rFonts w:asciiTheme="minorHAnsi" w:hAnsiTheme="minorHAnsi"/>
          <w:sz w:val="24"/>
          <w:lang w:val="pl-PL"/>
        </w:rPr>
        <w:t> </w:t>
      </w:r>
      <w:r w:rsidRPr="00ED0C6A">
        <w:rPr>
          <w:rFonts w:asciiTheme="minorHAnsi" w:hAnsiTheme="minorHAnsi"/>
          <w:sz w:val="24"/>
          <w:lang w:val="pl-PL"/>
        </w:rPr>
        <w:t>na</w:t>
      </w:r>
      <w:r w:rsidR="00335B71">
        <w:rPr>
          <w:rFonts w:asciiTheme="minorHAnsi" w:hAnsiTheme="minorHAnsi"/>
          <w:sz w:val="24"/>
          <w:lang w:val="pl-PL"/>
        </w:rPr>
        <w:t> </w:t>
      </w:r>
      <w:r w:rsidRPr="00ED0C6A">
        <w:rPr>
          <w:rFonts w:asciiTheme="minorHAnsi" w:hAnsiTheme="minorHAnsi"/>
          <w:sz w:val="24"/>
          <w:lang w:val="pl-PL"/>
        </w:rPr>
        <w:t xml:space="preserve">słuszną równowagę między stronami w </w:t>
      </w:r>
      <w:r w:rsidR="00E50D46" w:rsidRPr="00ED0C6A">
        <w:rPr>
          <w:rFonts w:asciiTheme="minorHAnsi" w:hAnsiTheme="minorHAnsi"/>
          <w:sz w:val="24"/>
          <w:lang w:val="pl-PL"/>
        </w:rPr>
        <w:t xml:space="preserve">stopniu </w:t>
      </w:r>
      <w:r w:rsidRPr="00ED0C6A">
        <w:rPr>
          <w:rFonts w:asciiTheme="minorHAnsi" w:hAnsiTheme="minorHAnsi"/>
          <w:sz w:val="24"/>
          <w:lang w:val="pl-PL"/>
        </w:rPr>
        <w:t xml:space="preserve">podważającym samą istotę prawa skarżącego do rzetelnego procesu sądowego. </w:t>
      </w:r>
    </w:p>
    <w:p w:rsidR="00E50D46" w:rsidRPr="00ED0C6A" w:rsidRDefault="00E50D46" w:rsidP="008176C7">
      <w:pPr>
        <w:pStyle w:val="ClinContent"/>
        <w:spacing w:before="0"/>
        <w:rPr>
          <w:rFonts w:asciiTheme="minorHAnsi" w:hAnsiTheme="minorHAnsi"/>
          <w:sz w:val="24"/>
          <w:lang w:val="pl-PL"/>
        </w:rPr>
      </w:pPr>
    </w:p>
    <w:p w:rsidR="00E50D46" w:rsidRPr="00ED0C6A" w:rsidRDefault="00E50D46"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orzekł dziesięcioma głosami do siedmiu, że nie doszło do naruszenia art. 6 ust. 1 Konwencji. </w:t>
      </w:r>
    </w:p>
    <w:p w:rsidR="00E50D46" w:rsidRPr="00ED0C6A" w:rsidRDefault="00E50D46" w:rsidP="008176C7">
      <w:pPr>
        <w:pStyle w:val="ClinContent"/>
        <w:spacing w:before="0"/>
        <w:rPr>
          <w:rFonts w:asciiTheme="minorHAnsi" w:hAnsiTheme="minorHAnsi"/>
          <w:sz w:val="24"/>
          <w:lang w:val="pl-PL"/>
        </w:rPr>
      </w:pPr>
    </w:p>
    <w:p w:rsidR="000D134E" w:rsidRPr="00ED0C6A" w:rsidRDefault="000D134E" w:rsidP="008176C7">
      <w:pPr>
        <w:pStyle w:val="ClinContent"/>
        <w:spacing w:before="0"/>
        <w:rPr>
          <w:rFonts w:asciiTheme="minorHAnsi" w:hAnsiTheme="minorHAnsi"/>
          <w:sz w:val="24"/>
          <w:lang w:val="pl-PL"/>
        </w:rPr>
      </w:pPr>
      <w:r w:rsidRPr="00ED0C6A">
        <w:rPr>
          <w:rFonts w:asciiTheme="minorHAnsi" w:hAnsiTheme="minorHAnsi"/>
          <w:sz w:val="24"/>
          <w:u w:val="single"/>
          <w:lang w:val="pl-PL"/>
        </w:rPr>
        <w:t xml:space="preserve">Znaczenie wyroku dla Polski </w:t>
      </w:r>
      <w:r w:rsidRPr="00ED0C6A">
        <w:rPr>
          <w:rFonts w:asciiTheme="minorHAnsi" w:hAnsiTheme="minorHAnsi"/>
          <w:sz w:val="24"/>
          <w:lang w:val="pl-PL"/>
        </w:rPr>
        <w:t>– kolejny wyrok Trybunału dotyczący gwarancji prawa do</w:t>
      </w:r>
      <w:r w:rsidR="00335B71">
        <w:rPr>
          <w:rFonts w:asciiTheme="minorHAnsi" w:hAnsiTheme="minorHAnsi"/>
          <w:sz w:val="24"/>
          <w:lang w:val="pl-PL"/>
        </w:rPr>
        <w:t> </w:t>
      </w:r>
      <w:r w:rsidRPr="00ED0C6A">
        <w:rPr>
          <w:rFonts w:asciiTheme="minorHAnsi" w:hAnsiTheme="minorHAnsi"/>
          <w:sz w:val="24"/>
          <w:lang w:val="pl-PL"/>
        </w:rPr>
        <w:t xml:space="preserve">rzetelnego procesu sądowego w kontekście stosowania ograniczeń w dostępie skarżącego do dokumentów niejawnych, tym razem w sprawie o charakterze </w:t>
      </w:r>
      <w:r w:rsidR="00304947" w:rsidRPr="00ED0C6A">
        <w:rPr>
          <w:rFonts w:asciiTheme="minorHAnsi" w:hAnsiTheme="minorHAnsi"/>
          <w:sz w:val="24"/>
          <w:lang w:val="pl-PL"/>
        </w:rPr>
        <w:t>sądowo-</w:t>
      </w:r>
      <w:r w:rsidRPr="00ED0C6A">
        <w:rPr>
          <w:rFonts w:asciiTheme="minorHAnsi" w:hAnsiTheme="minorHAnsi"/>
          <w:sz w:val="24"/>
          <w:lang w:val="pl-PL"/>
        </w:rPr>
        <w:t xml:space="preserve">administracyjnym (sądowa kontrola prawidłowości </w:t>
      </w:r>
      <w:r w:rsidR="00304947" w:rsidRPr="00ED0C6A">
        <w:rPr>
          <w:rFonts w:asciiTheme="minorHAnsi" w:hAnsiTheme="minorHAnsi"/>
          <w:sz w:val="24"/>
          <w:lang w:val="pl-PL"/>
        </w:rPr>
        <w:t xml:space="preserve">decyzji </w:t>
      </w:r>
      <w:proofErr w:type="spellStart"/>
      <w:r w:rsidR="00304947" w:rsidRPr="00ED0C6A">
        <w:rPr>
          <w:rFonts w:asciiTheme="minorHAnsi" w:hAnsiTheme="minorHAnsi"/>
          <w:sz w:val="24"/>
          <w:lang w:val="pl-PL"/>
        </w:rPr>
        <w:t>ws</w:t>
      </w:r>
      <w:proofErr w:type="spellEnd"/>
      <w:r w:rsidR="00304947" w:rsidRPr="00ED0C6A">
        <w:rPr>
          <w:rFonts w:asciiTheme="minorHAnsi" w:hAnsiTheme="minorHAnsi"/>
          <w:sz w:val="24"/>
          <w:lang w:val="pl-PL"/>
        </w:rPr>
        <w:t xml:space="preserve">. </w:t>
      </w:r>
      <w:r w:rsidRPr="00ED0C6A">
        <w:rPr>
          <w:rFonts w:asciiTheme="minorHAnsi" w:hAnsiTheme="minorHAnsi"/>
          <w:sz w:val="24"/>
          <w:lang w:val="pl-PL"/>
        </w:rPr>
        <w:t>cofnięcia poświadczenia bezpieczeństwa przez</w:t>
      </w:r>
      <w:r w:rsidR="00335B71">
        <w:rPr>
          <w:rFonts w:asciiTheme="minorHAnsi" w:hAnsiTheme="minorHAnsi"/>
          <w:sz w:val="24"/>
          <w:lang w:val="pl-PL"/>
        </w:rPr>
        <w:t> </w:t>
      </w:r>
      <w:r w:rsidRPr="00ED0C6A">
        <w:rPr>
          <w:rFonts w:asciiTheme="minorHAnsi" w:hAnsiTheme="minorHAnsi"/>
          <w:sz w:val="24"/>
          <w:lang w:val="pl-PL"/>
        </w:rPr>
        <w:t>organy bezpieczeństwa). W obecnej sprawie Trybunał przyznał szczególne znaczenie gwarancjom rzetelnego procesu sądowego realizowanym przez sądy w przypadku, gdy brak dostępu do informacji niejawnych skutk</w:t>
      </w:r>
      <w:r w:rsidR="00304947" w:rsidRPr="00ED0C6A">
        <w:rPr>
          <w:rFonts w:asciiTheme="minorHAnsi" w:hAnsiTheme="minorHAnsi"/>
          <w:sz w:val="24"/>
          <w:lang w:val="pl-PL"/>
        </w:rPr>
        <w:t>uje</w:t>
      </w:r>
      <w:r w:rsidRPr="00ED0C6A">
        <w:rPr>
          <w:rFonts w:asciiTheme="minorHAnsi" w:hAnsiTheme="minorHAnsi"/>
          <w:sz w:val="24"/>
          <w:lang w:val="pl-PL"/>
        </w:rPr>
        <w:t xml:space="preserve"> ograniczeniem równości broni i zasad kontradyktoryjności</w:t>
      </w:r>
      <w:r w:rsidR="00304947" w:rsidRPr="00ED0C6A">
        <w:rPr>
          <w:rFonts w:asciiTheme="minorHAnsi" w:hAnsiTheme="minorHAnsi"/>
          <w:sz w:val="24"/>
          <w:lang w:val="pl-PL"/>
        </w:rPr>
        <w:t xml:space="preserve"> wobec skarżącego</w:t>
      </w:r>
      <w:r w:rsidRPr="00ED0C6A">
        <w:rPr>
          <w:rFonts w:asciiTheme="minorHAnsi" w:hAnsiTheme="minorHAnsi"/>
          <w:sz w:val="24"/>
          <w:lang w:val="pl-PL"/>
        </w:rPr>
        <w:t>. Z</w:t>
      </w:r>
      <w:r w:rsidR="00304947" w:rsidRPr="00ED0C6A">
        <w:rPr>
          <w:rFonts w:asciiTheme="minorHAnsi" w:hAnsiTheme="minorHAnsi"/>
          <w:sz w:val="24"/>
          <w:lang w:val="pl-PL"/>
        </w:rPr>
        <w:t>naczenie dla Trybunału m</w:t>
      </w:r>
      <w:r w:rsidR="005F193D" w:rsidRPr="00ED0C6A">
        <w:rPr>
          <w:rFonts w:asciiTheme="minorHAnsi" w:hAnsiTheme="minorHAnsi"/>
          <w:sz w:val="24"/>
          <w:lang w:val="pl-PL"/>
        </w:rPr>
        <w:t>i</w:t>
      </w:r>
      <w:r w:rsidR="00304947" w:rsidRPr="00ED0C6A">
        <w:rPr>
          <w:rFonts w:asciiTheme="minorHAnsi" w:hAnsiTheme="minorHAnsi"/>
          <w:sz w:val="24"/>
          <w:lang w:val="pl-PL"/>
        </w:rPr>
        <w:t>a</w:t>
      </w:r>
      <w:r w:rsidR="005F193D" w:rsidRPr="00ED0C6A">
        <w:rPr>
          <w:rFonts w:asciiTheme="minorHAnsi" w:hAnsiTheme="minorHAnsi"/>
          <w:sz w:val="24"/>
          <w:lang w:val="pl-PL"/>
        </w:rPr>
        <w:t>ł</w:t>
      </w:r>
      <w:r w:rsidRPr="00ED0C6A">
        <w:rPr>
          <w:rFonts w:asciiTheme="minorHAnsi" w:hAnsiTheme="minorHAnsi"/>
          <w:sz w:val="24"/>
          <w:lang w:val="pl-PL"/>
        </w:rPr>
        <w:t xml:space="preserve"> </w:t>
      </w:r>
      <w:r w:rsidR="00304947" w:rsidRPr="00ED0C6A">
        <w:rPr>
          <w:rFonts w:asciiTheme="minorHAnsi" w:hAnsiTheme="minorHAnsi"/>
          <w:sz w:val="24"/>
          <w:lang w:val="pl-PL"/>
        </w:rPr>
        <w:t xml:space="preserve">szczególnie </w:t>
      </w:r>
      <w:r w:rsidRPr="00ED0C6A">
        <w:rPr>
          <w:rFonts w:asciiTheme="minorHAnsi" w:hAnsiTheme="minorHAnsi"/>
          <w:sz w:val="24"/>
          <w:lang w:val="pl-PL"/>
        </w:rPr>
        <w:t>fakt, że</w:t>
      </w:r>
      <w:r w:rsidR="00335B71">
        <w:rPr>
          <w:rFonts w:asciiTheme="minorHAnsi" w:hAnsiTheme="minorHAnsi"/>
          <w:sz w:val="24"/>
          <w:lang w:val="pl-PL"/>
        </w:rPr>
        <w:t> </w:t>
      </w:r>
      <w:r w:rsidRPr="00ED0C6A">
        <w:rPr>
          <w:rFonts w:asciiTheme="minorHAnsi" w:hAnsiTheme="minorHAnsi"/>
          <w:sz w:val="24"/>
          <w:lang w:val="pl-PL"/>
        </w:rPr>
        <w:t>kontrola decyzji administracyjnej przez sądy była pełna, tj. nie</w:t>
      </w:r>
      <w:r w:rsidR="00304947" w:rsidRPr="00ED0C6A">
        <w:rPr>
          <w:rFonts w:asciiTheme="minorHAnsi" w:hAnsiTheme="minorHAnsi"/>
          <w:sz w:val="24"/>
          <w:lang w:val="pl-PL"/>
        </w:rPr>
        <w:t xml:space="preserve"> była </w:t>
      </w:r>
      <w:r w:rsidRPr="00ED0C6A">
        <w:rPr>
          <w:rFonts w:asciiTheme="minorHAnsi" w:hAnsiTheme="minorHAnsi"/>
          <w:sz w:val="24"/>
          <w:lang w:val="pl-PL"/>
        </w:rPr>
        <w:t>ograniczona jedynie do</w:t>
      </w:r>
      <w:r w:rsidR="00335B71">
        <w:rPr>
          <w:rFonts w:asciiTheme="minorHAnsi" w:hAnsiTheme="minorHAnsi"/>
          <w:sz w:val="24"/>
          <w:lang w:val="pl-PL"/>
        </w:rPr>
        <w:t> </w:t>
      </w:r>
      <w:r w:rsidRPr="00ED0C6A">
        <w:rPr>
          <w:rFonts w:asciiTheme="minorHAnsi" w:hAnsiTheme="minorHAnsi"/>
          <w:sz w:val="24"/>
          <w:lang w:val="pl-PL"/>
        </w:rPr>
        <w:t xml:space="preserve">kwestii formalnych, ale obejmowała także meritum sprawy. Istotne znaczenie miał także fakt, że sąd dokonał oceny </w:t>
      </w:r>
      <w:r w:rsidR="00304947" w:rsidRPr="00ED0C6A">
        <w:rPr>
          <w:rFonts w:asciiTheme="minorHAnsi" w:hAnsiTheme="minorHAnsi"/>
          <w:sz w:val="24"/>
          <w:lang w:val="pl-PL"/>
        </w:rPr>
        <w:t xml:space="preserve">także </w:t>
      </w:r>
      <w:r w:rsidRPr="00ED0C6A">
        <w:rPr>
          <w:rFonts w:asciiTheme="minorHAnsi" w:hAnsiTheme="minorHAnsi"/>
          <w:sz w:val="24"/>
          <w:lang w:val="pl-PL"/>
        </w:rPr>
        <w:t>zasadności zachowania niejawności przedmiotowych dokumentów. Wreszcie, Trybunał podkreślił znaczenie odpowiedniego sformułowania uzasadnienia orzeczenia sądu w tej sprawie.</w:t>
      </w:r>
    </w:p>
    <w:p w:rsidR="000D134E" w:rsidRPr="00ED0C6A" w:rsidRDefault="000D134E" w:rsidP="008176C7">
      <w:pPr>
        <w:pStyle w:val="ClinContent"/>
        <w:spacing w:before="0"/>
        <w:rPr>
          <w:rFonts w:asciiTheme="minorHAnsi" w:hAnsiTheme="minorHAnsi"/>
          <w:sz w:val="24"/>
          <w:lang w:val="pl-PL"/>
        </w:rPr>
      </w:pPr>
    </w:p>
    <w:p w:rsidR="000D134E" w:rsidRPr="00ED0C6A" w:rsidRDefault="000D134E" w:rsidP="008176C7">
      <w:pPr>
        <w:pStyle w:val="ClinContent"/>
        <w:spacing w:before="0"/>
        <w:rPr>
          <w:rFonts w:asciiTheme="minorHAnsi" w:hAnsiTheme="minorHAnsi"/>
          <w:sz w:val="24"/>
          <w:u w:val="single"/>
          <w:lang w:val="pl-PL"/>
        </w:rPr>
      </w:pPr>
      <w:r w:rsidRPr="00ED0C6A">
        <w:rPr>
          <w:rFonts w:asciiTheme="minorHAnsi" w:hAnsiTheme="minorHAnsi"/>
          <w:sz w:val="24"/>
          <w:lang w:val="pl-PL"/>
        </w:rPr>
        <w:t xml:space="preserve">Wyrok może mieć znaczenie dla organów bezpieczeństwa, organów właściwych ds. ochrony informacji niejawnych, a także sądów administracyjnych i sądów powszechnych.  </w:t>
      </w:r>
    </w:p>
    <w:p w:rsidR="008B0782" w:rsidRPr="00ED0C6A" w:rsidRDefault="008B0782" w:rsidP="009333A7">
      <w:pPr>
        <w:pStyle w:val="Nagwek2"/>
        <w:spacing w:before="480"/>
        <w:rPr>
          <w:rFonts w:asciiTheme="minorHAnsi" w:hAnsiTheme="minorHAnsi"/>
          <w:color w:val="auto"/>
          <w:sz w:val="24"/>
          <w:szCs w:val="24"/>
        </w:rPr>
      </w:pPr>
      <w:bookmarkStart w:id="25" w:name="_Toc524696741"/>
      <w:proofErr w:type="spellStart"/>
      <w:r w:rsidRPr="00ED0C6A">
        <w:rPr>
          <w:rFonts w:asciiTheme="minorHAnsi" w:hAnsiTheme="minorHAnsi"/>
          <w:color w:val="auto"/>
          <w:sz w:val="24"/>
          <w:szCs w:val="24"/>
        </w:rPr>
        <w:t>Satakunnan</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Markkinapörssi</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Oy</w:t>
      </w:r>
      <w:proofErr w:type="spellEnd"/>
      <w:r w:rsidRPr="00ED0C6A">
        <w:rPr>
          <w:rFonts w:asciiTheme="minorHAnsi" w:hAnsiTheme="minorHAnsi"/>
          <w:color w:val="auto"/>
          <w:sz w:val="24"/>
          <w:szCs w:val="24"/>
        </w:rPr>
        <w:t xml:space="preserve"> i </w:t>
      </w:r>
      <w:proofErr w:type="spellStart"/>
      <w:r w:rsidRPr="00ED0C6A">
        <w:rPr>
          <w:rFonts w:asciiTheme="minorHAnsi" w:hAnsiTheme="minorHAnsi"/>
          <w:color w:val="auto"/>
          <w:sz w:val="24"/>
          <w:szCs w:val="24"/>
        </w:rPr>
        <w:t>Satamedia</w:t>
      </w:r>
      <w:proofErr w:type="spellEnd"/>
      <w:r w:rsidRPr="00ED0C6A">
        <w:rPr>
          <w:rFonts w:asciiTheme="minorHAnsi" w:hAnsiTheme="minorHAnsi"/>
          <w:color w:val="auto"/>
          <w:sz w:val="24"/>
          <w:szCs w:val="24"/>
        </w:rPr>
        <w:t xml:space="preserve"> </w:t>
      </w:r>
      <w:proofErr w:type="spellStart"/>
      <w:r w:rsidRPr="00ED0C6A">
        <w:rPr>
          <w:rFonts w:asciiTheme="minorHAnsi" w:hAnsiTheme="minorHAnsi"/>
          <w:color w:val="auto"/>
          <w:sz w:val="24"/>
          <w:szCs w:val="24"/>
        </w:rPr>
        <w:t>Oy</w:t>
      </w:r>
      <w:proofErr w:type="spellEnd"/>
      <w:r w:rsidRPr="00ED0C6A">
        <w:rPr>
          <w:rFonts w:asciiTheme="minorHAnsi" w:hAnsiTheme="minorHAnsi"/>
          <w:color w:val="auto"/>
          <w:sz w:val="24"/>
          <w:szCs w:val="24"/>
        </w:rPr>
        <w:t xml:space="preserve"> p. Finlandii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931/13</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FA6421"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 27</w:t>
      </w:r>
      <w:r w:rsidR="00B4260D" w:rsidRPr="00ED0C6A">
        <w:rPr>
          <w:rFonts w:asciiTheme="minorHAnsi" w:hAnsiTheme="minorHAnsi"/>
          <w:color w:val="auto"/>
          <w:sz w:val="24"/>
          <w:szCs w:val="24"/>
        </w:rPr>
        <w:t xml:space="preserve"> czerwca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25"/>
    </w:p>
    <w:p w:rsidR="008B0782" w:rsidRPr="00ED0C6A" w:rsidRDefault="008B0782"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A56F88" w:rsidRPr="00ED0C6A">
        <w:rPr>
          <w:b/>
          <w:color w:val="000000" w:themeColor="text1"/>
          <w:sz w:val="24"/>
          <w:szCs w:val="24"/>
          <w:lang w:val="pl-PL"/>
        </w:rPr>
        <w:t xml:space="preserve"> art. 10 Konwencji (wolność wyrażania opinii – aspekt wolności przekazywania informacji) w odniesieniu do zarządzenia</w:t>
      </w:r>
      <w:r w:rsidR="000F01D8" w:rsidRPr="00ED0C6A">
        <w:rPr>
          <w:b/>
          <w:color w:val="000000" w:themeColor="text1"/>
          <w:sz w:val="24"/>
          <w:szCs w:val="24"/>
          <w:lang w:val="pl-PL"/>
        </w:rPr>
        <w:t xml:space="preserve"> ograniczającego masową publikację </w:t>
      </w:r>
      <w:r w:rsidR="00A56F88" w:rsidRPr="00ED0C6A">
        <w:rPr>
          <w:b/>
          <w:color w:val="000000" w:themeColor="text1"/>
          <w:sz w:val="24"/>
          <w:szCs w:val="24"/>
          <w:lang w:val="pl-PL"/>
        </w:rPr>
        <w:t>informacji podatkowych przez skarżące spółki w gazecie i w drodze usługi SMS</w:t>
      </w: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Pierwsza skarżąca spółka (</w:t>
      </w:r>
      <w:proofErr w:type="spellStart"/>
      <w:r w:rsidRPr="00ED0C6A">
        <w:rPr>
          <w:rFonts w:asciiTheme="minorHAnsi" w:hAnsiTheme="minorHAnsi"/>
          <w:sz w:val="24"/>
          <w:lang w:val="pl-PL"/>
        </w:rPr>
        <w:t>Satakunnan</w:t>
      </w:r>
      <w:proofErr w:type="spellEnd"/>
      <w:r w:rsidRPr="00ED0C6A">
        <w:rPr>
          <w:rFonts w:asciiTheme="minorHAnsi" w:hAnsiTheme="minorHAnsi"/>
          <w:sz w:val="24"/>
          <w:lang w:val="pl-PL"/>
        </w:rPr>
        <w:t xml:space="preserve"> </w:t>
      </w:r>
      <w:proofErr w:type="spellStart"/>
      <w:r w:rsidRPr="00ED0C6A">
        <w:rPr>
          <w:rFonts w:asciiTheme="minorHAnsi" w:hAnsiTheme="minorHAnsi"/>
          <w:sz w:val="24"/>
          <w:lang w:val="pl-PL"/>
        </w:rPr>
        <w:t>Markkinapörssi</w:t>
      </w:r>
      <w:proofErr w:type="spellEnd"/>
      <w:r w:rsidRPr="00ED0C6A">
        <w:rPr>
          <w:rFonts w:asciiTheme="minorHAnsi" w:hAnsiTheme="minorHAnsi"/>
          <w:sz w:val="24"/>
          <w:lang w:val="pl-PL"/>
        </w:rPr>
        <w:t xml:space="preserve"> </w:t>
      </w:r>
      <w:proofErr w:type="spellStart"/>
      <w:r w:rsidRPr="00ED0C6A">
        <w:rPr>
          <w:rFonts w:asciiTheme="minorHAnsi" w:hAnsiTheme="minorHAnsi"/>
          <w:sz w:val="24"/>
          <w:lang w:val="pl-PL"/>
        </w:rPr>
        <w:t>Oy</w:t>
      </w:r>
      <w:proofErr w:type="spellEnd"/>
      <w:r w:rsidRPr="00ED0C6A">
        <w:rPr>
          <w:rFonts w:asciiTheme="minorHAnsi" w:hAnsiTheme="minorHAnsi"/>
          <w:sz w:val="24"/>
          <w:lang w:val="pl-PL"/>
        </w:rPr>
        <w:t xml:space="preserve">) </w:t>
      </w:r>
      <w:r w:rsidR="003A24B9" w:rsidRPr="00ED0C6A">
        <w:rPr>
          <w:rFonts w:asciiTheme="minorHAnsi" w:hAnsiTheme="minorHAnsi"/>
          <w:sz w:val="24"/>
          <w:lang w:val="pl-PL"/>
        </w:rPr>
        <w:t>o</w:t>
      </w:r>
      <w:r w:rsidRPr="00ED0C6A">
        <w:rPr>
          <w:rFonts w:asciiTheme="minorHAnsi" w:hAnsiTheme="minorHAnsi"/>
          <w:sz w:val="24"/>
          <w:lang w:val="pl-PL"/>
        </w:rPr>
        <w:t xml:space="preserve">publikowała gazetę </w:t>
      </w:r>
      <w:r w:rsidR="003A24B9" w:rsidRPr="00ED0C6A">
        <w:rPr>
          <w:rFonts w:asciiTheme="minorHAnsi" w:hAnsiTheme="minorHAnsi"/>
          <w:sz w:val="24"/>
          <w:lang w:val="pl-PL"/>
        </w:rPr>
        <w:t>zawierająca</w:t>
      </w:r>
      <w:r w:rsidRPr="00ED0C6A">
        <w:rPr>
          <w:rFonts w:asciiTheme="minorHAnsi" w:hAnsiTheme="minorHAnsi"/>
          <w:sz w:val="24"/>
          <w:lang w:val="pl-PL"/>
        </w:rPr>
        <w:t xml:space="preserve"> informacje na temat podlegających opodatkowaniu dochod</w:t>
      </w:r>
      <w:r w:rsidR="00E0626A" w:rsidRPr="00ED0C6A">
        <w:rPr>
          <w:rFonts w:asciiTheme="minorHAnsi" w:hAnsiTheme="minorHAnsi"/>
          <w:sz w:val="24"/>
          <w:lang w:val="pl-PL"/>
        </w:rPr>
        <w:t>ów i aktywów</w:t>
      </w:r>
      <w:r w:rsidRPr="00ED0C6A">
        <w:rPr>
          <w:rFonts w:asciiTheme="minorHAnsi" w:hAnsiTheme="minorHAnsi"/>
          <w:sz w:val="24"/>
          <w:lang w:val="pl-PL"/>
        </w:rPr>
        <w:t xml:space="preserve"> fińskich podatników. Informacja ta była z mocy prawa publiczna</w:t>
      </w:r>
      <w:r w:rsidR="00E04363" w:rsidRPr="00ED0C6A">
        <w:rPr>
          <w:rStyle w:val="Odwoanieprzypisudolnego"/>
          <w:rFonts w:asciiTheme="minorHAnsi" w:hAnsiTheme="minorHAnsi"/>
          <w:sz w:val="24"/>
          <w:lang w:val="pl-PL"/>
        </w:rPr>
        <w:footnoteReference w:id="28"/>
      </w:r>
      <w:r w:rsidRPr="00ED0C6A">
        <w:rPr>
          <w:rFonts w:asciiTheme="minorHAnsi" w:hAnsiTheme="minorHAnsi"/>
          <w:sz w:val="24"/>
          <w:lang w:val="pl-PL"/>
        </w:rPr>
        <w:t>.* Druga skarżąca spółka (</w:t>
      </w:r>
      <w:proofErr w:type="spellStart"/>
      <w:r w:rsidRPr="00ED0C6A">
        <w:rPr>
          <w:rFonts w:asciiTheme="minorHAnsi" w:hAnsiTheme="minorHAnsi"/>
          <w:sz w:val="24"/>
          <w:lang w:val="pl-PL"/>
        </w:rPr>
        <w:t>Satamedia</w:t>
      </w:r>
      <w:proofErr w:type="spellEnd"/>
      <w:r w:rsidRPr="00ED0C6A">
        <w:rPr>
          <w:rFonts w:asciiTheme="minorHAnsi" w:hAnsiTheme="minorHAnsi"/>
          <w:sz w:val="24"/>
          <w:lang w:val="pl-PL"/>
        </w:rPr>
        <w:t xml:space="preserve"> </w:t>
      </w:r>
      <w:proofErr w:type="spellStart"/>
      <w:r w:rsidRPr="00ED0C6A">
        <w:rPr>
          <w:rFonts w:asciiTheme="minorHAnsi" w:hAnsiTheme="minorHAnsi"/>
          <w:sz w:val="24"/>
          <w:lang w:val="pl-PL"/>
        </w:rPr>
        <w:t>Oy</w:t>
      </w:r>
      <w:proofErr w:type="spellEnd"/>
      <w:r w:rsidRPr="00ED0C6A">
        <w:rPr>
          <w:rFonts w:asciiTheme="minorHAnsi" w:hAnsiTheme="minorHAnsi"/>
          <w:sz w:val="24"/>
          <w:lang w:val="pl-PL"/>
        </w:rPr>
        <w:t xml:space="preserve">) oferowała usługę dostarczania informacji podatkowej za pomocą wiadomości tekstowych (SMS). </w:t>
      </w:r>
    </w:p>
    <w:p w:rsidR="002052AA" w:rsidRPr="00ED0C6A" w:rsidRDefault="002052AA" w:rsidP="008176C7">
      <w:pPr>
        <w:pStyle w:val="ClinContent"/>
        <w:spacing w:before="0"/>
        <w:rPr>
          <w:rFonts w:asciiTheme="minorHAnsi" w:hAnsiTheme="minorHAnsi"/>
          <w:sz w:val="24"/>
          <w:lang w:val="pl-PL"/>
        </w:rPr>
      </w:pPr>
    </w:p>
    <w:p w:rsidR="002052AA"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W kwietniu 2003 r. Rzecznik ds. Ochrony Danych Osobowych wystąpił do Rady ds. Ochrony Danych Osobowych o powstrzymanie skarżących spółek od przetwarzania danych podatkowych w sposób i w zakresie, w jakim robiły to w 2002 r., i od przekazywania takich danych do usług SMS-owych. Rada ds. Ochrony Danych Osobowych oddaliła wniosek Rzecznika na tej podstawie, że skarżące spółki zaangażowane były w działalność dziennikarską i jako takie były uprawnione do wyłączenia przewidzianego na podstawie art. 2 ust. 5 </w:t>
      </w:r>
      <w:r w:rsidRPr="00ED0C6A">
        <w:rPr>
          <w:rFonts w:asciiTheme="minorHAnsi" w:hAnsiTheme="minorHAnsi"/>
          <w:i/>
          <w:sz w:val="24"/>
          <w:lang w:val="pl-PL"/>
        </w:rPr>
        <w:t>ustawy o ochronie danych osobowych</w:t>
      </w:r>
      <w:r w:rsidRPr="00ED0C6A">
        <w:rPr>
          <w:rFonts w:asciiTheme="minorHAnsi" w:hAnsiTheme="minorHAnsi"/>
          <w:sz w:val="24"/>
          <w:lang w:val="pl-PL"/>
        </w:rPr>
        <w:t xml:space="preserve">. </w:t>
      </w:r>
    </w:p>
    <w:p w:rsidR="002052AA" w:rsidRPr="00ED0C6A" w:rsidRDefault="002052AA" w:rsidP="008176C7">
      <w:pPr>
        <w:pStyle w:val="ClinContent"/>
        <w:spacing w:before="0"/>
        <w:rPr>
          <w:rFonts w:asciiTheme="minorHAnsi" w:hAnsiTheme="minorHAnsi"/>
          <w:sz w:val="24"/>
          <w:lang w:val="pl-PL"/>
        </w:rPr>
      </w:pP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Sprawa została następnie przekazana do Naczelnego Sądu Administracyjnego, który w lutym 2007 r. wystąpił o orzeczenie prejudycjalne do Trybunału Sprawiedliwości Unii Europejskiej (TSUE) w sprawie wykładni Dyrektywy UE w sprawie ochrony danych osobowych</w:t>
      </w:r>
      <w:r w:rsidR="00E04363" w:rsidRPr="00ED0C6A">
        <w:rPr>
          <w:rStyle w:val="Odwoanieprzypisudolnego"/>
          <w:rFonts w:asciiTheme="minorHAnsi" w:hAnsiTheme="minorHAnsi"/>
          <w:sz w:val="24"/>
          <w:lang w:val="pl-PL"/>
        </w:rPr>
        <w:footnoteReference w:id="29"/>
      </w:r>
      <w:r w:rsidRPr="00ED0C6A">
        <w:rPr>
          <w:rFonts w:asciiTheme="minorHAnsi" w:hAnsiTheme="minorHAnsi"/>
          <w:sz w:val="24"/>
          <w:lang w:val="pl-PL"/>
        </w:rPr>
        <w:t>. W</w:t>
      </w:r>
      <w:r w:rsidR="00335B71">
        <w:rPr>
          <w:rFonts w:asciiTheme="minorHAnsi" w:hAnsiTheme="minorHAnsi"/>
          <w:sz w:val="24"/>
          <w:lang w:val="pl-PL"/>
        </w:rPr>
        <w:t> </w:t>
      </w:r>
      <w:r w:rsidRPr="00ED0C6A">
        <w:rPr>
          <w:rFonts w:asciiTheme="minorHAnsi" w:hAnsiTheme="minorHAnsi"/>
          <w:sz w:val="24"/>
          <w:lang w:val="pl-PL"/>
        </w:rPr>
        <w:t>wyroku z dnia 16 grudnia 2008 r.</w:t>
      </w:r>
      <w:r w:rsidR="00E04363" w:rsidRPr="00ED0C6A">
        <w:rPr>
          <w:rStyle w:val="Odwoanieprzypisudolnego"/>
          <w:rFonts w:asciiTheme="minorHAnsi" w:hAnsiTheme="minorHAnsi"/>
          <w:sz w:val="24"/>
          <w:lang w:val="pl-PL"/>
        </w:rPr>
        <w:footnoteReference w:id="30"/>
      </w:r>
      <w:r w:rsidRPr="00ED0C6A">
        <w:rPr>
          <w:rFonts w:asciiTheme="minorHAnsi" w:hAnsiTheme="minorHAnsi"/>
          <w:sz w:val="24"/>
          <w:lang w:val="pl-PL"/>
        </w:rPr>
        <w:t xml:space="preserve"> TSUE orzekł, że działania w odniesieniu do danych pochodzących z dokumentów </w:t>
      </w:r>
      <w:r w:rsidR="003A24B9" w:rsidRPr="00ED0C6A">
        <w:rPr>
          <w:rFonts w:asciiTheme="minorHAnsi" w:hAnsiTheme="minorHAnsi"/>
          <w:sz w:val="24"/>
          <w:lang w:val="pl-PL"/>
        </w:rPr>
        <w:t>funkcjonujących</w:t>
      </w:r>
      <w:r w:rsidRPr="00ED0C6A">
        <w:rPr>
          <w:rFonts w:asciiTheme="minorHAnsi" w:hAnsiTheme="minorHAnsi"/>
          <w:sz w:val="24"/>
          <w:lang w:val="pl-PL"/>
        </w:rPr>
        <w:t xml:space="preserve"> na podstawie ustawodawstwa krajowego w</w:t>
      </w:r>
      <w:r w:rsidR="00335B71">
        <w:rPr>
          <w:rFonts w:asciiTheme="minorHAnsi" w:hAnsiTheme="minorHAnsi"/>
          <w:sz w:val="24"/>
          <w:lang w:val="pl-PL"/>
        </w:rPr>
        <w:t> </w:t>
      </w:r>
      <w:r w:rsidR="003A24B9" w:rsidRPr="00ED0C6A">
        <w:rPr>
          <w:rFonts w:asciiTheme="minorHAnsi" w:hAnsiTheme="minorHAnsi"/>
          <w:sz w:val="24"/>
          <w:lang w:val="pl-PL"/>
        </w:rPr>
        <w:t xml:space="preserve">przestrzeni </w:t>
      </w:r>
      <w:r w:rsidRPr="00ED0C6A">
        <w:rPr>
          <w:rFonts w:asciiTheme="minorHAnsi" w:hAnsiTheme="minorHAnsi"/>
          <w:sz w:val="24"/>
          <w:lang w:val="pl-PL"/>
        </w:rPr>
        <w:t>publicznej mogą być zakwalifikowane jako „działalność dziennikarska”, jeśli</w:t>
      </w:r>
      <w:r w:rsidR="00110B07">
        <w:rPr>
          <w:rFonts w:asciiTheme="minorHAnsi" w:hAnsiTheme="minorHAnsi"/>
          <w:sz w:val="24"/>
          <w:lang w:val="pl-PL"/>
        </w:rPr>
        <w:t> </w:t>
      </w:r>
      <w:r w:rsidRPr="00ED0C6A">
        <w:rPr>
          <w:rFonts w:asciiTheme="minorHAnsi" w:hAnsiTheme="minorHAnsi"/>
          <w:sz w:val="24"/>
          <w:lang w:val="pl-PL"/>
        </w:rPr>
        <w:t>ich</w:t>
      </w:r>
      <w:r w:rsidR="00110B07">
        <w:rPr>
          <w:rFonts w:asciiTheme="minorHAnsi" w:hAnsiTheme="minorHAnsi"/>
          <w:sz w:val="24"/>
          <w:lang w:val="pl-PL"/>
        </w:rPr>
        <w:t> </w:t>
      </w:r>
      <w:r w:rsidRPr="00ED0C6A">
        <w:rPr>
          <w:rFonts w:asciiTheme="minorHAnsi" w:hAnsiTheme="minorHAnsi"/>
          <w:sz w:val="24"/>
          <w:lang w:val="pl-PL"/>
        </w:rPr>
        <w:t xml:space="preserve">przedmiotem jest </w:t>
      </w:r>
      <w:r w:rsidR="003A24B9" w:rsidRPr="00ED0C6A">
        <w:rPr>
          <w:rFonts w:asciiTheme="minorHAnsi" w:hAnsiTheme="minorHAnsi"/>
          <w:sz w:val="24"/>
          <w:lang w:val="pl-PL"/>
        </w:rPr>
        <w:t xml:space="preserve">przekazanie do publicznej wiadomości </w:t>
      </w:r>
      <w:r w:rsidRPr="00ED0C6A">
        <w:rPr>
          <w:rFonts w:asciiTheme="minorHAnsi" w:hAnsiTheme="minorHAnsi"/>
          <w:sz w:val="24"/>
          <w:lang w:val="pl-PL"/>
        </w:rPr>
        <w:t>informacji, opinii lub idei</w:t>
      </w:r>
      <w:r w:rsidR="003A24B9" w:rsidRPr="00ED0C6A">
        <w:rPr>
          <w:rFonts w:asciiTheme="minorHAnsi" w:hAnsiTheme="minorHAnsi"/>
          <w:sz w:val="24"/>
          <w:lang w:val="pl-PL"/>
        </w:rPr>
        <w:t>,</w:t>
      </w:r>
      <w:r w:rsidRPr="00ED0C6A">
        <w:rPr>
          <w:rFonts w:asciiTheme="minorHAnsi" w:hAnsiTheme="minorHAnsi"/>
          <w:sz w:val="24"/>
          <w:lang w:val="pl-PL"/>
        </w:rPr>
        <w:t xml:space="preserve"> niezależnie od</w:t>
      </w:r>
      <w:r w:rsidR="00E0626A" w:rsidRPr="00ED0C6A">
        <w:rPr>
          <w:rFonts w:asciiTheme="minorHAnsi" w:hAnsiTheme="minorHAnsi"/>
          <w:sz w:val="24"/>
          <w:lang w:val="pl-PL"/>
        </w:rPr>
        <w:t xml:space="preserve"> nośnika</w:t>
      </w:r>
      <w:r w:rsidRPr="00ED0C6A">
        <w:rPr>
          <w:rFonts w:asciiTheme="minorHAnsi" w:hAnsiTheme="minorHAnsi"/>
          <w:sz w:val="24"/>
          <w:lang w:val="pl-PL"/>
        </w:rPr>
        <w:t xml:space="preserve"> użytego w celu ich przekazania. We wrześniu 2009 r. Naczelny Sąd Administracyjny nakazał Radzie ds. Ochrony Danych Osobowych, by zakazała przetwarzania danych podatkowych w sposób i w zakresie, w jakim </w:t>
      </w:r>
      <w:r w:rsidR="003A24B9" w:rsidRPr="00ED0C6A">
        <w:rPr>
          <w:rFonts w:asciiTheme="minorHAnsi" w:hAnsiTheme="minorHAnsi"/>
          <w:sz w:val="24"/>
          <w:lang w:val="pl-PL"/>
        </w:rPr>
        <w:t xml:space="preserve">skarżące spółki </w:t>
      </w:r>
      <w:r w:rsidRPr="00ED0C6A">
        <w:rPr>
          <w:rFonts w:asciiTheme="minorHAnsi" w:hAnsiTheme="minorHAnsi"/>
          <w:sz w:val="24"/>
          <w:lang w:val="pl-PL"/>
        </w:rPr>
        <w:t>zrealizowały to</w:t>
      </w:r>
      <w:r w:rsidR="00335B71">
        <w:rPr>
          <w:rFonts w:asciiTheme="minorHAnsi" w:hAnsiTheme="minorHAnsi"/>
          <w:sz w:val="24"/>
          <w:lang w:val="pl-PL"/>
        </w:rPr>
        <w:t> </w:t>
      </w:r>
      <w:r w:rsidRPr="00ED0C6A">
        <w:rPr>
          <w:rFonts w:asciiTheme="minorHAnsi" w:hAnsiTheme="minorHAnsi"/>
          <w:sz w:val="24"/>
          <w:lang w:val="pl-PL"/>
        </w:rPr>
        <w:t>w</w:t>
      </w:r>
      <w:r w:rsidR="00335B71">
        <w:rPr>
          <w:rFonts w:asciiTheme="minorHAnsi" w:hAnsiTheme="minorHAnsi"/>
          <w:sz w:val="24"/>
          <w:lang w:val="pl-PL"/>
        </w:rPr>
        <w:t> </w:t>
      </w:r>
      <w:r w:rsidRPr="00ED0C6A">
        <w:rPr>
          <w:rFonts w:asciiTheme="minorHAnsi" w:hAnsiTheme="minorHAnsi"/>
          <w:sz w:val="24"/>
          <w:lang w:val="pl-PL"/>
        </w:rPr>
        <w:t>2002</w:t>
      </w:r>
      <w:r w:rsidR="00335B71">
        <w:rPr>
          <w:rFonts w:asciiTheme="minorHAnsi" w:hAnsiTheme="minorHAnsi"/>
          <w:sz w:val="24"/>
          <w:lang w:val="pl-PL"/>
        </w:rPr>
        <w:t> </w:t>
      </w:r>
      <w:r w:rsidRPr="00ED0C6A">
        <w:rPr>
          <w:rFonts w:asciiTheme="minorHAnsi" w:hAnsiTheme="minorHAnsi"/>
          <w:sz w:val="24"/>
          <w:lang w:val="pl-PL"/>
        </w:rPr>
        <w:t>r. Odnotowując</w:t>
      </w:r>
      <w:r w:rsidR="003A24B9" w:rsidRPr="00ED0C6A">
        <w:rPr>
          <w:rFonts w:asciiTheme="minorHAnsi" w:hAnsiTheme="minorHAnsi"/>
          <w:sz w:val="24"/>
          <w:lang w:val="pl-PL"/>
        </w:rPr>
        <w:t xml:space="preserve"> stwierdzenie </w:t>
      </w:r>
      <w:r w:rsidRPr="00ED0C6A">
        <w:rPr>
          <w:rFonts w:asciiTheme="minorHAnsi" w:hAnsiTheme="minorHAnsi"/>
          <w:sz w:val="24"/>
          <w:lang w:val="pl-PL"/>
        </w:rPr>
        <w:t>TSUE, że decydującym czynnikiem jest ocena, czy</w:t>
      </w:r>
      <w:r w:rsidR="00335B71">
        <w:rPr>
          <w:rFonts w:asciiTheme="minorHAnsi" w:hAnsiTheme="minorHAnsi"/>
          <w:sz w:val="24"/>
          <w:lang w:val="pl-PL"/>
        </w:rPr>
        <w:t> </w:t>
      </w:r>
      <w:r w:rsidRPr="00ED0C6A">
        <w:rPr>
          <w:rFonts w:asciiTheme="minorHAnsi" w:hAnsiTheme="minorHAnsi"/>
          <w:sz w:val="24"/>
          <w:lang w:val="pl-PL"/>
        </w:rPr>
        <w:t>publikacja przyczynia się do debaty publicznej, czy też ma na celu jedynie zaspokojenie ciekawości czytelników, Naczelny Sąd Administracyjny uznał, że publikacja całej bazy danych zebranych na potrzeby dziennikarskie i przekazywanie informacji za pomocą</w:t>
      </w:r>
      <w:r w:rsidR="001078D0" w:rsidRPr="00ED0C6A">
        <w:rPr>
          <w:rFonts w:asciiTheme="minorHAnsi" w:hAnsiTheme="minorHAnsi"/>
          <w:sz w:val="24"/>
          <w:lang w:val="pl-PL"/>
        </w:rPr>
        <w:t xml:space="preserve"> </w:t>
      </w:r>
      <w:r w:rsidR="003A24B9" w:rsidRPr="00ED0C6A">
        <w:rPr>
          <w:rFonts w:asciiTheme="minorHAnsi" w:hAnsiTheme="minorHAnsi"/>
          <w:sz w:val="24"/>
          <w:lang w:val="pl-PL"/>
        </w:rPr>
        <w:t>wiadomości</w:t>
      </w:r>
      <w:r w:rsidRPr="00ED0C6A">
        <w:rPr>
          <w:rFonts w:asciiTheme="minorHAnsi" w:hAnsiTheme="minorHAnsi"/>
          <w:sz w:val="24"/>
          <w:lang w:val="pl-PL"/>
        </w:rPr>
        <w:t xml:space="preserve"> SMS nie może być uważane za działalność dziennikarską. </w:t>
      </w:r>
    </w:p>
    <w:p w:rsidR="002052AA" w:rsidRPr="00ED0C6A" w:rsidRDefault="002052AA" w:rsidP="008176C7">
      <w:pPr>
        <w:pStyle w:val="ClinContent"/>
        <w:spacing w:before="0"/>
        <w:rPr>
          <w:rFonts w:asciiTheme="minorHAnsi" w:hAnsiTheme="minorHAnsi"/>
          <w:sz w:val="24"/>
          <w:lang w:val="pl-PL"/>
        </w:rPr>
      </w:pPr>
    </w:p>
    <w:p w:rsidR="002052AA" w:rsidRPr="00ED0C6A" w:rsidRDefault="002052AA"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Przed Europejskim Trybunałem Praw Człowieka </w:t>
      </w:r>
      <w:r w:rsidR="008B0782" w:rsidRPr="00ED0C6A">
        <w:rPr>
          <w:rFonts w:asciiTheme="minorHAnsi" w:hAnsiTheme="minorHAnsi"/>
          <w:sz w:val="24"/>
          <w:lang w:val="pl-PL"/>
        </w:rPr>
        <w:t>skarżące spółki zarzucały, między innymi, naruszenie art. 10 Konwencji</w:t>
      </w:r>
      <w:r w:rsidRPr="00ED0C6A">
        <w:rPr>
          <w:rFonts w:asciiTheme="minorHAnsi" w:hAnsiTheme="minorHAnsi"/>
          <w:sz w:val="24"/>
          <w:lang w:val="pl-PL"/>
        </w:rPr>
        <w:t xml:space="preserve"> chroniącego wolność wyrażania opinii</w:t>
      </w:r>
      <w:r w:rsidR="008B0782" w:rsidRPr="00ED0C6A">
        <w:rPr>
          <w:rFonts w:asciiTheme="minorHAnsi" w:hAnsiTheme="minorHAnsi"/>
          <w:sz w:val="24"/>
          <w:lang w:val="pl-PL"/>
        </w:rPr>
        <w:t xml:space="preserve">. </w:t>
      </w:r>
    </w:p>
    <w:p w:rsidR="002052AA" w:rsidRPr="00ED0C6A" w:rsidRDefault="002052AA" w:rsidP="008176C7">
      <w:pPr>
        <w:pStyle w:val="ClinContent"/>
        <w:spacing w:before="0"/>
        <w:rPr>
          <w:rFonts w:asciiTheme="minorHAnsi" w:hAnsiTheme="minorHAnsi"/>
          <w:sz w:val="24"/>
          <w:lang w:val="pl-PL"/>
        </w:rPr>
      </w:pP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W wyroku z dnia 21 lipca 2015 r. Izba Trybunału orzekła, sześcioma głosami do jednego, że</w:t>
      </w:r>
      <w:r w:rsidR="00335B71">
        <w:rPr>
          <w:rFonts w:asciiTheme="minorHAnsi" w:hAnsiTheme="minorHAnsi"/>
          <w:sz w:val="24"/>
          <w:lang w:val="pl-PL"/>
        </w:rPr>
        <w:t> </w:t>
      </w:r>
      <w:r w:rsidRPr="00ED0C6A">
        <w:rPr>
          <w:rFonts w:asciiTheme="minorHAnsi" w:hAnsiTheme="minorHAnsi"/>
          <w:sz w:val="24"/>
          <w:lang w:val="pl-PL"/>
        </w:rPr>
        <w:t xml:space="preserve">nie doszło do naruszenia tego postanowienia. W dniu 14 grudnia 2015 r. sprawa została przekazana na wniosek skarżących do Wielkiej Izby. </w:t>
      </w:r>
    </w:p>
    <w:p w:rsidR="002052AA" w:rsidRPr="00ED0C6A" w:rsidRDefault="002052AA" w:rsidP="008176C7">
      <w:pPr>
        <w:pStyle w:val="ClinContent"/>
        <w:spacing w:before="0"/>
        <w:rPr>
          <w:rFonts w:asciiTheme="minorHAnsi" w:hAnsiTheme="minorHAnsi"/>
          <w:i/>
          <w:sz w:val="24"/>
          <w:lang w:val="pl-PL"/>
        </w:rPr>
      </w:pPr>
    </w:p>
    <w:p w:rsidR="002E1AF1" w:rsidRPr="00ED0C6A" w:rsidRDefault="001D2CE9" w:rsidP="008176C7">
      <w:pPr>
        <w:pStyle w:val="ClinContent"/>
        <w:spacing w:before="0"/>
        <w:rPr>
          <w:rFonts w:asciiTheme="minorHAnsi" w:hAnsiTheme="minorHAnsi"/>
          <w:sz w:val="24"/>
          <w:lang w:val="pl-PL"/>
        </w:rPr>
      </w:pPr>
      <w:r w:rsidRPr="00ED0C6A">
        <w:rPr>
          <w:rFonts w:asciiTheme="minorHAnsi" w:hAnsiTheme="minorHAnsi"/>
          <w:sz w:val="24"/>
          <w:lang w:val="pl-PL"/>
        </w:rPr>
        <w:t>Trybunał na wstępie rozważył,</w:t>
      </w:r>
      <w:r w:rsidR="008B0782" w:rsidRPr="00ED0C6A">
        <w:rPr>
          <w:rFonts w:asciiTheme="minorHAnsi" w:hAnsiTheme="minorHAnsi"/>
          <w:sz w:val="24"/>
          <w:lang w:val="pl-PL"/>
        </w:rPr>
        <w:t xml:space="preserve"> </w:t>
      </w:r>
      <w:r w:rsidR="008B0782" w:rsidRPr="00ED0C6A">
        <w:rPr>
          <w:rFonts w:asciiTheme="minorHAnsi" w:hAnsiTheme="minorHAnsi"/>
          <w:i/>
          <w:sz w:val="24"/>
          <w:u w:val="single"/>
          <w:lang w:val="pl-PL"/>
        </w:rPr>
        <w:t>czy podatnicy mieli konkur</w:t>
      </w:r>
      <w:r w:rsidR="00E0626A" w:rsidRPr="00ED0C6A">
        <w:rPr>
          <w:rFonts w:asciiTheme="minorHAnsi" w:hAnsiTheme="minorHAnsi"/>
          <w:i/>
          <w:sz w:val="24"/>
          <w:u w:val="single"/>
          <w:lang w:val="pl-PL"/>
        </w:rPr>
        <w:t>ujące</w:t>
      </w:r>
      <w:r w:rsidR="008B0782" w:rsidRPr="00ED0C6A">
        <w:rPr>
          <w:rFonts w:asciiTheme="minorHAnsi" w:hAnsiTheme="minorHAnsi"/>
          <w:i/>
          <w:sz w:val="24"/>
          <w:u w:val="single"/>
          <w:lang w:val="pl-PL"/>
        </w:rPr>
        <w:t xml:space="preserve"> prawo do prywatności na</w:t>
      </w:r>
      <w:r w:rsidR="00335B71">
        <w:rPr>
          <w:rFonts w:asciiTheme="minorHAnsi" w:hAnsiTheme="minorHAnsi"/>
          <w:i/>
          <w:sz w:val="24"/>
          <w:u w:val="single"/>
          <w:lang w:val="pl-PL"/>
        </w:rPr>
        <w:t> </w:t>
      </w:r>
      <w:r w:rsidR="008B0782" w:rsidRPr="00ED0C6A">
        <w:rPr>
          <w:rFonts w:asciiTheme="minorHAnsi" w:hAnsiTheme="minorHAnsi"/>
          <w:i/>
          <w:sz w:val="24"/>
          <w:u w:val="single"/>
          <w:lang w:val="pl-PL"/>
        </w:rPr>
        <w:t>podstawie art. 8</w:t>
      </w:r>
      <w:r w:rsidRPr="00ED0C6A">
        <w:rPr>
          <w:rFonts w:asciiTheme="minorHAnsi" w:hAnsiTheme="minorHAnsi"/>
          <w:i/>
          <w:sz w:val="24"/>
          <w:u w:val="single"/>
          <w:lang w:val="pl-PL"/>
        </w:rPr>
        <w:t>.</w:t>
      </w:r>
      <w:r w:rsidR="008B0782" w:rsidRPr="00ED0C6A">
        <w:rPr>
          <w:rFonts w:asciiTheme="minorHAnsi" w:hAnsiTheme="minorHAnsi"/>
          <w:sz w:val="24"/>
          <w:lang w:val="pl-PL"/>
        </w:rPr>
        <w:t xml:space="preserve"> </w:t>
      </w:r>
    </w:p>
    <w:p w:rsidR="001B7107" w:rsidRPr="00ED0C6A" w:rsidRDefault="001B7107" w:rsidP="008176C7">
      <w:pPr>
        <w:pStyle w:val="ClinContent"/>
        <w:spacing w:before="0"/>
        <w:rPr>
          <w:rFonts w:asciiTheme="minorHAnsi" w:hAnsiTheme="minorHAnsi"/>
          <w:sz w:val="24"/>
          <w:lang w:val="pl-PL"/>
        </w:rPr>
      </w:pPr>
    </w:p>
    <w:p w:rsidR="001D2CE9" w:rsidRPr="00ED0C6A" w:rsidRDefault="001D2CE9" w:rsidP="008176C7">
      <w:pPr>
        <w:pStyle w:val="ClinContent"/>
        <w:spacing w:before="0"/>
        <w:rPr>
          <w:rFonts w:asciiTheme="minorHAnsi" w:hAnsiTheme="minorHAnsi"/>
          <w:sz w:val="24"/>
          <w:lang w:val="pl-PL"/>
        </w:rPr>
      </w:pPr>
      <w:r w:rsidRPr="00ED0C6A">
        <w:rPr>
          <w:rFonts w:asciiTheme="minorHAnsi" w:hAnsiTheme="minorHAnsi"/>
          <w:sz w:val="24"/>
          <w:lang w:val="pl-PL"/>
        </w:rPr>
        <w:t>Trybunał uznał</w:t>
      </w:r>
      <w:r w:rsidR="002E1AF1" w:rsidRPr="00ED0C6A">
        <w:rPr>
          <w:rFonts w:asciiTheme="minorHAnsi" w:hAnsiTheme="minorHAnsi"/>
          <w:sz w:val="24"/>
          <w:lang w:val="pl-PL"/>
        </w:rPr>
        <w:t xml:space="preserve"> w tym względzie</w:t>
      </w:r>
      <w:r w:rsidRPr="00ED0C6A">
        <w:rPr>
          <w:rFonts w:asciiTheme="minorHAnsi" w:hAnsiTheme="minorHAnsi"/>
          <w:sz w:val="24"/>
          <w:lang w:val="pl-PL"/>
        </w:rPr>
        <w:t>, że f</w:t>
      </w:r>
      <w:r w:rsidR="008B0782" w:rsidRPr="00ED0C6A">
        <w:rPr>
          <w:rFonts w:asciiTheme="minorHAnsi" w:hAnsiTheme="minorHAnsi"/>
          <w:sz w:val="24"/>
          <w:lang w:val="pl-PL"/>
        </w:rPr>
        <w:t xml:space="preserve">akt, że informacja </w:t>
      </w:r>
      <w:r w:rsidR="003A24B9" w:rsidRPr="00ED0C6A">
        <w:rPr>
          <w:rFonts w:asciiTheme="minorHAnsi" w:hAnsiTheme="minorHAnsi"/>
          <w:sz w:val="24"/>
          <w:lang w:val="pl-PL"/>
        </w:rPr>
        <w:t xml:space="preserve">funkcjonowała </w:t>
      </w:r>
      <w:r w:rsidR="008B0782" w:rsidRPr="00ED0C6A">
        <w:rPr>
          <w:rFonts w:asciiTheme="minorHAnsi" w:hAnsiTheme="minorHAnsi"/>
          <w:sz w:val="24"/>
          <w:lang w:val="pl-PL"/>
        </w:rPr>
        <w:t xml:space="preserve">już w </w:t>
      </w:r>
      <w:r w:rsidR="003A24B9" w:rsidRPr="00ED0C6A">
        <w:rPr>
          <w:rFonts w:asciiTheme="minorHAnsi" w:hAnsiTheme="minorHAnsi"/>
          <w:sz w:val="24"/>
          <w:lang w:val="pl-PL"/>
        </w:rPr>
        <w:t xml:space="preserve">przestrzeni </w:t>
      </w:r>
      <w:r w:rsidR="008B0782" w:rsidRPr="00ED0C6A">
        <w:rPr>
          <w:rFonts w:asciiTheme="minorHAnsi" w:hAnsiTheme="minorHAnsi"/>
          <w:sz w:val="24"/>
          <w:lang w:val="pl-PL"/>
        </w:rPr>
        <w:t>publicznej</w:t>
      </w:r>
      <w:r w:rsidR="003A24B9" w:rsidRPr="00ED0C6A">
        <w:rPr>
          <w:rFonts w:asciiTheme="minorHAnsi" w:hAnsiTheme="minorHAnsi"/>
          <w:sz w:val="24"/>
          <w:lang w:val="pl-PL"/>
        </w:rPr>
        <w:t>,</w:t>
      </w:r>
      <w:r w:rsidR="008B0782" w:rsidRPr="00ED0C6A">
        <w:rPr>
          <w:rFonts w:asciiTheme="minorHAnsi" w:hAnsiTheme="minorHAnsi"/>
          <w:sz w:val="24"/>
          <w:lang w:val="pl-PL"/>
        </w:rPr>
        <w:t xml:space="preserve"> niekoniecznie pozbawia ochrony z art. 8. Względy życia prywatnego wchodzą w</w:t>
      </w:r>
      <w:r w:rsidR="00335B71">
        <w:rPr>
          <w:rFonts w:asciiTheme="minorHAnsi" w:hAnsiTheme="minorHAnsi"/>
          <w:sz w:val="24"/>
          <w:lang w:val="pl-PL"/>
        </w:rPr>
        <w:t> </w:t>
      </w:r>
      <w:r w:rsidR="008B0782" w:rsidRPr="00ED0C6A">
        <w:rPr>
          <w:rFonts w:asciiTheme="minorHAnsi" w:hAnsiTheme="minorHAnsi"/>
          <w:sz w:val="24"/>
          <w:lang w:val="pl-PL"/>
        </w:rPr>
        <w:t>grę tam</w:t>
      </w:r>
      <w:r w:rsidRPr="00ED0C6A">
        <w:rPr>
          <w:rFonts w:asciiTheme="minorHAnsi" w:hAnsiTheme="minorHAnsi"/>
          <w:sz w:val="24"/>
          <w:lang w:val="pl-PL"/>
        </w:rPr>
        <w:t>,</w:t>
      </w:r>
      <w:r w:rsidR="008B0782" w:rsidRPr="00ED0C6A">
        <w:rPr>
          <w:rFonts w:asciiTheme="minorHAnsi" w:hAnsiTheme="minorHAnsi"/>
          <w:sz w:val="24"/>
          <w:lang w:val="pl-PL"/>
        </w:rPr>
        <w:t xml:space="preserve"> gdzie doszło do zebrania danych na temat konkretnej osoby, przetwarzania lub</w:t>
      </w:r>
      <w:r w:rsidR="00335B71">
        <w:rPr>
          <w:rFonts w:asciiTheme="minorHAnsi" w:hAnsiTheme="minorHAnsi"/>
          <w:sz w:val="24"/>
          <w:lang w:val="pl-PL"/>
        </w:rPr>
        <w:t> </w:t>
      </w:r>
      <w:r w:rsidR="008B0782" w:rsidRPr="00ED0C6A">
        <w:rPr>
          <w:rFonts w:asciiTheme="minorHAnsi" w:hAnsiTheme="minorHAnsi"/>
          <w:sz w:val="24"/>
          <w:lang w:val="pl-PL"/>
        </w:rPr>
        <w:t>wykorzystywania danych osobowych lub publikacji przedmiotowych materiałów w</w:t>
      </w:r>
      <w:r w:rsidR="00335B71">
        <w:rPr>
          <w:rFonts w:asciiTheme="minorHAnsi" w:hAnsiTheme="minorHAnsi"/>
          <w:sz w:val="24"/>
          <w:lang w:val="pl-PL"/>
        </w:rPr>
        <w:t> </w:t>
      </w:r>
      <w:r w:rsidR="008B0782" w:rsidRPr="00ED0C6A">
        <w:rPr>
          <w:rFonts w:asciiTheme="minorHAnsi" w:hAnsiTheme="minorHAnsi"/>
          <w:sz w:val="24"/>
          <w:lang w:val="pl-PL"/>
        </w:rPr>
        <w:t xml:space="preserve">sposób i w zakresie wykraczającym poza możliwy do przewidzenia w normalnych okolicznościach. </w:t>
      </w:r>
    </w:p>
    <w:p w:rsidR="001D2CE9" w:rsidRPr="00ED0C6A" w:rsidRDefault="001D2CE9" w:rsidP="008176C7">
      <w:pPr>
        <w:pStyle w:val="ClinContent"/>
        <w:spacing w:before="0"/>
        <w:rPr>
          <w:rFonts w:asciiTheme="minorHAnsi" w:hAnsiTheme="minorHAnsi"/>
          <w:sz w:val="24"/>
          <w:lang w:val="pl-PL"/>
        </w:rPr>
      </w:pPr>
    </w:p>
    <w:p w:rsidR="008B0782" w:rsidRPr="00ED0C6A" w:rsidRDefault="003A24B9" w:rsidP="008176C7">
      <w:pPr>
        <w:pStyle w:val="ClinContent"/>
        <w:spacing w:before="0"/>
        <w:rPr>
          <w:rFonts w:asciiTheme="minorHAnsi" w:hAnsiTheme="minorHAnsi"/>
          <w:sz w:val="24"/>
          <w:lang w:val="pl-PL"/>
        </w:rPr>
      </w:pPr>
      <w:r w:rsidRPr="00ED0C6A">
        <w:rPr>
          <w:rFonts w:asciiTheme="minorHAnsi" w:hAnsiTheme="minorHAnsi"/>
          <w:sz w:val="24"/>
          <w:lang w:val="pl-PL"/>
        </w:rPr>
        <w:t>W obecnej sprawie dane, które skarżące spółki zebrały, przetworzyły i opublikowały w</w:t>
      </w:r>
      <w:r w:rsidR="00335B71">
        <w:rPr>
          <w:rFonts w:asciiTheme="minorHAnsi" w:hAnsiTheme="minorHAnsi"/>
          <w:sz w:val="24"/>
          <w:lang w:val="pl-PL"/>
        </w:rPr>
        <w:t> </w:t>
      </w:r>
      <w:r w:rsidRPr="00ED0C6A">
        <w:rPr>
          <w:rFonts w:asciiTheme="minorHAnsi" w:hAnsiTheme="minorHAnsi"/>
          <w:sz w:val="24"/>
          <w:lang w:val="pl-PL"/>
        </w:rPr>
        <w:t>gazecie, zawierały szczegóły dotyczące dochodów pochodzących i  niepochodzących z</w:t>
      </w:r>
      <w:r w:rsidR="00335B71">
        <w:rPr>
          <w:rFonts w:asciiTheme="minorHAnsi" w:hAnsiTheme="minorHAnsi"/>
          <w:sz w:val="24"/>
          <w:lang w:val="pl-PL"/>
        </w:rPr>
        <w:t> </w:t>
      </w:r>
      <w:r w:rsidRPr="00ED0C6A">
        <w:rPr>
          <w:rFonts w:asciiTheme="minorHAnsi" w:hAnsiTheme="minorHAnsi"/>
          <w:sz w:val="24"/>
          <w:lang w:val="pl-PL"/>
        </w:rPr>
        <w:t>pracy zarobkowej podlegających opodatkowaniu, a także podlegających opodatkowaniu aktywów netto, a zatem zdecydowanie dotyczyły one życia prywatnego zainteresowanych osób, pomimo że zgodnie z prawem fińskim opinia publiczna mogła mieć do nich dostęp.</w:t>
      </w:r>
      <w:r w:rsidR="008B0782" w:rsidRPr="00ED0C6A">
        <w:rPr>
          <w:rFonts w:asciiTheme="minorHAnsi" w:hAnsiTheme="minorHAnsi"/>
          <w:sz w:val="24"/>
          <w:lang w:val="pl-PL"/>
        </w:rPr>
        <w:t xml:space="preserve"> </w:t>
      </w:r>
    </w:p>
    <w:p w:rsidR="001D2CE9" w:rsidRPr="00ED0C6A" w:rsidRDefault="001D2CE9" w:rsidP="008176C7">
      <w:pPr>
        <w:pStyle w:val="ClinContent"/>
        <w:spacing w:before="0"/>
        <w:rPr>
          <w:rFonts w:asciiTheme="minorHAnsi" w:hAnsiTheme="minorHAnsi"/>
          <w:sz w:val="24"/>
          <w:lang w:val="pl-PL"/>
        </w:rPr>
      </w:pPr>
    </w:p>
    <w:p w:rsidR="002E1AF1" w:rsidRPr="00ED0C6A" w:rsidRDefault="002E1AF1" w:rsidP="008176C7">
      <w:pPr>
        <w:pStyle w:val="ClinContent"/>
        <w:spacing w:before="0"/>
        <w:rPr>
          <w:rFonts w:asciiTheme="minorHAnsi" w:hAnsiTheme="minorHAnsi"/>
          <w:sz w:val="24"/>
          <w:lang w:val="pl-PL"/>
        </w:rPr>
      </w:pPr>
      <w:r w:rsidRPr="00ED0C6A">
        <w:rPr>
          <w:rFonts w:asciiTheme="minorHAnsi" w:hAnsiTheme="minorHAnsi"/>
          <w:sz w:val="24"/>
          <w:lang w:val="pl-PL"/>
        </w:rPr>
        <w:t>Trybunał uznał</w:t>
      </w:r>
      <w:r w:rsidR="001B7107" w:rsidRPr="00ED0C6A">
        <w:rPr>
          <w:rFonts w:asciiTheme="minorHAnsi" w:hAnsiTheme="minorHAnsi"/>
          <w:sz w:val="24"/>
          <w:lang w:val="pl-PL"/>
        </w:rPr>
        <w:t xml:space="preserve"> też</w:t>
      </w:r>
      <w:r w:rsidRPr="00ED0C6A">
        <w:rPr>
          <w:rFonts w:asciiTheme="minorHAnsi" w:hAnsiTheme="minorHAnsi"/>
          <w:sz w:val="24"/>
          <w:lang w:val="pl-PL"/>
        </w:rPr>
        <w:t>, że decyzja Rady ds. Ochrony Danych Osobowych o zakazie przetwarzania danych podatkowych w zaskarżony sposób, utrzymana przez sądy krajowe, stanowiła ingerencję w prawo skarżących spółek do przekazywania informacji gwarantowane przez</w:t>
      </w:r>
      <w:r w:rsidR="00110B07">
        <w:rPr>
          <w:rFonts w:asciiTheme="minorHAnsi" w:hAnsiTheme="minorHAnsi"/>
          <w:sz w:val="24"/>
          <w:lang w:val="pl-PL"/>
        </w:rPr>
        <w:t> </w:t>
      </w:r>
      <w:r w:rsidRPr="00ED0C6A">
        <w:rPr>
          <w:rFonts w:asciiTheme="minorHAnsi" w:hAnsiTheme="minorHAnsi"/>
          <w:sz w:val="24"/>
          <w:lang w:val="pl-PL"/>
        </w:rPr>
        <w:t>art.</w:t>
      </w:r>
      <w:r w:rsidR="00335B71">
        <w:rPr>
          <w:rFonts w:asciiTheme="minorHAnsi" w:hAnsiTheme="minorHAnsi"/>
          <w:sz w:val="24"/>
          <w:lang w:val="pl-PL"/>
        </w:rPr>
        <w:t> </w:t>
      </w:r>
      <w:r w:rsidRPr="00ED0C6A">
        <w:rPr>
          <w:rFonts w:asciiTheme="minorHAnsi" w:hAnsiTheme="minorHAnsi"/>
          <w:sz w:val="24"/>
          <w:lang w:val="pl-PL"/>
        </w:rPr>
        <w:t>10.</w:t>
      </w:r>
    </w:p>
    <w:p w:rsidR="002E1AF1" w:rsidRPr="00ED0C6A" w:rsidRDefault="002E1AF1" w:rsidP="008176C7">
      <w:pPr>
        <w:pStyle w:val="ClinContent"/>
        <w:spacing w:before="0"/>
        <w:rPr>
          <w:rFonts w:asciiTheme="minorHAnsi" w:hAnsiTheme="minorHAnsi"/>
          <w:sz w:val="24"/>
          <w:lang w:val="pl-PL"/>
        </w:rPr>
      </w:pPr>
    </w:p>
    <w:p w:rsidR="002E1AF1" w:rsidRPr="00ED0C6A" w:rsidRDefault="001D2CE9" w:rsidP="008176C7">
      <w:pPr>
        <w:pStyle w:val="ClinContent"/>
        <w:spacing w:before="0"/>
        <w:rPr>
          <w:rFonts w:asciiTheme="minorHAnsi" w:hAnsiTheme="minorHAnsi"/>
          <w:i/>
          <w:sz w:val="24"/>
          <w:u w:val="single"/>
          <w:lang w:val="pl-PL"/>
        </w:rPr>
      </w:pPr>
      <w:r w:rsidRPr="00ED0C6A">
        <w:rPr>
          <w:rFonts w:asciiTheme="minorHAnsi" w:hAnsiTheme="minorHAnsi"/>
          <w:sz w:val="24"/>
          <w:lang w:val="pl-PL"/>
        </w:rPr>
        <w:t xml:space="preserve">Następnie Trybunał zbadał, </w:t>
      </w:r>
      <w:r w:rsidRPr="00ED0C6A">
        <w:rPr>
          <w:rFonts w:asciiTheme="minorHAnsi" w:hAnsiTheme="minorHAnsi"/>
          <w:i/>
          <w:sz w:val="24"/>
          <w:u w:val="single"/>
          <w:lang w:val="pl-PL"/>
        </w:rPr>
        <w:t>czy i</w:t>
      </w:r>
      <w:r w:rsidR="008B0782" w:rsidRPr="00ED0C6A">
        <w:rPr>
          <w:rFonts w:asciiTheme="minorHAnsi" w:hAnsiTheme="minorHAnsi"/>
          <w:i/>
          <w:sz w:val="24"/>
          <w:u w:val="single"/>
          <w:lang w:val="pl-PL"/>
        </w:rPr>
        <w:t xml:space="preserve">ngerencja </w:t>
      </w:r>
      <w:r w:rsidR="002E1AF1" w:rsidRPr="00ED0C6A">
        <w:rPr>
          <w:rFonts w:asciiTheme="minorHAnsi" w:hAnsiTheme="minorHAnsi"/>
          <w:i/>
          <w:sz w:val="24"/>
          <w:u w:val="single"/>
          <w:lang w:val="pl-PL"/>
        </w:rPr>
        <w:t>ta była</w:t>
      </w:r>
      <w:r w:rsidRPr="00ED0C6A">
        <w:rPr>
          <w:rFonts w:asciiTheme="minorHAnsi" w:hAnsiTheme="minorHAnsi"/>
          <w:i/>
          <w:sz w:val="24"/>
          <w:u w:val="single"/>
          <w:lang w:val="pl-PL"/>
        </w:rPr>
        <w:t xml:space="preserve"> </w:t>
      </w:r>
      <w:r w:rsidR="008B0782" w:rsidRPr="00ED0C6A">
        <w:rPr>
          <w:rFonts w:asciiTheme="minorHAnsi" w:hAnsiTheme="minorHAnsi"/>
          <w:i/>
          <w:sz w:val="24"/>
          <w:u w:val="single"/>
          <w:lang w:val="pl-PL"/>
        </w:rPr>
        <w:t>przewidziana przez ustawę i</w:t>
      </w:r>
      <w:r w:rsidR="00976A23">
        <w:rPr>
          <w:rFonts w:asciiTheme="minorHAnsi" w:hAnsiTheme="minorHAnsi"/>
          <w:i/>
          <w:sz w:val="24"/>
          <w:u w:val="single"/>
          <w:lang w:val="pl-PL"/>
        </w:rPr>
        <w:t> </w:t>
      </w:r>
      <w:r w:rsidR="00D83C1A" w:rsidRPr="00ED0C6A">
        <w:rPr>
          <w:rFonts w:asciiTheme="minorHAnsi" w:hAnsiTheme="minorHAnsi"/>
          <w:i/>
          <w:sz w:val="24"/>
          <w:u w:val="single"/>
          <w:lang w:val="pl-PL"/>
        </w:rPr>
        <w:t>miała</w:t>
      </w:r>
      <w:r w:rsidR="00335B71">
        <w:rPr>
          <w:rFonts w:asciiTheme="minorHAnsi" w:hAnsiTheme="minorHAnsi"/>
          <w:i/>
          <w:sz w:val="24"/>
          <w:u w:val="single"/>
          <w:lang w:val="pl-PL"/>
        </w:rPr>
        <w:t> </w:t>
      </w:r>
      <w:r w:rsidR="008B0782" w:rsidRPr="00ED0C6A">
        <w:rPr>
          <w:rFonts w:asciiTheme="minorHAnsi" w:hAnsiTheme="minorHAnsi"/>
          <w:i/>
          <w:sz w:val="24"/>
          <w:u w:val="single"/>
          <w:lang w:val="pl-PL"/>
        </w:rPr>
        <w:t>uprawniony cel</w:t>
      </w:r>
    </w:p>
    <w:p w:rsidR="001B7107" w:rsidRPr="00ED0C6A" w:rsidRDefault="001B7107" w:rsidP="008176C7">
      <w:pPr>
        <w:pStyle w:val="ClinContent"/>
        <w:spacing w:before="0"/>
        <w:rPr>
          <w:rFonts w:asciiTheme="minorHAnsi" w:hAnsiTheme="minorHAnsi"/>
          <w:i/>
          <w:sz w:val="24"/>
          <w:u w:val="single"/>
          <w:lang w:val="pl-PL"/>
        </w:rPr>
      </w:pPr>
    </w:p>
    <w:p w:rsidR="002E1AF1" w:rsidRPr="00ED0C6A" w:rsidRDefault="002E1AF1" w:rsidP="008176C7">
      <w:pPr>
        <w:pStyle w:val="ClinContent"/>
        <w:spacing w:before="0"/>
        <w:rPr>
          <w:rFonts w:asciiTheme="minorHAnsi" w:hAnsiTheme="minorHAnsi"/>
          <w:sz w:val="24"/>
          <w:lang w:val="pl-PL"/>
        </w:rPr>
      </w:pPr>
      <w:r w:rsidRPr="00ED0C6A">
        <w:rPr>
          <w:rFonts w:asciiTheme="minorHAnsi" w:hAnsiTheme="minorHAnsi"/>
          <w:sz w:val="24"/>
          <w:lang w:val="pl-PL"/>
        </w:rPr>
        <w:t>Trybunał stwierdził</w:t>
      </w:r>
      <w:r w:rsidR="001B7107" w:rsidRPr="00ED0C6A">
        <w:rPr>
          <w:rFonts w:asciiTheme="minorHAnsi" w:hAnsiTheme="minorHAnsi"/>
          <w:sz w:val="24"/>
          <w:lang w:val="pl-PL"/>
        </w:rPr>
        <w:t xml:space="preserve"> w tym względzie</w:t>
      </w:r>
      <w:r w:rsidRPr="00ED0C6A">
        <w:rPr>
          <w:rFonts w:asciiTheme="minorHAnsi" w:hAnsiTheme="minorHAnsi"/>
          <w:sz w:val="24"/>
          <w:lang w:val="pl-PL"/>
        </w:rPr>
        <w:t>, że i</w:t>
      </w:r>
      <w:r w:rsidR="008B0782" w:rsidRPr="00ED0C6A">
        <w:rPr>
          <w:rFonts w:asciiTheme="minorHAnsi" w:hAnsiTheme="minorHAnsi"/>
          <w:sz w:val="24"/>
          <w:lang w:val="pl-PL"/>
        </w:rPr>
        <w:t>ngerencja była przewidziana przez ustawę</w:t>
      </w:r>
      <w:r w:rsidRPr="00ED0C6A">
        <w:rPr>
          <w:rFonts w:asciiTheme="minorHAnsi" w:hAnsiTheme="minorHAnsi"/>
          <w:sz w:val="24"/>
          <w:lang w:val="pl-PL"/>
        </w:rPr>
        <w:t>, a</w:t>
      </w:r>
      <w:r w:rsidR="008B0782" w:rsidRPr="00ED0C6A">
        <w:rPr>
          <w:rFonts w:asciiTheme="minorHAnsi" w:hAnsiTheme="minorHAnsi"/>
          <w:sz w:val="24"/>
          <w:lang w:val="pl-PL"/>
        </w:rPr>
        <w:t xml:space="preserve"> </w:t>
      </w:r>
      <w:r w:rsidR="00780FB1" w:rsidRPr="00ED0C6A">
        <w:rPr>
          <w:rFonts w:asciiTheme="minorHAnsi" w:hAnsiTheme="minorHAnsi"/>
          <w:sz w:val="24"/>
          <w:lang w:val="pl-PL"/>
        </w:rPr>
        <w:t xml:space="preserve">zapisy </w:t>
      </w:r>
      <w:r w:rsidR="008B0782" w:rsidRPr="00ED0C6A">
        <w:rPr>
          <w:rFonts w:asciiTheme="minorHAnsi" w:hAnsiTheme="minorHAnsi"/>
          <w:sz w:val="24"/>
          <w:lang w:val="pl-PL"/>
        </w:rPr>
        <w:t xml:space="preserve">właściwego ustawodawstwa </w:t>
      </w:r>
      <w:r w:rsidR="00780FB1" w:rsidRPr="00ED0C6A">
        <w:rPr>
          <w:rFonts w:asciiTheme="minorHAnsi" w:hAnsiTheme="minorHAnsi"/>
          <w:sz w:val="24"/>
          <w:lang w:val="pl-PL"/>
        </w:rPr>
        <w:t xml:space="preserve">dotyczącego </w:t>
      </w:r>
      <w:r w:rsidR="008B0782" w:rsidRPr="00ED0C6A">
        <w:rPr>
          <w:rFonts w:asciiTheme="minorHAnsi" w:hAnsiTheme="minorHAnsi"/>
          <w:sz w:val="24"/>
          <w:lang w:val="pl-PL"/>
        </w:rPr>
        <w:t>ochrony danych osobowych oraz charakter i zakres wyłączenia działalności dziennikarskiej, na którym chciały się oprzeć skarżące spółki, były</w:t>
      </w:r>
      <w:r w:rsidR="00335B71">
        <w:rPr>
          <w:rFonts w:asciiTheme="minorHAnsi" w:hAnsiTheme="minorHAnsi"/>
          <w:sz w:val="24"/>
          <w:lang w:val="pl-PL"/>
        </w:rPr>
        <w:t> </w:t>
      </w:r>
      <w:r w:rsidR="008B0782" w:rsidRPr="00ED0C6A">
        <w:rPr>
          <w:rFonts w:asciiTheme="minorHAnsi" w:hAnsiTheme="minorHAnsi"/>
          <w:sz w:val="24"/>
          <w:lang w:val="pl-PL"/>
        </w:rPr>
        <w:t xml:space="preserve">stosowane w sposób wystarczająco przewidywalny po udzieleniu przez TSUE wskazówek interpretacyjnych Naczelnemu Sądowi Administracyjnemu. </w:t>
      </w:r>
    </w:p>
    <w:p w:rsidR="002E1AF1" w:rsidRPr="00ED0C6A" w:rsidRDefault="002E1AF1" w:rsidP="008176C7">
      <w:pPr>
        <w:pStyle w:val="ClinContent"/>
        <w:spacing w:before="0"/>
        <w:rPr>
          <w:rFonts w:asciiTheme="minorHAnsi" w:hAnsiTheme="minorHAnsi"/>
          <w:sz w:val="24"/>
          <w:lang w:val="pl-PL"/>
        </w:rPr>
      </w:pPr>
    </w:p>
    <w:p w:rsidR="002E1AF1"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Skarżące</w:t>
      </w:r>
      <w:r w:rsidR="00780FB1" w:rsidRPr="00ED0C6A">
        <w:rPr>
          <w:rFonts w:asciiTheme="minorHAnsi" w:hAnsiTheme="minorHAnsi"/>
          <w:sz w:val="24"/>
          <w:lang w:val="pl-PL"/>
        </w:rPr>
        <w:t xml:space="preserve"> spółki</w:t>
      </w:r>
      <w:r w:rsidRPr="00ED0C6A">
        <w:rPr>
          <w:rFonts w:asciiTheme="minorHAnsi" w:hAnsiTheme="minorHAnsi"/>
          <w:sz w:val="24"/>
          <w:lang w:val="pl-PL"/>
        </w:rPr>
        <w:t xml:space="preserve">, </w:t>
      </w:r>
      <w:r w:rsidR="00780FB1" w:rsidRPr="00ED0C6A">
        <w:rPr>
          <w:rFonts w:asciiTheme="minorHAnsi" w:hAnsiTheme="minorHAnsi"/>
          <w:sz w:val="24"/>
          <w:lang w:val="pl-PL"/>
        </w:rPr>
        <w:t>działając w sektorze</w:t>
      </w:r>
      <w:r w:rsidRPr="00ED0C6A">
        <w:rPr>
          <w:rFonts w:asciiTheme="minorHAnsi" w:hAnsiTheme="minorHAnsi"/>
          <w:sz w:val="24"/>
          <w:lang w:val="pl-PL"/>
        </w:rPr>
        <w:t xml:space="preserve"> mediów, powinny były być świadome, że masowe zbieranie danych i ich rozpowszechnienie w sposób „hurtowy” nie może być uznane za</w:t>
      </w:r>
      <w:r w:rsidR="00335B71">
        <w:rPr>
          <w:rFonts w:asciiTheme="minorHAnsi" w:hAnsiTheme="minorHAnsi"/>
          <w:sz w:val="24"/>
          <w:lang w:val="pl-PL"/>
        </w:rPr>
        <w:t> </w:t>
      </w:r>
      <w:r w:rsidRPr="00ED0C6A">
        <w:rPr>
          <w:rFonts w:asciiTheme="minorHAnsi" w:hAnsiTheme="minorHAnsi"/>
          <w:sz w:val="24"/>
          <w:lang w:val="pl-PL"/>
        </w:rPr>
        <w:t>przetwarzanie „jedynie” do celów dziennikarskich</w:t>
      </w:r>
      <w:r w:rsidR="002E1AF1" w:rsidRPr="00ED0C6A">
        <w:rPr>
          <w:rFonts w:asciiTheme="minorHAnsi" w:hAnsiTheme="minorHAnsi"/>
          <w:sz w:val="24"/>
          <w:lang w:val="pl-PL"/>
        </w:rPr>
        <w:t xml:space="preserve">. </w:t>
      </w:r>
    </w:p>
    <w:p w:rsidR="002E1AF1" w:rsidRPr="00ED0C6A" w:rsidRDefault="002E1AF1" w:rsidP="008176C7">
      <w:pPr>
        <w:pStyle w:val="ClinContent"/>
        <w:spacing w:before="0"/>
        <w:rPr>
          <w:rFonts w:asciiTheme="minorHAnsi" w:hAnsiTheme="minorHAnsi"/>
          <w:sz w:val="24"/>
          <w:lang w:val="pl-PL"/>
        </w:rPr>
      </w:pPr>
    </w:p>
    <w:p w:rsidR="008B0782" w:rsidRPr="00ED0C6A" w:rsidRDefault="002E1AF1" w:rsidP="008176C7">
      <w:pPr>
        <w:pStyle w:val="ClinContent"/>
        <w:spacing w:before="0"/>
        <w:rPr>
          <w:rFonts w:asciiTheme="minorHAnsi" w:hAnsiTheme="minorHAnsi"/>
          <w:sz w:val="24"/>
          <w:lang w:val="pl-PL"/>
        </w:rPr>
      </w:pPr>
      <w:r w:rsidRPr="00ED0C6A">
        <w:rPr>
          <w:rFonts w:asciiTheme="minorHAnsi" w:hAnsiTheme="minorHAnsi"/>
          <w:sz w:val="24"/>
          <w:lang w:val="pl-PL"/>
        </w:rPr>
        <w:t>Trybunał zgodził się też, że</w:t>
      </w:r>
      <w:r w:rsidR="008B0782" w:rsidRPr="00ED0C6A">
        <w:rPr>
          <w:rFonts w:asciiTheme="minorHAnsi" w:hAnsiTheme="minorHAnsi"/>
          <w:sz w:val="24"/>
          <w:lang w:val="pl-PL"/>
        </w:rPr>
        <w:t xml:space="preserve"> ingerencja dążyła do realizacji uprawnionego celu ochrony dobrego imienia i praw innych osób. </w:t>
      </w:r>
    </w:p>
    <w:p w:rsidR="002E1AF1" w:rsidRPr="00ED0C6A" w:rsidRDefault="002E1AF1" w:rsidP="008176C7">
      <w:pPr>
        <w:pStyle w:val="ClinContent"/>
        <w:spacing w:before="0"/>
        <w:rPr>
          <w:rFonts w:asciiTheme="minorHAnsi" w:hAnsiTheme="minorHAnsi"/>
          <w:sz w:val="24"/>
          <w:lang w:val="pl-PL"/>
        </w:rPr>
      </w:pPr>
    </w:p>
    <w:p w:rsidR="008B0782" w:rsidRPr="00ED0C6A" w:rsidRDefault="001B7107"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Oceniając, </w:t>
      </w:r>
      <w:r w:rsidRPr="00ED0C6A">
        <w:rPr>
          <w:rFonts w:asciiTheme="minorHAnsi" w:hAnsiTheme="minorHAnsi"/>
          <w:i/>
          <w:sz w:val="24"/>
          <w:u w:val="single"/>
          <w:lang w:val="pl-PL"/>
        </w:rPr>
        <w:t>czy</w:t>
      </w:r>
      <w:r w:rsidR="008B0782" w:rsidRPr="00ED0C6A">
        <w:rPr>
          <w:rFonts w:asciiTheme="minorHAnsi" w:hAnsiTheme="minorHAnsi"/>
          <w:i/>
          <w:sz w:val="24"/>
          <w:u w:val="single"/>
          <w:lang w:val="pl-PL"/>
        </w:rPr>
        <w:t xml:space="preserve"> </w:t>
      </w:r>
      <w:r w:rsidRPr="00ED0C6A">
        <w:rPr>
          <w:rFonts w:asciiTheme="minorHAnsi" w:hAnsiTheme="minorHAnsi"/>
          <w:i/>
          <w:sz w:val="24"/>
          <w:u w:val="single"/>
          <w:lang w:val="pl-PL"/>
        </w:rPr>
        <w:t>ingerencja była niezbędna</w:t>
      </w:r>
      <w:r w:rsidR="008B0782" w:rsidRPr="00ED0C6A">
        <w:rPr>
          <w:rFonts w:asciiTheme="minorHAnsi" w:hAnsiTheme="minorHAnsi"/>
          <w:i/>
          <w:sz w:val="24"/>
          <w:u w:val="single"/>
          <w:lang w:val="pl-PL"/>
        </w:rPr>
        <w:t xml:space="preserve"> w społeczeństwie demokratycznym</w:t>
      </w:r>
      <w:r w:rsidRPr="00ED0C6A">
        <w:rPr>
          <w:rFonts w:asciiTheme="minorHAnsi" w:hAnsiTheme="minorHAnsi"/>
          <w:i/>
          <w:sz w:val="24"/>
          <w:lang w:val="pl-PL"/>
        </w:rPr>
        <w:t xml:space="preserve">, </w:t>
      </w:r>
      <w:r w:rsidR="008B0782" w:rsidRPr="00ED0C6A">
        <w:rPr>
          <w:rFonts w:asciiTheme="minorHAnsi" w:hAnsiTheme="minorHAnsi"/>
          <w:sz w:val="24"/>
          <w:lang w:val="pl-PL"/>
        </w:rPr>
        <w:t xml:space="preserve">Trybunał </w:t>
      </w:r>
      <w:r w:rsidRPr="00ED0C6A">
        <w:rPr>
          <w:rFonts w:asciiTheme="minorHAnsi" w:hAnsiTheme="minorHAnsi"/>
          <w:sz w:val="24"/>
          <w:lang w:val="pl-PL"/>
        </w:rPr>
        <w:t>przypomniał kryteria wskazane</w:t>
      </w:r>
      <w:r w:rsidR="008B0782" w:rsidRPr="00ED0C6A">
        <w:rPr>
          <w:rFonts w:asciiTheme="minorHAnsi" w:hAnsiTheme="minorHAnsi"/>
          <w:sz w:val="24"/>
          <w:lang w:val="pl-PL"/>
        </w:rPr>
        <w:t xml:space="preserve"> przez niego w</w:t>
      </w:r>
      <w:r w:rsidRPr="00ED0C6A">
        <w:rPr>
          <w:rFonts w:asciiTheme="minorHAnsi" w:hAnsiTheme="minorHAnsi"/>
          <w:sz w:val="24"/>
          <w:lang w:val="pl-PL"/>
        </w:rPr>
        <w:t>e wcześniejszym</w:t>
      </w:r>
      <w:r w:rsidR="008B0782" w:rsidRPr="00ED0C6A">
        <w:rPr>
          <w:rFonts w:asciiTheme="minorHAnsi" w:hAnsiTheme="minorHAnsi"/>
          <w:sz w:val="24"/>
          <w:lang w:val="pl-PL"/>
        </w:rPr>
        <w:t xml:space="preserve"> orzecznictwie</w:t>
      </w:r>
      <w:r w:rsidR="00780FB1" w:rsidRPr="00ED0C6A">
        <w:rPr>
          <w:rFonts w:asciiTheme="minorHAnsi" w:hAnsiTheme="minorHAnsi"/>
          <w:sz w:val="24"/>
          <w:lang w:val="pl-PL"/>
        </w:rPr>
        <w:t>, które są istotne</w:t>
      </w:r>
      <w:r w:rsidRPr="00ED0C6A">
        <w:rPr>
          <w:rFonts w:asciiTheme="minorHAnsi" w:hAnsiTheme="minorHAnsi"/>
          <w:sz w:val="24"/>
          <w:lang w:val="pl-PL"/>
        </w:rPr>
        <w:t xml:space="preserve"> </w:t>
      </w:r>
      <w:r w:rsidR="008B0782" w:rsidRPr="00ED0C6A">
        <w:rPr>
          <w:rFonts w:asciiTheme="minorHAnsi" w:hAnsiTheme="minorHAnsi"/>
          <w:sz w:val="24"/>
          <w:lang w:val="pl-PL"/>
        </w:rPr>
        <w:t>przy przeprowadzaniu procesu ważenia konkur</w:t>
      </w:r>
      <w:r w:rsidR="001078D0" w:rsidRPr="00ED0C6A">
        <w:rPr>
          <w:rFonts w:asciiTheme="minorHAnsi" w:hAnsiTheme="minorHAnsi"/>
          <w:sz w:val="24"/>
          <w:lang w:val="pl-PL"/>
        </w:rPr>
        <w:t>ujących</w:t>
      </w:r>
      <w:r w:rsidR="008B0782" w:rsidRPr="00ED0C6A">
        <w:rPr>
          <w:rFonts w:asciiTheme="minorHAnsi" w:hAnsiTheme="minorHAnsi"/>
          <w:sz w:val="24"/>
          <w:lang w:val="pl-PL"/>
        </w:rPr>
        <w:t xml:space="preserve"> praw</w:t>
      </w:r>
      <w:r w:rsidRPr="00ED0C6A">
        <w:rPr>
          <w:rFonts w:asciiTheme="minorHAnsi" w:hAnsiTheme="minorHAnsi"/>
          <w:sz w:val="24"/>
          <w:lang w:val="pl-PL"/>
        </w:rPr>
        <w:t>:</w:t>
      </w:r>
      <w:r w:rsidR="008B0782" w:rsidRPr="00ED0C6A">
        <w:rPr>
          <w:rFonts w:asciiTheme="minorHAnsi" w:hAnsiTheme="minorHAnsi"/>
          <w:sz w:val="24"/>
          <w:lang w:val="pl-PL"/>
        </w:rPr>
        <w:t xml:space="preserve"> do poszanowania życia</w:t>
      </w:r>
      <w:r w:rsidR="00335B71">
        <w:rPr>
          <w:rFonts w:asciiTheme="minorHAnsi" w:hAnsiTheme="minorHAnsi"/>
          <w:sz w:val="24"/>
          <w:lang w:val="pl-PL"/>
        </w:rPr>
        <w:t> </w:t>
      </w:r>
      <w:r w:rsidR="008B0782" w:rsidRPr="00ED0C6A">
        <w:rPr>
          <w:rFonts w:asciiTheme="minorHAnsi" w:hAnsiTheme="minorHAnsi"/>
          <w:sz w:val="24"/>
          <w:lang w:val="pl-PL"/>
        </w:rPr>
        <w:t>prywatnego na podstawie art. 8 Konwencji i</w:t>
      </w:r>
      <w:r w:rsidR="001078D0" w:rsidRPr="00ED0C6A">
        <w:rPr>
          <w:rFonts w:asciiTheme="minorHAnsi" w:hAnsiTheme="minorHAnsi"/>
          <w:sz w:val="24"/>
          <w:lang w:val="pl-PL"/>
        </w:rPr>
        <w:t xml:space="preserve"> </w:t>
      </w:r>
      <w:r w:rsidR="008B0782" w:rsidRPr="00ED0C6A">
        <w:rPr>
          <w:rFonts w:asciiTheme="minorHAnsi" w:hAnsiTheme="minorHAnsi"/>
          <w:sz w:val="24"/>
          <w:lang w:val="pl-PL"/>
        </w:rPr>
        <w:t xml:space="preserve">do wolności wyrażania opinii na podstawie art. 10. </w:t>
      </w:r>
    </w:p>
    <w:p w:rsidR="001B7107" w:rsidRPr="00ED0C6A" w:rsidRDefault="001B7107" w:rsidP="008176C7">
      <w:pPr>
        <w:pStyle w:val="ClinContent"/>
        <w:spacing w:before="0"/>
        <w:rPr>
          <w:rFonts w:asciiTheme="minorHAnsi" w:hAnsiTheme="minorHAnsi"/>
          <w:sz w:val="24"/>
          <w:lang w:val="pl-PL"/>
        </w:rPr>
      </w:pPr>
    </w:p>
    <w:p w:rsidR="001B7107" w:rsidRPr="00ED0C6A" w:rsidRDefault="001B7107" w:rsidP="008176C7">
      <w:pPr>
        <w:pStyle w:val="ClinContent"/>
        <w:spacing w:before="0"/>
        <w:rPr>
          <w:rFonts w:asciiTheme="minorHAnsi" w:hAnsiTheme="minorHAnsi"/>
          <w:sz w:val="24"/>
          <w:lang w:val="pl-PL"/>
        </w:rPr>
      </w:pPr>
      <w:r w:rsidRPr="00ED0C6A">
        <w:rPr>
          <w:rFonts w:asciiTheme="minorHAnsi" w:hAnsiTheme="minorHAnsi"/>
          <w:sz w:val="24"/>
          <w:lang w:val="pl-PL"/>
        </w:rPr>
        <w:t>Trybunał zbadał zatem niezbędność ingerencji w prawa skarżących z punktu widzenia następujących kryteriów:</w:t>
      </w:r>
    </w:p>
    <w:p w:rsidR="001B7107" w:rsidRPr="00ED0C6A" w:rsidRDefault="001B7107" w:rsidP="008176C7">
      <w:pPr>
        <w:pStyle w:val="ClinContent"/>
        <w:spacing w:before="0"/>
        <w:rPr>
          <w:rFonts w:asciiTheme="minorHAnsi" w:hAnsiTheme="minorHAnsi"/>
          <w:sz w:val="24"/>
          <w:lang w:val="pl-PL"/>
        </w:rPr>
      </w:pPr>
    </w:p>
    <w:p w:rsidR="001B7107" w:rsidRPr="00ED0C6A" w:rsidRDefault="008B0782"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(i) </w:t>
      </w:r>
      <w:r w:rsidRPr="00ED0C6A">
        <w:rPr>
          <w:rFonts w:asciiTheme="minorHAnsi" w:hAnsiTheme="minorHAnsi"/>
          <w:i/>
          <w:sz w:val="24"/>
          <w:u w:val="single"/>
          <w:lang w:val="pl-PL"/>
        </w:rPr>
        <w:t xml:space="preserve">Wkład </w:t>
      </w:r>
      <w:r w:rsidR="001B7107" w:rsidRPr="00ED0C6A">
        <w:rPr>
          <w:rFonts w:asciiTheme="minorHAnsi" w:hAnsiTheme="minorHAnsi"/>
          <w:i/>
          <w:sz w:val="24"/>
          <w:u w:val="single"/>
          <w:lang w:val="pl-PL"/>
        </w:rPr>
        <w:t xml:space="preserve">publikacji </w:t>
      </w:r>
      <w:r w:rsidRPr="00ED0C6A">
        <w:rPr>
          <w:rFonts w:asciiTheme="minorHAnsi" w:hAnsiTheme="minorHAnsi"/>
          <w:i/>
          <w:sz w:val="24"/>
          <w:u w:val="single"/>
          <w:lang w:val="pl-PL"/>
        </w:rPr>
        <w:t>d</w:t>
      </w:r>
      <w:r w:rsidR="001B7107" w:rsidRPr="00ED0C6A">
        <w:rPr>
          <w:rFonts w:asciiTheme="minorHAnsi" w:hAnsiTheme="minorHAnsi"/>
          <w:i/>
          <w:sz w:val="24"/>
          <w:u w:val="single"/>
          <w:lang w:val="pl-PL"/>
        </w:rPr>
        <w:t>o debaty w interesie publicznym</w:t>
      </w:r>
    </w:p>
    <w:p w:rsidR="001B7107" w:rsidRPr="00ED0C6A" w:rsidRDefault="001B7107" w:rsidP="008176C7">
      <w:pPr>
        <w:pStyle w:val="ClinContent"/>
        <w:spacing w:before="0"/>
        <w:rPr>
          <w:rFonts w:asciiTheme="minorHAnsi" w:hAnsiTheme="minorHAnsi"/>
          <w:sz w:val="24"/>
          <w:lang w:val="pl-PL"/>
        </w:rPr>
      </w:pPr>
      <w:r w:rsidRPr="00ED0C6A">
        <w:rPr>
          <w:rFonts w:asciiTheme="minorHAnsi" w:hAnsiTheme="minorHAnsi"/>
          <w:sz w:val="24"/>
          <w:lang w:val="pl-PL"/>
        </w:rPr>
        <w:t>Trybunał zauważył, że u</w:t>
      </w:r>
      <w:r w:rsidR="008B0782" w:rsidRPr="00ED0C6A">
        <w:rPr>
          <w:rFonts w:asciiTheme="minorHAnsi" w:hAnsiTheme="minorHAnsi"/>
          <w:sz w:val="24"/>
          <w:lang w:val="pl-PL"/>
        </w:rPr>
        <w:t xml:space="preserve"> podstaw fińskiej polityki ustawodawczej zakładającej publiczne udostępnianie danych podatkowych leżała potrzeba zapewnienia możliwości monitorowania przez opinię publiczną działań organów rządowych. </w:t>
      </w:r>
    </w:p>
    <w:p w:rsidR="001B7107" w:rsidRPr="00ED0C6A" w:rsidRDefault="001B7107" w:rsidP="008176C7">
      <w:pPr>
        <w:pStyle w:val="ClinContent"/>
        <w:spacing w:before="0"/>
        <w:rPr>
          <w:rFonts w:asciiTheme="minorHAnsi" w:hAnsiTheme="minorHAnsi"/>
          <w:sz w:val="24"/>
          <w:lang w:val="pl-PL"/>
        </w:rPr>
      </w:pP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Tym niemniej, publiczny dostęp do danych podatkowych, podlegający jasnym zasadom i</w:t>
      </w:r>
      <w:r w:rsidR="00335B71">
        <w:rPr>
          <w:rFonts w:asciiTheme="minorHAnsi" w:hAnsiTheme="minorHAnsi"/>
          <w:sz w:val="24"/>
          <w:lang w:val="pl-PL"/>
        </w:rPr>
        <w:t> </w:t>
      </w:r>
      <w:r w:rsidRPr="00ED0C6A">
        <w:rPr>
          <w:rFonts w:asciiTheme="minorHAnsi" w:hAnsiTheme="minorHAnsi"/>
          <w:sz w:val="24"/>
          <w:lang w:val="pl-PL"/>
        </w:rPr>
        <w:t>procedurom, a także ogólna przejrzystość fińskiego systemu podatkowego nie oznaczały, że</w:t>
      </w:r>
      <w:r w:rsidR="00335B71">
        <w:rPr>
          <w:rFonts w:asciiTheme="minorHAnsi" w:hAnsiTheme="minorHAnsi"/>
          <w:sz w:val="24"/>
          <w:lang w:val="pl-PL"/>
        </w:rPr>
        <w:t> </w:t>
      </w:r>
      <w:r w:rsidRPr="00ED0C6A">
        <w:rPr>
          <w:rFonts w:asciiTheme="minorHAnsi" w:hAnsiTheme="minorHAnsi"/>
          <w:sz w:val="24"/>
          <w:lang w:val="pl-PL"/>
        </w:rPr>
        <w:t xml:space="preserve">kwestionowana publikacja sama w sobie wnosiła wkład do debaty w interesie publicznym. Biorąc pod uwagę publikację jako całość i </w:t>
      </w:r>
      <w:r w:rsidR="001078D0" w:rsidRPr="00ED0C6A">
        <w:rPr>
          <w:rFonts w:asciiTheme="minorHAnsi" w:hAnsiTheme="minorHAnsi"/>
          <w:sz w:val="24"/>
          <w:lang w:val="pl-PL"/>
        </w:rPr>
        <w:t>jej kontekst</w:t>
      </w:r>
      <w:r w:rsidRPr="00ED0C6A">
        <w:rPr>
          <w:rFonts w:asciiTheme="minorHAnsi" w:hAnsiTheme="minorHAnsi"/>
          <w:sz w:val="24"/>
          <w:lang w:val="pl-PL"/>
        </w:rPr>
        <w:t>, Trybunał, podobnie jak</w:t>
      </w:r>
      <w:r w:rsidR="00335B71">
        <w:rPr>
          <w:rFonts w:asciiTheme="minorHAnsi" w:hAnsiTheme="minorHAnsi"/>
          <w:sz w:val="24"/>
          <w:lang w:val="pl-PL"/>
        </w:rPr>
        <w:t> </w:t>
      </w:r>
      <w:r w:rsidRPr="00ED0C6A">
        <w:rPr>
          <w:rFonts w:asciiTheme="minorHAnsi" w:hAnsiTheme="minorHAnsi"/>
          <w:sz w:val="24"/>
          <w:lang w:val="pl-PL"/>
        </w:rPr>
        <w:t>Naczelny</w:t>
      </w:r>
      <w:r w:rsidR="00335B71">
        <w:rPr>
          <w:rFonts w:asciiTheme="minorHAnsi" w:hAnsiTheme="minorHAnsi"/>
          <w:sz w:val="24"/>
          <w:lang w:val="pl-PL"/>
        </w:rPr>
        <w:t> </w:t>
      </w:r>
      <w:r w:rsidRPr="00ED0C6A">
        <w:rPr>
          <w:rFonts w:asciiTheme="minorHAnsi" w:hAnsiTheme="minorHAnsi"/>
          <w:sz w:val="24"/>
          <w:lang w:val="pl-PL"/>
        </w:rPr>
        <w:t>Sąd</w:t>
      </w:r>
      <w:r w:rsidR="00335B71">
        <w:rPr>
          <w:rFonts w:asciiTheme="minorHAnsi" w:hAnsiTheme="minorHAnsi"/>
          <w:sz w:val="24"/>
          <w:lang w:val="pl-PL"/>
        </w:rPr>
        <w:t> </w:t>
      </w:r>
      <w:r w:rsidRPr="00ED0C6A">
        <w:rPr>
          <w:rFonts w:asciiTheme="minorHAnsi" w:hAnsiTheme="minorHAnsi"/>
          <w:sz w:val="24"/>
          <w:lang w:val="pl-PL"/>
        </w:rPr>
        <w:t>Administracyjny, nie był przekonany, że publikacja danych podatkowych w</w:t>
      </w:r>
      <w:r w:rsidR="00335B71">
        <w:rPr>
          <w:rFonts w:asciiTheme="minorHAnsi" w:hAnsiTheme="minorHAnsi"/>
          <w:sz w:val="24"/>
          <w:lang w:val="pl-PL"/>
        </w:rPr>
        <w:t> </w:t>
      </w:r>
      <w:r w:rsidRPr="00ED0C6A">
        <w:rPr>
          <w:rFonts w:asciiTheme="minorHAnsi" w:hAnsiTheme="minorHAnsi"/>
          <w:sz w:val="24"/>
          <w:lang w:val="pl-PL"/>
        </w:rPr>
        <w:t xml:space="preserve">sposób i w zakresie, w jakim zrobiły to skarżące spółki (nieobrobione dane opublikowane </w:t>
      </w:r>
      <w:r w:rsidRPr="00ED0C6A">
        <w:rPr>
          <w:rFonts w:asciiTheme="minorHAnsi" w:hAnsiTheme="minorHAnsi"/>
          <w:i/>
          <w:sz w:val="24"/>
          <w:lang w:val="pl-PL"/>
        </w:rPr>
        <w:t xml:space="preserve">en </w:t>
      </w:r>
      <w:proofErr w:type="spellStart"/>
      <w:r w:rsidRPr="00ED0C6A">
        <w:rPr>
          <w:rFonts w:asciiTheme="minorHAnsi" w:hAnsiTheme="minorHAnsi"/>
          <w:i/>
          <w:sz w:val="24"/>
          <w:lang w:val="pl-PL"/>
        </w:rPr>
        <w:t>masse</w:t>
      </w:r>
      <w:proofErr w:type="spellEnd"/>
      <w:r w:rsidRPr="00ED0C6A">
        <w:rPr>
          <w:rFonts w:asciiTheme="minorHAnsi" w:hAnsiTheme="minorHAnsi"/>
          <w:sz w:val="24"/>
          <w:lang w:val="pl-PL"/>
        </w:rPr>
        <w:t xml:space="preserve"> jako katalogi, prawie dosłownie), przyczyniła się do takiej debaty ani</w:t>
      </w:r>
      <w:r w:rsidR="00335B71">
        <w:rPr>
          <w:rFonts w:asciiTheme="minorHAnsi" w:hAnsiTheme="minorHAnsi"/>
          <w:sz w:val="24"/>
          <w:lang w:val="pl-PL"/>
        </w:rPr>
        <w:t> </w:t>
      </w:r>
      <w:r w:rsidRPr="00ED0C6A">
        <w:rPr>
          <w:rFonts w:asciiTheme="minorHAnsi" w:hAnsiTheme="minorHAnsi"/>
          <w:sz w:val="24"/>
          <w:lang w:val="pl-PL"/>
        </w:rPr>
        <w:t>czy</w:t>
      </w:r>
      <w:r w:rsidR="00335B71">
        <w:rPr>
          <w:rFonts w:asciiTheme="minorHAnsi" w:hAnsiTheme="minorHAnsi"/>
          <w:sz w:val="24"/>
          <w:lang w:val="pl-PL"/>
        </w:rPr>
        <w:t> </w:t>
      </w:r>
      <w:r w:rsidRPr="00ED0C6A">
        <w:rPr>
          <w:rFonts w:asciiTheme="minorHAnsi" w:hAnsiTheme="minorHAnsi"/>
          <w:sz w:val="24"/>
          <w:lang w:val="pl-PL"/>
        </w:rPr>
        <w:t>w</w:t>
      </w:r>
      <w:r w:rsidR="00335B71">
        <w:rPr>
          <w:rFonts w:asciiTheme="minorHAnsi" w:hAnsiTheme="minorHAnsi"/>
          <w:sz w:val="24"/>
          <w:lang w:val="pl-PL"/>
        </w:rPr>
        <w:t> </w:t>
      </w:r>
      <w:r w:rsidRPr="00ED0C6A">
        <w:rPr>
          <w:rFonts w:asciiTheme="minorHAnsi" w:hAnsiTheme="minorHAnsi"/>
          <w:sz w:val="24"/>
          <w:lang w:val="pl-PL"/>
        </w:rPr>
        <w:t xml:space="preserve">rzeczywistości było to jej głównym celem. </w:t>
      </w:r>
    </w:p>
    <w:p w:rsidR="001B7107" w:rsidRPr="00ED0C6A" w:rsidRDefault="001B7107" w:rsidP="008176C7">
      <w:pPr>
        <w:pStyle w:val="ClinContent"/>
        <w:spacing w:before="0"/>
        <w:rPr>
          <w:rFonts w:asciiTheme="minorHAnsi" w:hAnsiTheme="minorHAnsi"/>
          <w:sz w:val="24"/>
          <w:lang w:val="pl-PL"/>
        </w:rPr>
      </w:pPr>
    </w:p>
    <w:p w:rsidR="001B7107" w:rsidRPr="00ED0C6A" w:rsidRDefault="008B0782"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(ii) </w:t>
      </w:r>
      <w:r w:rsidRPr="00ED0C6A">
        <w:rPr>
          <w:rFonts w:asciiTheme="minorHAnsi" w:hAnsiTheme="minorHAnsi"/>
          <w:i/>
          <w:sz w:val="24"/>
          <w:u w:val="single"/>
          <w:lang w:val="pl-PL"/>
        </w:rPr>
        <w:t>Przedmiot publikacji</w:t>
      </w:r>
      <w:r w:rsidRPr="00ED0C6A">
        <w:rPr>
          <w:rFonts w:asciiTheme="minorHAnsi" w:hAnsiTheme="minorHAnsi"/>
          <w:i/>
          <w:sz w:val="24"/>
          <w:lang w:val="pl-PL"/>
        </w:rPr>
        <w:t xml:space="preserve"> </w:t>
      </w:r>
    </w:p>
    <w:p w:rsidR="008B0782" w:rsidRPr="00ED0C6A" w:rsidRDefault="001B7107"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miał na względzie, że </w:t>
      </w:r>
      <w:r w:rsidR="00780FB1" w:rsidRPr="00ED0C6A">
        <w:rPr>
          <w:rFonts w:asciiTheme="minorHAnsi" w:hAnsiTheme="minorHAnsi"/>
          <w:sz w:val="24"/>
          <w:lang w:val="pl-PL"/>
        </w:rPr>
        <w:t>w publikacji</w:t>
      </w:r>
      <w:r w:rsidRPr="00ED0C6A">
        <w:rPr>
          <w:rFonts w:asciiTheme="minorHAnsi" w:hAnsiTheme="minorHAnsi"/>
          <w:sz w:val="24"/>
          <w:lang w:val="pl-PL"/>
        </w:rPr>
        <w:t xml:space="preserve"> skarżących </w:t>
      </w:r>
      <w:r w:rsidR="00780FB1" w:rsidRPr="00ED0C6A">
        <w:rPr>
          <w:rFonts w:asciiTheme="minorHAnsi" w:hAnsiTheme="minorHAnsi"/>
          <w:sz w:val="24"/>
          <w:lang w:val="pl-PL"/>
        </w:rPr>
        <w:t xml:space="preserve">znalazły się dane </w:t>
      </w:r>
      <w:r w:rsidRPr="00ED0C6A">
        <w:rPr>
          <w:rFonts w:asciiTheme="minorHAnsi" w:hAnsiTheme="minorHAnsi"/>
          <w:sz w:val="24"/>
          <w:lang w:val="pl-PL"/>
        </w:rPr>
        <w:t>o</w:t>
      </w:r>
      <w:r w:rsidR="008B0782" w:rsidRPr="00ED0C6A">
        <w:rPr>
          <w:rFonts w:asciiTheme="minorHAnsi" w:hAnsiTheme="minorHAnsi"/>
          <w:sz w:val="24"/>
          <w:lang w:val="pl-PL"/>
        </w:rPr>
        <w:t>koło 1 200 000 osób fizycznych. Wszystkie te osoby były podatnikami, ale tylko bardzo nieliczne były osobami o wysokim dochodzie netto, osobami publicznymi lub znanymi osobistościami w</w:t>
      </w:r>
      <w:r w:rsidR="00335B71">
        <w:rPr>
          <w:rFonts w:asciiTheme="minorHAnsi" w:hAnsiTheme="minorHAnsi"/>
          <w:sz w:val="24"/>
          <w:lang w:val="pl-PL"/>
        </w:rPr>
        <w:t> </w:t>
      </w:r>
      <w:r w:rsidR="008B0782" w:rsidRPr="00ED0C6A">
        <w:rPr>
          <w:rFonts w:asciiTheme="minorHAnsi" w:hAnsiTheme="minorHAnsi"/>
          <w:sz w:val="24"/>
          <w:lang w:val="pl-PL"/>
        </w:rPr>
        <w:t>rozumieniu orzecznictwa Trybunału. Większość osób, których dane zostały wymienione w</w:t>
      </w:r>
      <w:r w:rsidR="00335B71">
        <w:rPr>
          <w:rFonts w:asciiTheme="minorHAnsi" w:hAnsiTheme="minorHAnsi"/>
          <w:sz w:val="24"/>
          <w:lang w:val="pl-PL"/>
        </w:rPr>
        <w:t> </w:t>
      </w:r>
      <w:r w:rsidR="008B0782" w:rsidRPr="00ED0C6A">
        <w:rPr>
          <w:rFonts w:asciiTheme="minorHAnsi" w:hAnsiTheme="minorHAnsi"/>
          <w:sz w:val="24"/>
          <w:lang w:val="pl-PL"/>
        </w:rPr>
        <w:t xml:space="preserve">gazecie, należała do grup o niskich dochodach. </w:t>
      </w:r>
    </w:p>
    <w:p w:rsidR="001078D0" w:rsidRPr="00ED0C6A" w:rsidRDefault="001078D0" w:rsidP="008176C7">
      <w:pPr>
        <w:pStyle w:val="ClinContent"/>
        <w:spacing w:before="0"/>
        <w:rPr>
          <w:rFonts w:asciiTheme="minorHAnsi" w:hAnsiTheme="minorHAnsi"/>
          <w:sz w:val="24"/>
          <w:lang w:val="pl-PL"/>
        </w:rPr>
      </w:pPr>
    </w:p>
    <w:p w:rsidR="00400835" w:rsidRPr="00ED0C6A" w:rsidRDefault="008B0782"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(iii) </w:t>
      </w:r>
      <w:r w:rsidRPr="00ED0C6A">
        <w:rPr>
          <w:rFonts w:asciiTheme="minorHAnsi" w:hAnsiTheme="minorHAnsi"/>
          <w:i/>
          <w:sz w:val="24"/>
          <w:u w:val="single"/>
          <w:lang w:val="pl-PL"/>
        </w:rPr>
        <w:t>Sposób uzyskania informacji i jej prawdziwość</w:t>
      </w:r>
      <w:r w:rsidRPr="00ED0C6A">
        <w:rPr>
          <w:rFonts w:asciiTheme="minorHAnsi" w:hAnsiTheme="minorHAnsi"/>
          <w:i/>
          <w:sz w:val="24"/>
          <w:lang w:val="pl-PL"/>
        </w:rPr>
        <w:t xml:space="preserve"> </w:t>
      </w:r>
    </w:p>
    <w:p w:rsidR="00400835" w:rsidRPr="00ED0C6A" w:rsidRDefault="00400835"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odnotował, że </w:t>
      </w:r>
      <w:r w:rsidR="00780FB1" w:rsidRPr="00ED0C6A">
        <w:rPr>
          <w:rFonts w:asciiTheme="minorHAnsi" w:hAnsiTheme="minorHAnsi"/>
          <w:sz w:val="24"/>
          <w:lang w:val="pl-PL"/>
        </w:rPr>
        <w:t>rzetelnoś</w:t>
      </w:r>
      <w:r w:rsidR="008B0782" w:rsidRPr="00ED0C6A">
        <w:rPr>
          <w:rFonts w:asciiTheme="minorHAnsi" w:hAnsiTheme="minorHAnsi"/>
          <w:sz w:val="24"/>
          <w:lang w:val="pl-PL"/>
        </w:rPr>
        <w:t>ć opublikowanej informacji nigdy nie była sporna, a</w:t>
      </w:r>
      <w:r w:rsidR="00976A23">
        <w:rPr>
          <w:rFonts w:asciiTheme="minorHAnsi" w:hAnsiTheme="minorHAnsi"/>
          <w:sz w:val="24"/>
          <w:lang w:val="pl-PL"/>
        </w:rPr>
        <w:t> </w:t>
      </w:r>
      <w:r w:rsidR="008B0782" w:rsidRPr="00ED0C6A">
        <w:rPr>
          <w:rFonts w:asciiTheme="minorHAnsi" w:hAnsiTheme="minorHAnsi"/>
          <w:sz w:val="24"/>
          <w:lang w:val="pl-PL"/>
        </w:rPr>
        <w:t>dane</w:t>
      </w:r>
      <w:r w:rsidR="00976A23">
        <w:rPr>
          <w:rFonts w:asciiTheme="minorHAnsi" w:hAnsiTheme="minorHAnsi"/>
          <w:sz w:val="24"/>
          <w:lang w:val="pl-PL"/>
        </w:rPr>
        <w:t> </w:t>
      </w:r>
      <w:r w:rsidR="008B0782" w:rsidRPr="00ED0C6A">
        <w:rPr>
          <w:rFonts w:asciiTheme="minorHAnsi" w:hAnsiTheme="minorHAnsi"/>
          <w:sz w:val="24"/>
          <w:lang w:val="pl-PL"/>
        </w:rPr>
        <w:t xml:space="preserve">nie zostały pozyskane nielegalnymi sposobami. </w:t>
      </w:r>
    </w:p>
    <w:p w:rsidR="00400835" w:rsidRPr="00ED0C6A" w:rsidRDefault="00400835" w:rsidP="008176C7">
      <w:pPr>
        <w:pStyle w:val="ClinContent"/>
        <w:spacing w:before="0"/>
        <w:rPr>
          <w:rFonts w:asciiTheme="minorHAnsi" w:hAnsiTheme="minorHAnsi"/>
          <w:sz w:val="24"/>
          <w:lang w:val="pl-PL"/>
        </w:rPr>
      </w:pP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Tym niemniej jasne było, że skarżące spółki, które anulowały swój wniosek o dane skierowany do Krajowej Rady ds. Opodatkowania i zamiast tego wynajęły</w:t>
      </w:r>
      <w:r w:rsidR="00780FB1" w:rsidRPr="00ED0C6A">
        <w:rPr>
          <w:rFonts w:asciiTheme="minorHAnsi" w:hAnsiTheme="minorHAnsi"/>
          <w:sz w:val="24"/>
          <w:lang w:val="pl-PL"/>
        </w:rPr>
        <w:t xml:space="preserve"> osoby, których zadaniem było zebranie</w:t>
      </w:r>
      <w:r w:rsidRPr="00ED0C6A">
        <w:rPr>
          <w:rFonts w:asciiTheme="minorHAnsi" w:hAnsiTheme="minorHAnsi"/>
          <w:sz w:val="24"/>
          <w:lang w:val="pl-PL"/>
        </w:rPr>
        <w:t xml:space="preserve"> dany</w:t>
      </w:r>
      <w:r w:rsidR="00780FB1" w:rsidRPr="00ED0C6A">
        <w:rPr>
          <w:rFonts w:asciiTheme="minorHAnsi" w:hAnsiTheme="minorHAnsi"/>
          <w:sz w:val="24"/>
          <w:lang w:val="pl-PL"/>
        </w:rPr>
        <w:t>ch</w:t>
      </w:r>
      <w:r w:rsidRPr="00ED0C6A">
        <w:rPr>
          <w:rFonts w:asciiTheme="minorHAnsi" w:hAnsiTheme="minorHAnsi"/>
          <w:sz w:val="24"/>
          <w:lang w:val="pl-PL"/>
        </w:rPr>
        <w:t xml:space="preserve"> podatkowych </w:t>
      </w:r>
      <w:r w:rsidR="001078D0" w:rsidRPr="00ED0C6A">
        <w:rPr>
          <w:rFonts w:asciiTheme="minorHAnsi" w:hAnsiTheme="minorHAnsi"/>
          <w:sz w:val="24"/>
          <w:lang w:val="pl-PL"/>
        </w:rPr>
        <w:t xml:space="preserve">bezpośrednio </w:t>
      </w:r>
      <w:r w:rsidRPr="00ED0C6A">
        <w:rPr>
          <w:rFonts w:asciiTheme="minorHAnsi" w:hAnsiTheme="minorHAnsi"/>
          <w:sz w:val="24"/>
          <w:lang w:val="pl-PL"/>
        </w:rPr>
        <w:t xml:space="preserve">w lokalnych urzędach podatkowych, stosowały </w:t>
      </w:r>
      <w:r w:rsidR="00780FB1" w:rsidRPr="00ED0C6A">
        <w:rPr>
          <w:rFonts w:asciiTheme="minorHAnsi" w:hAnsiTheme="minorHAnsi"/>
          <w:sz w:val="24"/>
          <w:lang w:val="pl-PL"/>
        </w:rPr>
        <w:t xml:space="preserve">strategię </w:t>
      </w:r>
      <w:r w:rsidRPr="00ED0C6A">
        <w:rPr>
          <w:rFonts w:asciiTheme="minorHAnsi" w:hAnsiTheme="minorHAnsi"/>
          <w:sz w:val="24"/>
          <w:lang w:val="pl-PL"/>
        </w:rPr>
        <w:t>omijania normalnych kanałów pozyskiwania informacji, a</w:t>
      </w:r>
      <w:r w:rsidR="00335B71">
        <w:rPr>
          <w:rFonts w:asciiTheme="minorHAnsi" w:hAnsiTheme="minorHAnsi"/>
          <w:sz w:val="24"/>
          <w:lang w:val="pl-PL"/>
        </w:rPr>
        <w:t> </w:t>
      </w:r>
      <w:r w:rsidRPr="00ED0C6A">
        <w:rPr>
          <w:rFonts w:asciiTheme="minorHAnsi" w:hAnsiTheme="minorHAnsi"/>
          <w:sz w:val="24"/>
          <w:lang w:val="pl-PL"/>
        </w:rPr>
        <w:t xml:space="preserve">więc również ustanowionych przez władze krajowe mechanizmów kontroli i równowagi regulujących dostęp i rozpowszechnianie. </w:t>
      </w:r>
    </w:p>
    <w:p w:rsidR="00400835" w:rsidRPr="00ED0C6A" w:rsidRDefault="00400835" w:rsidP="008176C7">
      <w:pPr>
        <w:pStyle w:val="ClinContent"/>
        <w:spacing w:before="0"/>
        <w:rPr>
          <w:rFonts w:asciiTheme="minorHAnsi" w:hAnsiTheme="minorHAnsi"/>
          <w:sz w:val="24"/>
          <w:lang w:val="pl-PL"/>
        </w:rPr>
      </w:pPr>
    </w:p>
    <w:p w:rsidR="00400835" w:rsidRPr="00ED0C6A" w:rsidRDefault="008B0782" w:rsidP="008176C7">
      <w:pPr>
        <w:pStyle w:val="ClinContent"/>
        <w:spacing w:before="0"/>
        <w:rPr>
          <w:rFonts w:asciiTheme="minorHAnsi" w:hAnsiTheme="minorHAnsi"/>
          <w:i/>
          <w:sz w:val="24"/>
          <w:u w:val="single"/>
          <w:lang w:val="pl-PL"/>
        </w:rPr>
      </w:pPr>
      <w:r w:rsidRPr="00ED0C6A">
        <w:rPr>
          <w:rFonts w:asciiTheme="minorHAnsi" w:hAnsiTheme="minorHAnsi"/>
          <w:sz w:val="24"/>
          <w:lang w:val="pl-PL"/>
        </w:rPr>
        <w:t xml:space="preserve">(iv) </w:t>
      </w:r>
      <w:r w:rsidRPr="00ED0C6A">
        <w:rPr>
          <w:rFonts w:asciiTheme="minorHAnsi" w:hAnsiTheme="minorHAnsi"/>
          <w:i/>
          <w:sz w:val="24"/>
          <w:u w:val="single"/>
          <w:lang w:val="pl-PL"/>
        </w:rPr>
        <w:t xml:space="preserve">Treść, forma oraz konsekwencje publikacji </w:t>
      </w:r>
    </w:p>
    <w:p w:rsidR="00400835" w:rsidRPr="00ED0C6A" w:rsidRDefault="00400835"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przypomniał, że co prawda </w:t>
      </w:r>
      <w:r w:rsidR="008B0782" w:rsidRPr="00ED0C6A">
        <w:rPr>
          <w:rFonts w:asciiTheme="minorHAnsi" w:hAnsiTheme="minorHAnsi"/>
          <w:sz w:val="24"/>
          <w:lang w:val="pl-PL"/>
        </w:rPr>
        <w:t xml:space="preserve">dziennikarze mają możliwość wyboru - spośród wszystkich docierających do nich nowych informacji </w:t>
      </w:r>
      <w:r w:rsidR="00780FB1" w:rsidRPr="00ED0C6A">
        <w:rPr>
          <w:rFonts w:asciiTheme="minorHAnsi" w:hAnsiTheme="minorHAnsi"/>
          <w:sz w:val="24"/>
          <w:lang w:val="pl-PL"/>
        </w:rPr>
        <w:t xml:space="preserve">– tych, na których </w:t>
      </w:r>
      <w:r w:rsidR="008B0782" w:rsidRPr="00ED0C6A">
        <w:rPr>
          <w:rFonts w:asciiTheme="minorHAnsi" w:hAnsiTheme="minorHAnsi"/>
          <w:sz w:val="24"/>
          <w:lang w:val="pl-PL"/>
        </w:rPr>
        <w:t>się</w:t>
      </w:r>
      <w:r w:rsidR="00780FB1" w:rsidRPr="00ED0C6A">
        <w:rPr>
          <w:rFonts w:asciiTheme="minorHAnsi" w:hAnsiTheme="minorHAnsi"/>
          <w:sz w:val="24"/>
          <w:lang w:val="pl-PL"/>
        </w:rPr>
        <w:t xml:space="preserve"> skupią</w:t>
      </w:r>
      <w:r w:rsidR="008B0782" w:rsidRPr="00ED0C6A">
        <w:rPr>
          <w:rFonts w:asciiTheme="minorHAnsi" w:hAnsiTheme="minorHAnsi"/>
          <w:sz w:val="24"/>
          <w:lang w:val="pl-PL"/>
        </w:rPr>
        <w:t xml:space="preserve">, i sposobu, w jaki to zrobią, </w:t>
      </w:r>
      <w:r w:rsidR="00780FB1" w:rsidRPr="00ED0C6A">
        <w:rPr>
          <w:rFonts w:asciiTheme="minorHAnsi" w:hAnsiTheme="minorHAnsi"/>
          <w:sz w:val="24"/>
          <w:lang w:val="pl-PL"/>
        </w:rPr>
        <w:t xml:space="preserve">swoboda </w:t>
      </w:r>
      <w:r w:rsidR="008B0782" w:rsidRPr="00ED0C6A">
        <w:rPr>
          <w:rFonts w:asciiTheme="minorHAnsi" w:hAnsiTheme="minorHAnsi"/>
          <w:sz w:val="24"/>
          <w:lang w:val="pl-PL"/>
        </w:rPr>
        <w:t xml:space="preserve">ta nie jest pozbawiona obowiązków. </w:t>
      </w:r>
    </w:p>
    <w:p w:rsidR="00400835" w:rsidRPr="00ED0C6A" w:rsidRDefault="00400835" w:rsidP="008176C7">
      <w:pPr>
        <w:pStyle w:val="ClinContent"/>
        <w:spacing w:before="0"/>
        <w:rPr>
          <w:rFonts w:asciiTheme="minorHAnsi" w:hAnsiTheme="minorHAnsi"/>
          <w:sz w:val="24"/>
          <w:lang w:val="pl-PL"/>
        </w:rPr>
      </w:pPr>
    </w:p>
    <w:p w:rsidR="00400835" w:rsidRPr="00ED0C6A" w:rsidRDefault="00780FB1" w:rsidP="008176C7">
      <w:pPr>
        <w:pStyle w:val="ClinContent"/>
        <w:spacing w:before="0"/>
        <w:rPr>
          <w:rFonts w:asciiTheme="minorHAnsi" w:hAnsiTheme="minorHAnsi"/>
          <w:sz w:val="24"/>
          <w:lang w:val="pl-PL"/>
        </w:rPr>
      </w:pPr>
      <w:r w:rsidRPr="00ED0C6A">
        <w:rPr>
          <w:rFonts w:asciiTheme="minorHAnsi" w:hAnsiTheme="minorHAnsi"/>
          <w:sz w:val="24"/>
          <w:lang w:val="pl-PL"/>
        </w:rPr>
        <w:t>Pomimo że</w:t>
      </w:r>
      <w:r w:rsidR="008B0782" w:rsidRPr="00ED0C6A">
        <w:rPr>
          <w:rFonts w:asciiTheme="minorHAnsi" w:hAnsiTheme="minorHAnsi"/>
          <w:sz w:val="24"/>
          <w:lang w:val="pl-PL"/>
        </w:rPr>
        <w:t xml:space="preserve"> w sprawie skarżących </w:t>
      </w:r>
      <w:r w:rsidRPr="00ED0C6A">
        <w:rPr>
          <w:rFonts w:asciiTheme="minorHAnsi" w:hAnsiTheme="minorHAnsi"/>
          <w:sz w:val="24"/>
          <w:lang w:val="pl-PL"/>
        </w:rPr>
        <w:t xml:space="preserve">spółek </w:t>
      </w:r>
      <w:r w:rsidR="008B0782" w:rsidRPr="00ED0C6A">
        <w:rPr>
          <w:rFonts w:asciiTheme="minorHAnsi" w:hAnsiTheme="minorHAnsi"/>
          <w:sz w:val="24"/>
          <w:lang w:val="pl-PL"/>
        </w:rPr>
        <w:t>przedmiotowe dane podatkowe były publicznie dostępne w Finlandii, można się było z nimi zapoznawać jedynie w lokalnych urzędach podatkowych</w:t>
      </w:r>
      <w:r w:rsidRPr="00ED0C6A">
        <w:rPr>
          <w:rFonts w:asciiTheme="minorHAnsi" w:hAnsiTheme="minorHAnsi"/>
          <w:sz w:val="24"/>
          <w:lang w:val="pl-PL"/>
        </w:rPr>
        <w:t xml:space="preserve"> i na jasno określonych warunkach</w:t>
      </w:r>
      <w:r w:rsidR="008B0782" w:rsidRPr="00ED0C6A">
        <w:rPr>
          <w:rFonts w:asciiTheme="minorHAnsi" w:hAnsiTheme="minorHAnsi"/>
          <w:sz w:val="24"/>
          <w:lang w:val="pl-PL"/>
        </w:rPr>
        <w:t>. Dziennikarze mogli otrzymać dane podatkowe w formacie cyfrowym, ale jedynie w określonej ilości. Dziennikarze musieli wskazać, że wnioskują o informację na potrzeby dziennikarskie oraz że nie będzie ona</w:t>
      </w:r>
      <w:r w:rsidR="00976A23">
        <w:rPr>
          <w:rFonts w:asciiTheme="minorHAnsi" w:hAnsiTheme="minorHAnsi"/>
          <w:sz w:val="24"/>
          <w:lang w:val="pl-PL"/>
        </w:rPr>
        <w:t> </w:t>
      </w:r>
      <w:r w:rsidR="008B0782" w:rsidRPr="00ED0C6A">
        <w:rPr>
          <w:rFonts w:asciiTheme="minorHAnsi" w:hAnsiTheme="minorHAnsi"/>
          <w:sz w:val="24"/>
          <w:lang w:val="pl-PL"/>
        </w:rPr>
        <w:t xml:space="preserve">publikowana w formie listy. A zatem, choć informacja dotycząca </w:t>
      </w:r>
      <w:r w:rsidRPr="00ED0C6A">
        <w:rPr>
          <w:rFonts w:asciiTheme="minorHAnsi" w:hAnsiTheme="minorHAnsi"/>
          <w:sz w:val="24"/>
          <w:lang w:val="pl-PL"/>
        </w:rPr>
        <w:t xml:space="preserve">konkretnych </w:t>
      </w:r>
      <w:r w:rsidR="008B0782" w:rsidRPr="00ED0C6A">
        <w:rPr>
          <w:rFonts w:asciiTheme="minorHAnsi" w:hAnsiTheme="minorHAnsi"/>
          <w:sz w:val="24"/>
          <w:lang w:val="pl-PL"/>
        </w:rPr>
        <w:t xml:space="preserve">osób była publicznie dostępna, dostępność ta podlegała szczegółowym regułom i zabezpieczeniom. </w:t>
      </w:r>
    </w:p>
    <w:p w:rsidR="00400835" w:rsidRPr="00ED0C6A" w:rsidRDefault="00400835" w:rsidP="008176C7">
      <w:pPr>
        <w:pStyle w:val="ClinContent"/>
        <w:spacing w:before="0"/>
        <w:rPr>
          <w:rFonts w:asciiTheme="minorHAnsi" w:hAnsiTheme="minorHAnsi"/>
          <w:sz w:val="24"/>
          <w:lang w:val="pl-PL"/>
        </w:rPr>
      </w:pPr>
    </w:p>
    <w:p w:rsidR="00400835"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Dla Trybunału fakt, że przedmiotowe dane były dostępne opinii publicznej na podstawie prawa krajowego, niekoniecznie oznaczał, że mogły być one publikowane w</w:t>
      </w:r>
      <w:r w:rsidR="00335B71">
        <w:rPr>
          <w:rFonts w:asciiTheme="minorHAnsi" w:hAnsiTheme="minorHAnsi"/>
          <w:sz w:val="24"/>
          <w:lang w:val="pl-PL"/>
        </w:rPr>
        <w:t> </w:t>
      </w:r>
      <w:r w:rsidRPr="00ED0C6A">
        <w:rPr>
          <w:rFonts w:asciiTheme="minorHAnsi" w:hAnsiTheme="minorHAnsi"/>
          <w:sz w:val="24"/>
          <w:lang w:val="pl-PL"/>
        </w:rPr>
        <w:t xml:space="preserve">nieograniczonym zakresie. Publikowanie danych w gazecie i dalsze ich rozpowszechnianie </w:t>
      </w:r>
      <w:r w:rsidR="00780FB1" w:rsidRPr="00ED0C6A">
        <w:rPr>
          <w:rFonts w:asciiTheme="minorHAnsi" w:hAnsiTheme="minorHAnsi"/>
          <w:sz w:val="24"/>
          <w:lang w:val="pl-PL"/>
        </w:rPr>
        <w:t>za pośrednictwem usługi</w:t>
      </w:r>
      <w:r w:rsidRPr="00ED0C6A">
        <w:rPr>
          <w:rFonts w:asciiTheme="minorHAnsi" w:hAnsiTheme="minorHAnsi"/>
          <w:sz w:val="24"/>
          <w:lang w:val="pl-PL"/>
        </w:rPr>
        <w:t xml:space="preserve"> SMS sprawiło, że stały się </w:t>
      </w:r>
      <w:r w:rsidR="00780FB1" w:rsidRPr="00ED0C6A">
        <w:rPr>
          <w:rFonts w:asciiTheme="minorHAnsi" w:hAnsiTheme="minorHAnsi"/>
          <w:sz w:val="24"/>
          <w:lang w:val="pl-PL"/>
        </w:rPr>
        <w:t xml:space="preserve">one </w:t>
      </w:r>
      <w:r w:rsidRPr="00ED0C6A">
        <w:rPr>
          <w:rFonts w:asciiTheme="minorHAnsi" w:hAnsiTheme="minorHAnsi"/>
          <w:sz w:val="24"/>
          <w:lang w:val="pl-PL"/>
        </w:rPr>
        <w:t>dostępne w sposób i w</w:t>
      </w:r>
      <w:r w:rsidR="00780FB1" w:rsidRPr="00ED0C6A">
        <w:rPr>
          <w:rFonts w:asciiTheme="minorHAnsi" w:hAnsiTheme="minorHAnsi"/>
          <w:sz w:val="24"/>
          <w:lang w:val="pl-PL"/>
        </w:rPr>
        <w:t xml:space="preserve"> zakresie</w:t>
      </w:r>
      <w:r w:rsidRPr="00ED0C6A">
        <w:rPr>
          <w:rFonts w:asciiTheme="minorHAnsi" w:hAnsiTheme="minorHAnsi"/>
          <w:sz w:val="24"/>
          <w:lang w:val="pl-PL"/>
        </w:rPr>
        <w:t>, który nie był zamierzony przez ustawodawcę.</w:t>
      </w:r>
    </w:p>
    <w:p w:rsidR="00400835" w:rsidRPr="00ED0C6A" w:rsidRDefault="00400835" w:rsidP="008176C7">
      <w:pPr>
        <w:pStyle w:val="ClinContent"/>
        <w:spacing w:before="0"/>
        <w:rPr>
          <w:rFonts w:asciiTheme="minorHAnsi" w:hAnsiTheme="minorHAnsi"/>
          <w:sz w:val="24"/>
          <w:lang w:val="pl-PL"/>
        </w:rPr>
      </w:pPr>
    </w:p>
    <w:p w:rsidR="00400835"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Zabezpieczenia zawarte w prawie krajowym zostały do niego wprowadzone właśnie z uwagi na publiczną dostępność osobistych danych podatkowych, charakter i cel ustawodawstwa o</w:t>
      </w:r>
      <w:r w:rsidR="00335B71">
        <w:rPr>
          <w:rFonts w:asciiTheme="minorHAnsi" w:hAnsiTheme="minorHAnsi"/>
          <w:sz w:val="24"/>
          <w:lang w:val="pl-PL"/>
        </w:rPr>
        <w:t> </w:t>
      </w:r>
      <w:r w:rsidRPr="00ED0C6A">
        <w:rPr>
          <w:rFonts w:asciiTheme="minorHAnsi" w:hAnsiTheme="minorHAnsi"/>
          <w:sz w:val="24"/>
          <w:lang w:val="pl-PL"/>
        </w:rPr>
        <w:t>ochronie danych osobowych oraz przewidziane w nim wyłączenie dziennikarzy. W</w:t>
      </w:r>
      <w:r w:rsidR="00335B71">
        <w:rPr>
          <w:rFonts w:asciiTheme="minorHAnsi" w:hAnsiTheme="minorHAnsi"/>
          <w:sz w:val="24"/>
          <w:lang w:val="pl-PL"/>
        </w:rPr>
        <w:t> </w:t>
      </w:r>
      <w:r w:rsidRPr="00ED0C6A">
        <w:rPr>
          <w:rFonts w:asciiTheme="minorHAnsi" w:hAnsiTheme="minorHAnsi"/>
          <w:sz w:val="24"/>
          <w:lang w:val="pl-PL"/>
        </w:rPr>
        <w:t>tych</w:t>
      </w:r>
      <w:r w:rsidR="00335B71">
        <w:rPr>
          <w:rFonts w:asciiTheme="minorHAnsi" w:hAnsiTheme="minorHAnsi"/>
          <w:sz w:val="24"/>
          <w:lang w:val="pl-PL"/>
        </w:rPr>
        <w:t> </w:t>
      </w:r>
      <w:r w:rsidRPr="00ED0C6A">
        <w:rPr>
          <w:rFonts w:asciiTheme="minorHAnsi" w:hAnsiTheme="minorHAnsi"/>
          <w:sz w:val="24"/>
          <w:lang w:val="pl-PL"/>
        </w:rPr>
        <w:t xml:space="preserve">okolicznościach władze pozwanego Państwa </w:t>
      </w:r>
      <w:r w:rsidR="00780FB1" w:rsidRPr="00ED0C6A">
        <w:rPr>
          <w:rFonts w:asciiTheme="minorHAnsi" w:hAnsiTheme="minorHAnsi"/>
          <w:sz w:val="24"/>
          <w:lang w:val="pl-PL"/>
        </w:rPr>
        <w:t>miały szeroki margines</w:t>
      </w:r>
      <w:r w:rsidRPr="00ED0C6A">
        <w:rPr>
          <w:rFonts w:asciiTheme="minorHAnsi" w:hAnsiTheme="minorHAnsi"/>
          <w:sz w:val="24"/>
          <w:lang w:val="pl-PL"/>
        </w:rPr>
        <w:t xml:space="preserve"> oceny przy</w:t>
      </w:r>
      <w:r w:rsidR="00335B71">
        <w:rPr>
          <w:rFonts w:asciiTheme="minorHAnsi" w:hAnsiTheme="minorHAnsi"/>
          <w:sz w:val="24"/>
          <w:lang w:val="pl-PL"/>
        </w:rPr>
        <w:t> </w:t>
      </w:r>
      <w:r w:rsidRPr="00ED0C6A">
        <w:rPr>
          <w:rFonts w:asciiTheme="minorHAnsi" w:hAnsiTheme="minorHAnsi"/>
          <w:sz w:val="24"/>
          <w:lang w:val="pl-PL"/>
        </w:rPr>
        <w:t>decydowaniu, w jaki sposób osiągnąć sprawiedliwą równowagę między poszczególnymi prawami chronionymi na podstawie art. 8 i 10</w:t>
      </w:r>
      <w:r w:rsidR="00400835" w:rsidRPr="00ED0C6A">
        <w:rPr>
          <w:rFonts w:asciiTheme="minorHAnsi" w:hAnsiTheme="minorHAnsi"/>
          <w:sz w:val="24"/>
          <w:lang w:val="pl-PL"/>
        </w:rPr>
        <w:t xml:space="preserve"> Konwencji</w:t>
      </w:r>
      <w:r w:rsidRPr="00ED0C6A">
        <w:rPr>
          <w:rFonts w:asciiTheme="minorHAnsi" w:hAnsiTheme="minorHAnsi"/>
          <w:sz w:val="24"/>
          <w:lang w:val="pl-PL"/>
        </w:rPr>
        <w:t>.</w:t>
      </w: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Dokonując procesu ważenia tych praw, sądy krajowe dążyły do osiągnięcia równowagi między wolnością wyrażania opinii a prawem do prywatności zawartym w ustawodawstwie o</w:t>
      </w:r>
      <w:r w:rsidR="00335B71">
        <w:rPr>
          <w:rFonts w:asciiTheme="minorHAnsi" w:hAnsiTheme="minorHAnsi"/>
          <w:sz w:val="24"/>
          <w:lang w:val="pl-PL"/>
        </w:rPr>
        <w:t> </w:t>
      </w:r>
      <w:r w:rsidRPr="00ED0C6A">
        <w:rPr>
          <w:rFonts w:asciiTheme="minorHAnsi" w:hAnsiTheme="minorHAnsi"/>
          <w:sz w:val="24"/>
          <w:lang w:val="pl-PL"/>
        </w:rPr>
        <w:t xml:space="preserve">ochronie danych osobowych. Stosując wyłączenie zawarte w art. 2 ust. 5 </w:t>
      </w:r>
      <w:r w:rsidRPr="00ED0C6A">
        <w:rPr>
          <w:rFonts w:asciiTheme="minorHAnsi" w:hAnsiTheme="minorHAnsi"/>
          <w:i/>
          <w:sz w:val="24"/>
          <w:lang w:val="pl-PL"/>
        </w:rPr>
        <w:t>ustawy o ochronie danych osobowych</w:t>
      </w:r>
      <w:r w:rsidRPr="00ED0C6A">
        <w:rPr>
          <w:rFonts w:asciiTheme="minorHAnsi" w:hAnsiTheme="minorHAnsi"/>
          <w:sz w:val="24"/>
          <w:lang w:val="pl-PL"/>
        </w:rPr>
        <w:t xml:space="preserve"> oraz test interesu publicznego wobec zaskarżonej ingerencji, przeanalizowały one, a w szczególności Naczelny Sąd Administracyjny, właściwe orzecznictwo </w:t>
      </w:r>
      <w:r w:rsidR="00400835" w:rsidRPr="00ED0C6A">
        <w:rPr>
          <w:rFonts w:asciiTheme="minorHAnsi" w:hAnsiTheme="minorHAnsi"/>
          <w:sz w:val="24"/>
          <w:lang w:val="pl-PL"/>
        </w:rPr>
        <w:t xml:space="preserve">Trybunału </w:t>
      </w:r>
      <w:r w:rsidRPr="00ED0C6A">
        <w:rPr>
          <w:rFonts w:asciiTheme="minorHAnsi" w:hAnsiTheme="minorHAnsi"/>
          <w:sz w:val="24"/>
          <w:lang w:val="pl-PL"/>
        </w:rPr>
        <w:t xml:space="preserve">na podstawie Konwencji i orzecznictwo TSUE oraz starannie zastosowały orzecznictwo Trybunału do faktów </w:t>
      </w:r>
      <w:r w:rsidR="00780FB1" w:rsidRPr="00ED0C6A">
        <w:rPr>
          <w:rFonts w:asciiTheme="minorHAnsi" w:hAnsiTheme="minorHAnsi"/>
          <w:sz w:val="24"/>
          <w:lang w:val="pl-PL"/>
        </w:rPr>
        <w:t>niniejszej</w:t>
      </w:r>
      <w:r w:rsidRPr="00ED0C6A">
        <w:rPr>
          <w:rFonts w:asciiTheme="minorHAnsi" w:hAnsiTheme="minorHAnsi"/>
          <w:sz w:val="24"/>
          <w:lang w:val="pl-PL"/>
        </w:rPr>
        <w:t xml:space="preserve"> sprawy. </w:t>
      </w:r>
    </w:p>
    <w:p w:rsidR="00400835" w:rsidRPr="00ED0C6A" w:rsidRDefault="00400835" w:rsidP="008176C7">
      <w:pPr>
        <w:pStyle w:val="ClinContent"/>
        <w:spacing w:before="0"/>
        <w:rPr>
          <w:rFonts w:asciiTheme="minorHAnsi" w:hAnsiTheme="minorHAnsi"/>
          <w:sz w:val="24"/>
          <w:lang w:val="pl-PL"/>
        </w:rPr>
      </w:pPr>
    </w:p>
    <w:p w:rsidR="00400835" w:rsidRPr="00ED0C6A" w:rsidRDefault="008B0782"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(v) </w:t>
      </w:r>
      <w:r w:rsidRPr="00ED0C6A">
        <w:rPr>
          <w:rFonts w:asciiTheme="minorHAnsi" w:hAnsiTheme="minorHAnsi"/>
          <w:i/>
          <w:sz w:val="24"/>
          <w:u w:val="single"/>
          <w:lang w:val="pl-PL"/>
        </w:rPr>
        <w:t>Sankcja</w:t>
      </w:r>
      <w:r w:rsidR="00400835" w:rsidRPr="00ED0C6A">
        <w:rPr>
          <w:rFonts w:asciiTheme="minorHAnsi" w:hAnsiTheme="minorHAnsi"/>
          <w:i/>
          <w:sz w:val="24"/>
          <w:lang w:val="pl-PL"/>
        </w:rPr>
        <w:t xml:space="preserve"> </w:t>
      </w:r>
    </w:p>
    <w:p w:rsidR="00400835" w:rsidRPr="00ED0C6A" w:rsidRDefault="00400835" w:rsidP="008176C7">
      <w:pPr>
        <w:pStyle w:val="ClinContent"/>
        <w:spacing w:before="0"/>
        <w:rPr>
          <w:rFonts w:asciiTheme="minorHAnsi" w:hAnsiTheme="minorHAnsi"/>
          <w:sz w:val="24"/>
          <w:lang w:val="pl-PL"/>
        </w:rPr>
      </w:pPr>
      <w:r w:rsidRPr="00ED0C6A">
        <w:rPr>
          <w:rFonts w:asciiTheme="minorHAnsi" w:hAnsiTheme="minorHAnsi"/>
          <w:sz w:val="24"/>
          <w:lang w:val="pl-PL"/>
        </w:rPr>
        <w:t>Trybunał przypomniał, że s</w:t>
      </w:r>
      <w:r w:rsidR="008B0782" w:rsidRPr="00ED0C6A">
        <w:rPr>
          <w:rFonts w:asciiTheme="minorHAnsi" w:hAnsiTheme="minorHAnsi"/>
          <w:sz w:val="24"/>
          <w:lang w:val="pl-PL"/>
        </w:rPr>
        <w:t>karżącym spółkom nie zakazano publikowania danych podatkowych ani też dalszego wydawania gazety – pod warunkiem, że będą to czynić w</w:t>
      </w:r>
      <w:r w:rsidR="003F5966">
        <w:rPr>
          <w:rFonts w:asciiTheme="minorHAnsi" w:hAnsiTheme="minorHAnsi"/>
          <w:sz w:val="24"/>
          <w:lang w:val="pl-PL"/>
        </w:rPr>
        <w:t> </w:t>
      </w:r>
      <w:r w:rsidR="008B0782" w:rsidRPr="00ED0C6A">
        <w:rPr>
          <w:rFonts w:asciiTheme="minorHAnsi" w:hAnsiTheme="minorHAnsi"/>
          <w:sz w:val="24"/>
          <w:lang w:val="pl-PL"/>
        </w:rPr>
        <w:t xml:space="preserve">sposób zgodny z prawem fińskim i regulacjami Unii Europejskiej dotyczącymi ochrony danych osobowych i dostępu do informacji. </w:t>
      </w:r>
    </w:p>
    <w:p w:rsidR="00400835" w:rsidRPr="00ED0C6A" w:rsidRDefault="00400835" w:rsidP="008176C7">
      <w:pPr>
        <w:pStyle w:val="ClinContent"/>
        <w:spacing w:before="0"/>
        <w:rPr>
          <w:rFonts w:asciiTheme="minorHAnsi" w:hAnsiTheme="minorHAnsi"/>
          <w:sz w:val="24"/>
          <w:lang w:val="pl-PL"/>
        </w:rPr>
      </w:pP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Fakt, że ograniczenia nałożone na ilość publikowanej informacji w praktyce mogły sprawić, że część ich działalności gospodarczej stała się mniej dochodowa, nie stanowi jako taki sankcji w świetle orzecznictwa Trybunału. </w:t>
      </w:r>
    </w:p>
    <w:p w:rsidR="00400835" w:rsidRPr="00ED0C6A" w:rsidRDefault="00400835" w:rsidP="008176C7">
      <w:pPr>
        <w:pStyle w:val="ClinContent"/>
        <w:spacing w:before="0"/>
        <w:rPr>
          <w:rFonts w:asciiTheme="minorHAnsi" w:hAnsiTheme="minorHAnsi"/>
          <w:sz w:val="24"/>
          <w:lang w:val="pl-PL"/>
        </w:rPr>
      </w:pP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u w:val="single"/>
          <w:lang w:val="pl-PL"/>
        </w:rPr>
        <w:t>W podsumowaniu</w:t>
      </w:r>
      <w:r w:rsidR="00400835" w:rsidRPr="00ED0C6A">
        <w:rPr>
          <w:rFonts w:asciiTheme="minorHAnsi" w:hAnsiTheme="minorHAnsi"/>
          <w:sz w:val="24"/>
          <w:lang w:val="pl-PL"/>
        </w:rPr>
        <w:t xml:space="preserve"> Trybunał podkreślił, że</w:t>
      </w:r>
      <w:r w:rsidRPr="00ED0C6A">
        <w:rPr>
          <w:rFonts w:asciiTheme="minorHAnsi" w:hAnsiTheme="minorHAnsi"/>
          <w:sz w:val="24"/>
          <w:lang w:val="pl-PL"/>
        </w:rPr>
        <w:t xml:space="preserve"> właściwe władze krajowe, a w szczególności Naczelny Sąd Administracyjny, w sposób należyty wzięły pod uwagę zasady i kryteria wynikające z orzecznictwa Trybunału w odniesieniu do procesu ważenia między prawem do</w:t>
      </w:r>
      <w:r w:rsidR="003F5966">
        <w:rPr>
          <w:rFonts w:asciiTheme="minorHAnsi" w:hAnsiTheme="minorHAnsi"/>
          <w:sz w:val="24"/>
          <w:lang w:val="pl-PL"/>
        </w:rPr>
        <w:t> </w:t>
      </w:r>
      <w:r w:rsidRPr="00ED0C6A">
        <w:rPr>
          <w:rFonts w:asciiTheme="minorHAnsi" w:hAnsiTheme="minorHAnsi"/>
          <w:sz w:val="24"/>
          <w:lang w:val="pl-PL"/>
        </w:rPr>
        <w:t xml:space="preserve">poszanowania życia prywatnego a prawem do wolności wyrażania opinii. Naczelny Sąd Administracyjny </w:t>
      </w:r>
      <w:r w:rsidR="00780FB1" w:rsidRPr="00ED0C6A">
        <w:rPr>
          <w:rFonts w:asciiTheme="minorHAnsi" w:hAnsiTheme="minorHAnsi"/>
          <w:sz w:val="24"/>
          <w:lang w:val="pl-PL"/>
        </w:rPr>
        <w:t>za szczególnie ważne uznał ustalenie</w:t>
      </w:r>
      <w:r w:rsidRPr="00ED0C6A">
        <w:rPr>
          <w:rFonts w:asciiTheme="minorHAnsi" w:hAnsiTheme="minorHAnsi"/>
          <w:sz w:val="24"/>
          <w:lang w:val="pl-PL"/>
        </w:rPr>
        <w:t>, że publikacja danych podatkowych w</w:t>
      </w:r>
      <w:r w:rsidR="003F5966">
        <w:rPr>
          <w:rFonts w:asciiTheme="minorHAnsi" w:hAnsiTheme="minorHAnsi"/>
          <w:sz w:val="24"/>
          <w:lang w:val="pl-PL"/>
        </w:rPr>
        <w:t> </w:t>
      </w:r>
      <w:r w:rsidRPr="00ED0C6A">
        <w:rPr>
          <w:rFonts w:asciiTheme="minorHAnsi" w:hAnsiTheme="minorHAnsi"/>
          <w:sz w:val="24"/>
          <w:lang w:val="pl-PL"/>
        </w:rPr>
        <w:t xml:space="preserve">ten sposób i w </w:t>
      </w:r>
      <w:r w:rsidR="00400835" w:rsidRPr="00ED0C6A">
        <w:rPr>
          <w:rFonts w:asciiTheme="minorHAnsi" w:hAnsiTheme="minorHAnsi"/>
          <w:sz w:val="24"/>
          <w:lang w:val="pl-PL"/>
        </w:rPr>
        <w:t xml:space="preserve">tym </w:t>
      </w:r>
      <w:r w:rsidR="00780FB1" w:rsidRPr="00ED0C6A">
        <w:rPr>
          <w:rFonts w:asciiTheme="minorHAnsi" w:hAnsiTheme="minorHAnsi"/>
          <w:sz w:val="24"/>
          <w:lang w:val="pl-PL"/>
        </w:rPr>
        <w:t xml:space="preserve">zakresie </w:t>
      </w:r>
      <w:r w:rsidRPr="00ED0C6A">
        <w:rPr>
          <w:rFonts w:asciiTheme="minorHAnsi" w:hAnsiTheme="minorHAnsi"/>
          <w:sz w:val="24"/>
          <w:lang w:val="pl-PL"/>
        </w:rPr>
        <w:t>nie przyczyniała się do debaty w interesie publicznym, a</w:t>
      </w:r>
      <w:r w:rsidR="003F5966">
        <w:rPr>
          <w:rFonts w:asciiTheme="minorHAnsi" w:hAnsiTheme="minorHAnsi"/>
          <w:sz w:val="24"/>
          <w:lang w:val="pl-PL"/>
        </w:rPr>
        <w:t> </w:t>
      </w:r>
      <w:r w:rsidRPr="00ED0C6A">
        <w:rPr>
          <w:rFonts w:asciiTheme="minorHAnsi" w:hAnsiTheme="minorHAnsi"/>
          <w:sz w:val="24"/>
          <w:lang w:val="pl-PL"/>
        </w:rPr>
        <w:t>skarżący nie mogli w istocie twierdzić, że uczynili to wyłącznie dla celów dziennikarskich w</w:t>
      </w:r>
      <w:r w:rsidR="003F5966">
        <w:rPr>
          <w:rFonts w:asciiTheme="minorHAnsi" w:hAnsiTheme="minorHAnsi"/>
          <w:sz w:val="24"/>
          <w:lang w:val="pl-PL"/>
        </w:rPr>
        <w:t> </w:t>
      </w:r>
      <w:r w:rsidRPr="00ED0C6A">
        <w:rPr>
          <w:rFonts w:asciiTheme="minorHAnsi" w:hAnsiTheme="minorHAnsi"/>
          <w:sz w:val="24"/>
          <w:lang w:val="pl-PL"/>
        </w:rPr>
        <w:t>rozumieniu prawa krajowego i U</w:t>
      </w:r>
      <w:r w:rsidR="00780FB1" w:rsidRPr="00ED0C6A">
        <w:rPr>
          <w:rFonts w:asciiTheme="minorHAnsi" w:hAnsiTheme="minorHAnsi"/>
          <w:sz w:val="24"/>
          <w:lang w:val="pl-PL"/>
        </w:rPr>
        <w:t xml:space="preserve">nii </w:t>
      </w:r>
      <w:r w:rsidRPr="00ED0C6A">
        <w:rPr>
          <w:rFonts w:asciiTheme="minorHAnsi" w:hAnsiTheme="minorHAnsi"/>
          <w:sz w:val="24"/>
          <w:lang w:val="pl-PL"/>
        </w:rPr>
        <w:t>E</w:t>
      </w:r>
      <w:r w:rsidR="00780FB1" w:rsidRPr="00ED0C6A">
        <w:rPr>
          <w:rFonts w:asciiTheme="minorHAnsi" w:hAnsiTheme="minorHAnsi"/>
          <w:sz w:val="24"/>
          <w:lang w:val="pl-PL"/>
        </w:rPr>
        <w:t>uropejskiej</w:t>
      </w:r>
      <w:r w:rsidRPr="00ED0C6A">
        <w:rPr>
          <w:rFonts w:asciiTheme="minorHAnsi" w:hAnsiTheme="minorHAnsi"/>
          <w:sz w:val="24"/>
          <w:lang w:val="pl-PL"/>
        </w:rPr>
        <w:t>. Uzasadnienie p</w:t>
      </w:r>
      <w:r w:rsidR="00780FB1" w:rsidRPr="00ED0C6A">
        <w:rPr>
          <w:rFonts w:asciiTheme="minorHAnsi" w:hAnsiTheme="minorHAnsi"/>
          <w:sz w:val="24"/>
          <w:lang w:val="pl-PL"/>
        </w:rPr>
        <w:t>rzy</w:t>
      </w:r>
      <w:r w:rsidRPr="00ED0C6A">
        <w:rPr>
          <w:rFonts w:asciiTheme="minorHAnsi" w:hAnsiTheme="minorHAnsi"/>
          <w:sz w:val="24"/>
          <w:lang w:val="pl-PL"/>
        </w:rPr>
        <w:t>wołane przez sądy krajowe było zarówno istotne jak i wystarczające, by wykazać, że zaskarżona ingerencja była „niezbędna w społeczeństwie demokratycznym” oraz że władze pozwanego Państwa działały w ramach przysługującego im marginesu oceny przy poszukiwaniu sprawiedliwej równowagi między wchodzącymi w grę konkurującymi interesami.</w:t>
      </w:r>
    </w:p>
    <w:p w:rsidR="00400835" w:rsidRPr="00ED0C6A" w:rsidRDefault="00400835" w:rsidP="008176C7">
      <w:pPr>
        <w:pStyle w:val="ClinContent"/>
        <w:spacing w:before="0"/>
        <w:rPr>
          <w:rFonts w:asciiTheme="minorHAnsi" w:hAnsiTheme="minorHAnsi"/>
          <w:i/>
          <w:sz w:val="24"/>
          <w:lang w:val="pl-PL"/>
        </w:rPr>
      </w:pPr>
    </w:p>
    <w:p w:rsidR="008B0782" w:rsidRPr="00ED0C6A" w:rsidRDefault="00400835" w:rsidP="008176C7">
      <w:pPr>
        <w:pStyle w:val="ClinContent"/>
        <w:spacing w:before="0"/>
        <w:rPr>
          <w:rFonts w:asciiTheme="minorHAnsi" w:hAnsiTheme="minorHAnsi"/>
          <w:sz w:val="24"/>
          <w:lang w:val="pl-PL"/>
        </w:rPr>
      </w:pPr>
      <w:r w:rsidRPr="00ED0C6A">
        <w:rPr>
          <w:rFonts w:asciiTheme="minorHAnsi" w:hAnsiTheme="minorHAnsi"/>
          <w:sz w:val="24"/>
          <w:lang w:val="pl-PL"/>
        </w:rPr>
        <w:t>Z powyższych względów Trybunał orzekł piętnastoma głosami do dwóch, że nie doszło do</w:t>
      </w:r>
      <w:r w:rsidR="003F5966">
        <w:rPr>
          <w:rFonts w:asciiTheme="minorHAnsi" w:hAnsiTheme="minorHAnsi"/>
          <w:sz w:val="24"/>
          <w:lang w:val="pl-PL"/>
        </w:rPr>
        <w:t> </w:t>
      </w:r>
      <w:r w:rsidR="008B0782" w:rsidRPr="00ED0C6A">
        <w:rPr>
          <w:rFonts w:asciiTheme="minorHAnsi" w:hAnsiTheme="minorHAnsi"/>
          <w:sz w:val="24"/>
          <w:lang w:val="pl-PL"/>
        </w:rPr>
        <w:t xml:space="preserve">naruszenia </w:t>
      </w:r>
      <w:r w:rsidRPr="00ED0C6A">
        <w:rPr>
          <w:rFonts w:asciiTheme="minorHAnsi" w:hAnsiTheme="minorHAnsi"/>
          <w:sz w:val="24"/>
          <w:lang w:val="pl-PL"/>
        </w:rPr>
        <w:t>art. 10 Konwencji chroniącego prawo do wolności wyrażania opinii.</w:t>
      </w:r>
    </w:p>
    <w:p w:rsidR="00400835" w:rsidRPr="00ED0C6A" w:rsidRDefault="00400835" w:rsidP="008176C7">
      <w:pPr>
        <w:pStyle w:val="ClinContent"/>
        <w:spacing w:before="0"/>
        <w:rPr>
          <w:rFonts w:asciiTheme="minorHAnsi" w:hAnsiTheme="minorHAnsi"/>
          <w:sz w:val="24"/>
          <w:lang w:val="pl-PL"/>
        </w:rPr>
      </w:pPr>
    </w:p>
    <w:p w:rsidR="008B0782" w:rsidRPr="00ED0C6A" w:rsidRDefault="008B0782"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Wielka Izba orzekła również, piętnastoma głosami do dwóch, że doszło do naruszenia art. 6 ust. 1 Konwencji w odniesieniu do długości postępowania przed sądami krajowymi. </w:t>
      </w:r>
    </w:p>
    <w:p w:rsidR="007E1CB6" w:rsidRPr="00ED0C6A" w:rsidRDefault="007E1CB6" w:rsidP="008176C7">
      <w:pPr>
        <w:pStyle w:val="ClinContent"/>
        <w:spacing w:before="0"/>
        <w:rPr>
          <w:rFonts w:asciiTheme="minorHAnsi" w:hAnsiTheme="minorHAnsi"/>
          <w:sz w:val="24"/>
          <w:lang w:val="pl-PL"/>
        </w:rPr>
      </w:pPr>
    </w:p>
    <w:p w:rsidR="00FF1737" w:rsidRPr="00ED0C6A" w:rsidRDefault="007E1CB6" w:rsidP="008176C7">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w:t>
      </w:r>
      <w:r w:rsidR="00304947" w:rsidRPr="00ED0C6A">
        <w:rPr>
          <w:rFonts w:asciiTheme="minorHAnsi" w:hAnsiTheme="minorHAnsi"/>
          <w:sz w:val="24"/>
          <w:lang w:val="pl-PL"/>
        </w:rPr>
        <w:t>Wyrok dotyczy interesującego zagadnienia ochrony prawa do</w:t>
      </w:r>
      <w:r w:rsidR="003F5966">
        <w:rPr>
          <w:rFonts w:asciiTheme="minorHAnsi" w:hAnsiTheme="minorHAnsi"/>
          <w:sz w:val="24"/>
          <w:lang w:val="pl-PL"/>
        </w:rPr>
        <w:t> </w:t>
      </w:r>
      <w:r w:rsidR="00304947" w:rsidRPr="00ED0C6A">
        <w:rPr>
          <w:rFonts w:asciiTheme="minorHAnsi" w:hAnsiTheme="minorHAnsi"/>
          <w:sz w:val="24"/>
          <w:lang w:val="pl-PL"/>
        </w:rPr>
        <w:t>prywatności w odniesieniu do udostępniania przez dziennikarzy dokumentów dostępnych publicznie – w tym przypadku szczegółowych informacji podatkowych i majątkowych dotyczących poszczególnych osób. Trybunał podkreśla, że publiczny charakter pewnej informacji nie oznacza, że gwarancja prawa do ochrony życia prywatnego innych osób nie</w:t>
      </w:r>
      <w:r w:rsidR="00976A23">
        <w:rPr>
          <w:rFonts w:asciiTheme="minorHAnsi" w:hAnsiTheme="minorHAnsi"/>
          <w:sz w:val="24"/>
          <w:lang w:val="pl-PL"/>
        </w:rPr>
        <w:t> </w:t>
      </w:r>
      <w:r w:rsidR="00304947" w:rsidRPr="00ED0C6A">
        <w:rPr>
          <w:rFonts w:asciiTheme="minorHAnsi" w:hAnsiTheme="minorHAnsi"/>
          <w:sz w:val="24"/>
          <w:lang w:val="pl-PL"/>
        </w:rPr>
        <w:t>ma</w:t>
      </w:r>
      <w:r w:rsidR="00976A23">
        <w:rPr>
          <w:rFonts w:asciiTheme="minorHAnsi" w:hAnsiTheme="minorHAnsi"/>
          <w:sz w:val="24"/>
          <w:lang w:val="pl-PL"/>
        </w:rPr>
        <w:t> </w:t>
      </w:r>
      <w:r w:rsidR="00304947" w:rsidRPr="00ED0C6A">
        <w:rPr>
          <w:rFonts w:asciiTheme="minorHAnsi" w:hAnsiTheme="minorHAnsi"/>
          <w:sz w:val="24"/>
          <w:lang w:val="pl-PL"/>
        </w:rPr>
        <w:t>zastosowania. Udostępnianie takich informacji np. przez dziennikarzy musi służyć interesowi publicznemu. Upowszechnianie przez dziennikarzy całości dostępnych publicznie informacji niekoniecznie stanowi działanie do celów dziennikarskich w interesie publiczny</w:t>
      </w:r>
      <w:r w:rsidR="006F4C78" w:rsidRPr="00ED0C6A">
        <w:rPr>
          <w:rFonts w:asciiTheme="minorHAnsi" w:hAnsiTheme="minorHAnsi"/>
          <w:sz w:val="24"/>
          <w:lang w:val="pl-PL"/>
        </w:rPr>
        <w:t>m</w:t>
      </w:r>
      <w:r w:rsidR="00304947" w:rsidRPr="00ED0C6A">
        <w:rPr>
          <w:rFonts w:asciiTheme="minorHAnsi" w:hAnsiTheme="minorHAnsi"/>
          <w:sz w:val="24"/>
          <w:lang w:val="pl-PL"/>
        </w:rPr>
        <w:t>. W</w:t>
      </w:r>
      <w:r w:rsidR="003F5966">
        <w:rPr>
          <w:rFonts w:asciiTheme="minorHAnsi" w:hAnsiTheme="minorHAnsi"/>
          <w:sz w:val="24"/>
          <w:lang w:val="pl-PL"/>
        </w:rPr>
        <w:t> </w:t>
      </w:r>
      <w:r w:rsidR="00304947" w:rsidRPr="00ED0C6A">
        <w:rPr>
          <w:rFonts w:asciiTheme="minorHAnsi" w:hAnsiTheme="minorHAnsi"/>
          <w:sz w:val="24"/>
          <w:lang w:val="pl-PL"/>
        </w:rPr>
        <w:t>tego</w:t>
      </w:r>
      <w:r w:rsidR="003F5966">
        <w:rPr>
          <w:rFonts w:asciiTheme="minorHAnsi" w:hAnsiTheme="minorHAnsi"/>
          <w:sz w:val="24"/>
          <w:lang w:val="pl-PL"/>
        </w:rPr>
        <w:t> </w:t>
      </w:r>
      <w:r w:rsidR="00304947" w:rsidRPr="00ED0C6A">
        <w:rPr>
          <w:rFonts w:asciiTheme="minorHAnsi" w:hAnsiTheme="minorHAnsi"/>
          <w:sz w:val="24"/>
          <w:lang w:val="pl-PL"/>
        </w:rPr>
        <w:t xml:space="preserve">typu przypadkach </w:t>
      </w:r>
      <w:r w:rsidR="00721A8D" w:rsidRPr="00ED0C6A">
        <w:rPr>
          <w:rFonts w:asciiTheme="minorHAnsi" w:hAnsiTheme="minorHAnsi"/>
          <w:sz w:val="24"/>
          <w:lang w:val="pl-PL"/>
        </w:rPr>
        <w:t xml:space="preserve">Państwa </w:t>
      </w:r>
      <w:r w:rsidR="00304947" w:rsidRPr="00ED0C6A">
        <w:rPr>
          <w:rFonts w:asciiTheme="minorHAnsi" w:hAnsiTheme="minorHAnsi"/>
          <w:sz w:val="24"/>
          <w:lang w:val="pl-PL"/>
        </w:rPr>
        <w:t>mają też możliwość nałożenia ograniczeń na sposób i</w:t>
      </w:r>
      <w:r w:rsidR="003F5966">
        <w:rPr>
          <w:rFonts w:asciiTheme="minorHAnsi" w:hAnsiTheme="minorHAnsi"/>
          <w:sz w:val="24"/>
          <w:lang w:val="pl-PL"/>
        </w:rPr>
        <w:t> </w:t>
      </w:r>
      <w:r w:rsidR="00304947" w:rsidRPr="00ED0C6A">
        <w:rPr>
          <w:rFonts w:asciiTheme="minorHAnsi" w:hAnsiTheme="minorHAnsi"/>
          <w:sz w:val="24"/>
          <w:lang w:val="pl-PL"/>
        </w:rPr>
        <w:t>zakres upowszechniania takich informacji przez inne podmioty, tak by znaleźć słuszną równowagę między potrzebą zapewnienia kontroli społecznej a prawem do prywatności osób, których dotyczy upublicznienie danych. Uprawnione może być stosowanie przez</w:t>
      </w:r>
      <w:r w:rsidR="003F5966">
        <w:rPr>
          <w:rFonts w:asciiTheme="minorHAnsi" w:hAnsiTheme="minorHAnsi"/>
          <w:sz w:val="24"/>
          <w:lang w:val="pl-PL"/>
        </w:rPr>
        <w:t> </w:t>
      </w:r>
      <w:r w:rsidR="00721A8D" w:rsidRPr="00ED0C6A">
        <w:rPr>
          <w:rFonts w:asciiTheme="minorHAnsi" w:hAnsiTheme="minorHAnsi"/>
          <w:sz w:val="24"/>
          <w:lang w:val="pl-PL"/>
        </w:rPr>
        <w:t xml:space="preserve">Państwa </w:t>
      </w:r>
      <w:r w:rsidR="00304947" w:rsidRPr="00ED0C6A">
        <w:rPr>
          <w:rFonts w:asciiTheme="minorHAnsi" w:hAnsiTheme="minorHAnsi"/>
          <w:sz w:val="24"/>
          <w:lang w:val="pl-PL"/>
        </w:rPr>
        <w:t xml:space="preserve">dodatkowych zabezpieczeń i ograniczeń, np. w ilości </w:t>
      </w:r>
      <w:r w:rsidR="006F4C78" w:rsidRPr="00ED0C6A">
        <w:rPr>
          <w:rFonts w:asciiTheme="minorHAnsi" w:hAnsiTheme="minorHAnsi"/>
          <w:sz w:val="24"/>
          <w:lang w:val="pl-PL"/>
        </w:rPr>
        <w:t>danych przekazywanych</w:t>
      </w:r>
      <w:r w:rsidR="00304947" w:rsidRPr="00ED0C6A">
        <w:rPr>
          <w:rFonts w:asciiTheme="minorHAnsi" w:hAnsiTheme="minorHAnsi"/>
          <w:sz w:val="24"/>
          <w:lang w:val="pl-PL"/>
        </w:rPr>
        <w:t xml:space="preserve"> osobom zainteresowanym. </w:t>
      </w:r>
    </w:p>
    <w:p w:rsidR="00046936" w:rsidRPr="00ED0C6A" w:rsidRDefault="00046936" w:rsidP="008176C7">
      <w:pPr>
        <w:pStyle w:val="ClinContent"/>
        <w:spacing w:before="0"/>
        <w:rPr>
          <w:rFonts w:asciiTheme="minorHAnsi" w:hAnsiTheme="minorHAnsi"/>
          <w:sz w:val="24"/>
          <w:lang w:val="pl-PL"/>
        </w:rPr>
      </w:pPr>
    </w:p>
    <w:p w:rsidR="00FF1737" w:rsidRPr="00ED0C6A" w:rsidRDefault="00FF1737" w:rsidP="008176C7">
      <w:pPr>
        <w:pStyle w:val="ClinContent"/>
        <w:spacing w:before="0"/>
        <w:rPr>
          <w:rFonts w:asciiTheme="minorHAnsi" w:hAnsiTheme="minorHAnsi"/>
          <w:sz w:val="24"/>
          <w:lang w:val="pl-PL"/>
        </w:rPr>
      </w:pPr>
      <w:r w:rsidRPr="00ED0C6A">
        <w:rPr>
          <w:rFonts w:asciiTheme="minorHAnsi" w:hAnsiTheme="minorHAnsi"/>
          <w:sz w:val="24"/>
          <w:lang w:val="pl-PL"/>
        </w:rPr>
        <w:t>Wyrok stanowi również kolejny przykład zastosowania przez Trybunał szczegółowych kryteriów z jego orzecznictwa dotyczących oceny, czy sądy krajowe dokonały właściwego wyważenia konkurujących praw – wolności wyrażania opinii dziennikarzy w stosunku do</w:t>
      </w:r>
      <w:r w:rsidR="003F5966">
        <w:rPr>
          <w:rFonts w:asciiTheme="minorHAnsi" w:hAnsiTheme="minorHAnsi"/>
          <w:sz w:val="24"/>
          <w:lang w:val="pl-PL"/>
        </w:rPr>
        <w:t> </w:t>
      </w:r>
      <w:r w:rsidRPr="00ED0C6A">
        <w:rPr>
          <w:rFonts w:asciiTheme="minorHAnsi" w:hAnsiTheme="minorHAnsi"/>
          <w:sz w:val="24"/>
          <w:lang w:val="pl-PL"/>
        </w:rPr>
        <w:t>prawa do poszanowania życia prywatnego innych osób</w:t>
      </w:r>
      <w:r w:rsidR="00A90DA3" w:rsidRPr="00ED0C6A">
        <w:rPr>
          <w:rFonts w:asciiTheme="minorHAnsi" w:hAnsiTheme="minorHAnsi"/>
          <w:sz w:val="24"/>
          <w:lang w:val="pl-PL"/>
        </w:rPr>
        <w:t xml:space="preserve"> (warto uwzględniać te kryteria w</w:t>
      </w:r>
      <w:r w:rsidR="003F5966">
        <w:rPr>
          <w:rFonts w:asciiTheme="minorHAnsi" w:hAnsiTheme="minorHAnsi"/>
          <w:sz w:val="24"/>
          <w:lang w:val="pl-PL"/>
        </w:rPr>
        <w:t> </w:t>
      </w:r>
      <w:r w:rsidR="00A90DA3" w:rsidRPr="00ED0C6A">
        <w:rPr>
          <w:rFonts w:asciiTheme="minorHAnsi" w:hAnsiTheme="minorHAnsi"/>
          <w:sz w:val="24"/>
          <w:lang w:val="pl-PL"/>
        </w:rPr>
        <w:t>prowadzonych działaniach szkoleniowych)</w:t>
      </w:r>
      <w:r w:rsidRPr="00ED0C6A">
        <w:rPr>
          <w:rFonts w:asciiTheme="minorHAnsi" w:hAnsiTheme="minorHAnsi"/>
          <w:sz w:val="24"/>
          <w:lang w:val="pl-PL"/>
        </w:rPr>
        <w:t>.</w:t>
      </w:r>
    </w:p>
    <w:p w:rsidR="00046936" w:rsidRPr="00ED0C6A" w:rsidRDefault="00046936" w:rsidP="008176C7">
      <w:pPr>
        <w:pStyle w:val="ClinContent"/>
        <w:spacing w:before="0"/>
        <w:rPr>
          <w:rFonts w:asciiTheme="minorHAnsi" w:hAnsiTheme="minorHAnsi"/>
          <w:sz w:val="24"/>
          <w:lang w:val="pl-PL"/>
        </w:rPr>
      </w:pPr>
    </w:p>
    <w:p w:rsidR="00304947" w:rsidRPr="00ED0C6A" w:rsidRDefault="00FF1737" w:rsidP="008176C7">
      <w:pPr>
        <w:pStyle w:val="ClinContent"/>
        <w:spacing w:before="0"/>
        <w:rPr>
          <w:rFonts w:asciiTheme="minorHAnsi" w:hAnsiTheme="minorHAnsi"/>
          <w:sz w:val="24"/>
          <w:u w:val="single"/>
          <w:lang w:val="pl-PL"/>
        </w:rPr>
      </w:pPr>
      <w:r w:rsidRPr="00ED0C6A">
        <w:rPr>
          <w:rFonts w:asciiTheme="minorHAnsi" w:hAnsiTheme="minorHAnsi"/>
          <w:sz w:val="24"/>
          <w:lang w:val="pl-PL"/>
        </w:rPr>
        <w:t xml:space="preserve">Wyrok stanowi również ciekawy przykład dialogu sędziowskiego między sądami krajowym, Trybunałem Sprawiedliwości UE a Europejskim Trybunałem Praw Człowieka. </w:t>
      </w:r>
    </w:p>
    <w:p w:rsidR="00304947" w:rsidRPr="00ED0C6A" w:rsidRDefault="00304947" w:rsidP="00304947">
      <w:pPr>
        <w:pStyle w:val="ClinContent"/>
        <w:spacing w:before="0"/>
        <w:rPr>
          <w:rFonts w:asciiTheme="minorHAnsi" w:hAnsiTheme="minorHAnsi"/>
          <w:sz w:val="24"/>
          <w:lang w:val="pl-PL"/>
        </w:rPr>
      </w:pPr>
    </w:p>
    <w:p w:rsidR="00304947" w:rsidRPr="00ED0C6A" w:rsidRDefault="00304947" w:rsidP="00304947">
      <w:pPr>
        <w:pStyle w:val="ClinContent"/>
        <w:spacing w:before="0"/>
        <w:rPr>
          <w:rFonts w:asciiTheme="minorHAnsi" w:hAnsiTheme="minorHAnsi"/>
          <w:sz w:val="24"/>
          <w:lang w:val="pl-PL"/>
        </w:rPr>
      </w:pPr>
      <w:r w:rsidRPr="00ED0C6A">
        <w:rPr>
          <w:rFonts w:asciiTheme="minorHAnsi" w:hAnsiTheme="minorHAnsi"/>
          <w:sz w:val="24"/>
          <w:lang w:val="pl-PL"/>
        </w:rPr>
        <w:t xml:space="preserve">Wyrok może mieć znaczenie zwłaszcza dla </w:t>
      </w:r>
      <w:r w:rsidR="00FF1737" w:rsidRPr="00ED0C6A">
        <w:rPr>
          <w:rFonts w:asciiTheme="minorHAnsi" w:hAnsiTheme="minorHAnsi"/>
          <w:sz w:val="24"/>
          <w:lang w:val="pl-PL"/>
        </w:rPr>
        <w:t xml:space="preserve">dziennikarzy, organów właściwych ds. ochrony dóbr osobistych oraz </w:t>
      </w:r>
      <w:r w:rsidRPr="00ED0C6A">
        <w:rPr>
          <w:rFonts w:asciiTheme="minorHAnsi" w:hAnsiTheme="minorHAnsi"/>
          <w:sz w:val="24"/>
          <w:lang w:val="pl-PL"/>
        </w:rPr>
        <w:t>sądów</w:t>
      </w:r>
      <w:r w:rsidR="00046936" w:rsidRPr="00ED0C6A">
        <w:rPr>
          <w:rFonts w:asciiTheme="minorHAnsi" w:hAnsiTheme="minorHAnsi"/>
          <w:sz w:val="24"/>
          <w:lang w:val="pl-PL"/>
        </w:rPr>
        <w:t>, a także dla organów właściwych ds. uregulowań prawnych i</w:t>
      </w:r>
      <w:r w:rsidR="003F5966">
        <w:rPr>
          <w:rFonts w:asciiTheme="minorHAnsi" w:hAnsiTheme="minorHAnsi"/>
          <w:sz w:val="24"/>
          <w:lang w:val="pl-PL"/>
        </w:rPr>
        <w:t> </w:t>
      </w:r>
      <w:r w:rsidR="00046936" w:rsidRPr="00ED0C6A">
        <w:rPr>
          <w:rFonts w:asciiTheme="minorHAnsi" w:hAnsiTheme="minorHAnsi"/>
          <w:sz w:val="24"/>
          <w:lang w:val="pl-PL"/>
        </w:rPr>
        <w:t>kontroli prawa do ochrony danych osobowych</w:t>
      </w:r>
      <w:r w:rsidRPr="00ED0C6A">
        <w:rPr>
          <w:rFonts w:asciiTheme="minorHAnsi" w:hAnsiTheme="minorHAnsi"/>
          <w:sz w:val="24"/>
          <w:lang w:val="pl-PL"/>
        </w:rPr>
        <w:t xml:space="preserve">. </w:t>
      </w:r>
    </w:p>
    <w:p w:rsidR="00304947" w:rsidRPr="00ED0C6A" w:rsidRDefault="00304947" w:rsidP="008176C7">
      <w:pPr>
        <w:pStyle w:val="ClinContent"/>
        <w:spacing w:before="0"/>
        <w:rPr>
          <w:rFonts w:asciiTheme="minorHAnsi" w:hAnsiTheme="minorHAnsi"/>
          <w:sz w:val="24"/>
          <w:u w:val="single"/>
          <w:lang w:val="pl-PL"/>
        </w:rPr>
      </w:pPr>
    </w:p>
    <w:p w:rsidR="00123F4D" w:rsidRPr="00ED0C6A" w:rsidRDefault="00123F4D" w:rsidP="00123F4D">
      <w:pPr>
        <w:pStyle w:val="Nagwek2"/>
        <w:spacing w:before="480"/>
        <w:rPr>
          <w:rFonts w:asciiTheme="minorHAnsi" w:hAnsiTheme="minorHAnsi"/>
          <w:color w:val="auto"/>
          <w:sz w:val="24"/>
          <w:szCs w:val="24"/>
        </w:rPr>
      </w:pPr>
      <w:bookmarkStart w:id="26" w:name="_Toc524696742"/>
      <w:proofErr w:type="spellStart"/>
      <w:r w:rsidRPr="00ED0C6A">
        <w:rPr>
          <w:rFonts w:asciiTheme="minorHAnsi" w:hAnsiTheme="minorHAnsi"/>
          <w:color w:val="auto"/>
          <w:sz w:val="24"/>
          <w:szCs w:val="24"/>
        </w:rPr>
        <w:t>Simeonovi</w:t>
      </w:r>
      <w:proofErr w:type="spellEnd"/>
      <w:r w:rsidRPr="00ED0C6A">
        <w:rPr>
          <w:rFonts w:asciiTheme="minorHAnsi" w:hAnsiTheme="minorHAnsi"/>
          <w:color w:val="auto"/>
          <w:sz w:val="24"/>
          <w:szCs w:val="24"/>
        </w:rPr>
        <w:t xml:space="preserve"> p. Bułgarii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21980/04</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4D5032" w:rsidRPr="00ED0C6A">
        <w:rPr>
          <w:rFonts w:asciiTheme="minorHAnsi" w:hAnsiTheme="minorHAnsi"/>
          <w:color w:val="auto"/>
          <w:sz w:val="24"/>
          <w:szCs w:val="24"/>
        </w:rPr>
        <w:t xml:space="preserve">Wielkiej Izby </w:t>
      </w:r>
      <w:r w:rsidRPr="00ED0C6A">
        <w:rPr>
          <w:rFonts w:asciiTheme="minorHAnsi" w:hAnsiTheme="minorHAnsi"/>
          <w:color w:val="auto"/>
          <w:sz w:val="24"/>
          <w:szCs w:val="24"/>
        </w:rPr>
        <w:t>z 12</w:t>
      </w:r>
      <w:r w:rsidR="00B4260D" w:rsidRPr="00ED0C6A">
        <w:rPr>
          <w:rFonts w:asciiTheme="minorHAnsi" w:hAnsiTheme="minorHAnsi"/>
          <w:color w:val="auto"/>
          <w:sz w:val="24"/>
          <w:szCs w:val="24"/>
        </w:rPr>
        <w:t xml:space="preserve"> maja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26"/>
      <w:r w:rsidRPr="00ED0C6A">
        <w:rPr>
          <w:rFonts w:asciiTheme="minorHAnsi" w:hAnsiTheme="minorHAnsi"/>
          <w:color w:val="auto"/>
          <w:sz w:val="24"/>
          <w:szCs w:val="24"/>
        </w:rPr>
        <w:t xml:space="preserve"> </w:t>
      </w:r>
      <w:r w:rsidR="004D5032" w:rsidRPr="00ED0C6A">
        <w:rPr>
          <w:rFonts w:asciiTheme="minorHAnsi" w:hAnsiTheme="minorHAnsi"/>
          <w:color w:val="auto"/>
          <w:sz w:val="24"/>
          <w:szCs w:val="24"/>
        </w:rPr>
        <w:t xml:space="preserve"> </w:t>
      </w:r>
      <w:r w:rsidR="00806672" w:rsidRPr="00ED0C6A">
        <w:rPr>
          <w:rFonts w:asciiTheme="minorHAnsi" w:hAnsiTheme="minorHAnsi"/>
          <w:color w:val="auto"/>
          <w:sz w:val="24"/>
          <w:szCs w:val="24"/>
        </w:rPr>
        <w:t xml:space="preserve"> </w:t>
      </w:r>
    </w:p>
    <w:p w:rsidR="00123F4D" w:rsidRPr="00ED0C6A" w:rsidRDefault="00123F4D" w:rsidP="00B512DB">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B512DB" w:rsidRPr="00ED0C6A">
        <w:rPr>
          <w:b/>
          <w:color w:val="000000" w:themeColor="text1"/>
          <w:sz w:val="24"/>
          <w:szCs w:val="24"/>
          <w:lang w:val="pl-PL"/>
        </w:rPr>
        <w:t xml:space="preserve"> art. 6 ust. 1 i ust. 3 lit. c Konwencji (prawo do rzetelnego procesu sądowego i prawo do bronienia się przez ustanowionego przez siebie obrońcę) w</w:t>
      </w:r>
      <w:r w:rsidR="003F5966">
        <w:rPr>
          <w:b/>
          <w:color w:val="000000" w:themeColor="text1"/>
          <w:sz w:val="24"/>
          <w:szCs w:val="24"/>
          <w:lang w:val="pl-PL"/>
        </w:rPr>
        <w:t> </w:t>
      </w:r>
      <w:r w:rsidR="00B512DB" w:rsidRPr="00ED0C6A">
        <w:rPr>
          <w:b/>
          <w:color w:val="000000" w:themeColor="text1"/>
          <w:sz w:val="24"/>
          <w:szCs w:val="24"/>
          <w:lang w:val="pl-PL"/>
        </w:rPr>
        <w:t xml:space="preserve">odniesieniu do braku dostępu skarżącego do obrońcy w czasie pierwszych trzech dni zatrzymania policyjnego, </w:t>
      </w:r>
      <w:r w:rsidR="0012673F" w:rsidRPr="00ED0C6A">
        <w:rPr>
          <w:b/>
          <w:color w:val="000000" w:themeColor="text1"/>
          <w:sz w:val="24"/>
          <w:szCs w:val="24"/>
          <w:lang w:val="pl-PL"/>
        </w:rPr>
        <w:t xml:space="preserve">który </w:t>
      </w:r>
      <w:r w:rsidR="00B512DB" w:rsidRPr="00ED0C6A">
        <w:rPr>
          <w:b/>
          <w:color w:val="000000" w:themeColor="text1"/>
          <w:sz w:val="24"/>
          <w:szCs w:val="24"/>
          <w:lang w:val="pl-PL"/>
        </w:rPr>
        <w:t>nie wpłyn</w:t>
      </w:r>
      <w:r w:rsidR="0012673F" w:rsidRPr="00ED0C6A">
        <w:rPr>
          <w:b/>
          <w:color w:val="000000" w:themeColor="text1"/>
          <w:sz w:val="24"/>
          <w:szCs w:val="24"/>
          <w:lang w:val="pl-PL"/>
        </w:rPr>
        <w:t>ął</w:t>
      </w:r>
      <w:r w:rsidR="00B512DB" w:rsidRPr="00ED0C6A">
        <w:rPr>
          <w:b/>
          <w:color w:val="000000" w:themeColor="text1"/>
          <w:sz w:val="24"/>
          <w:szCs w:val="24"/>
          <w:lang w:val="pl-PL"/>
        </w:rPr>
        <w:t xml:space="preserve"> na ogólną rzetelność procesu sądowego</w:t>
      </w:r>
    </w:p>
    <w:p w:rsidR="00232AE1" w:rsidRPr="00ED0C6A" w:rsidRDefault="00232AE1" w:rsidP="00B512DB">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naruszenie art. 3 Konwencji (zakaz tortur i nieludzkiego lub poniżającego traktowania albo karania) z uwagi na niewłaściwe warunki pozbawienia wolności skarżącego w</w:t>
      </w:r>
      <w:r w:rsidR="003F5966">
        <w:rPr>
          <w:b/>
          <w:color w:val="000000" w:themeColor="text1"/>
          <w:sz w:val="24"/>
          <w:szCs w:val="24"/>
          <w:lang w:val="pl-PL"/>
        </w:rPr>
        <w:t> </w:t>
      </w:r>
      <w:r w:rsidRPr="00ED0C6A">
        <w:rPr>
          <w:b/>
          <w:color w:val="000000" w:themeColor="text1"/>
          <w:sz w:val="24"/>
          <w:szCs w:val="24"/>
          <w:lang w:val="pl-PL"/>
        </w:rPr>
        <w:t>powiązaniu z długością jego kary pozbawienia wolności oraz zastosowanym wobec</w:t>
      </w:r>
      <w:r w:rsidR="00976A23">
        <w:rPr>
          <w:b/>
          <w:color w:val="000000" w:themeColor="text1"/>
          <w:sz w:val="24"/>
          <w:szCs w:val="24"/>
          <w:lang w:val="pl-PL"/>
        </w:rPr>
        <w:t> </w:t>
      </w:r>
      <w:r w:rsidRPr="00ED0C6A">
        <w:rPr>
          <w:b/>
          <w:color w:val="000000" w:themeColor="text1"/>
          <w:sz w:val="24"/>
          <w:szCs w:val="24"/>
          <w:lang w:val="pl-PL"/>
        </w:rPr>
        <w:t xml:space="preserve">niego ścisłym reżimem więziennym </w:t>
      </w:r>
    </w:p>
    <w:p w:rsidR="00123F4D"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Skarżący został zatrzymany w dniu 3 października 1999 r. pod zarzutem udziału w poważnym przestępstwie. Podczas trwającego trzy dni zatrzymania przez policję nie korzystał z pomocy obrońcy. W dniu 6 października 1999 r., gdy zostały mu postawione zarzuty w obecności obrońcy ustanowionego z urzędu, odmówił odpowiedzi na jakiekolwiek pytania śledczych. W</w:t>
      </w:r>
      <w:r w:rsidR="003F5966">
        <w:rPr>
          <w:rFonts w:asciiTheme="minorHAnsi" w:hAnsiTheme="minorHAnsi"/>
          <w:sz w:val="24"/>
          <w:lang w:val="pl-PL"/>
        </w:rPr>
        <w:t> </w:t>
      </w:r>
      <w:r w:rsidRPr="00ED0C6A">
        <w:rPr>
          <w:rFonts w:asciiTheme="minorHAnsi" w:hAnsiTheme="minorHAnsi"/>
          <w:sz w:val="24"/>
          <w:lang w:val="pl-PL"/>
        </w:rPr>
        <w:t>dniu 12 października 1999 r., gdy był przesłuchiwany w obecności dwóch obrońców ustanowionych przez siebie, zachował milczenie. W dniu 21 października 1999 r., korzystając z pomocy dwóch swoich obrońców, przyznał się do popełnienia zarzucanego przestępstwa. Kilka miesięcy później wycofał to przyznanie i przedstawił inną wersję wydarzeń. Został</w:t>
      </w:r>
      <w:r w:rsidR="003F5966">
        <w:rPr>
          <w:rFonts w:asciiTheme="minorHAnsi" w:hAnsiTheme="minorHAnsi"/>
          <w:sz w:val="24"/>
          <w:lang w:val="pl-PL"/>
        </w:rPr>
        <w:t> </w:t>
      </w:r>
      <w:r w:rsidRPr="00ED0C6A">
        <w:rPr>
          <w:rFonts w:asciiTheme="minorHAnsi" w:hAnsiTheme="minorHAnsi"/>
          <w:sz w:val="24"/>
          <w:lang w:val="pl-PL"/>
        </w:rPr>
        <w:t xml:space="preserve">skazany na karę dożywotniego pozbawienia wolności. </w:t>
      </w:r>
    </w:p>
    <w:p w:rsidR="0080348C" w:rsidRPr="00ED0C6A" w:rsidRDefault="0080348C" w:rsidP="008176C7">
      <w:pPr>
        <w:pStyle w:val="ClinContent"/>
        <w:spacing w:before="0"/>
        <w:rPr>
          <w:rFonts w:asciiTheme="minorHAnsi" w:hAnsiTheme="minorHAnsi"/>
          <w:sz w:val="24"/>
          <w:lang w:val="pl-PL"/>
        </w:rPr>
      </w:pPr>
    </w:p>
    <w:p w:rsidR="0080348C"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W wyroku Izby z dnia 20 października 2015 r. Trybunał jednomyślnie stwierdził brak</w:t>
      </w:r>
      <w:r w:rsidR="003F5966">
        <w:rPr>
          <w:rFonts w:asciiTheme="minorHAnsi" w:hAnsiTheme="minorHAnsi"/>
          <w:sz w:val="24"/>
          <w:lang w:val="pl-PL"/>
        </w:rPr>
        <w:t> </w:t>
      </w:r>
      <w:r w:rsidRPr="00ED0C6A">
        <w:rPr>
          <w:rFonts w:asciiTheme="minorHAnsi" w:hAnsiTheme="minorHAnsi"/>
          <w:sz w:val="24"/>
          <w:lang w:val="pl-PL"/>
        </w:rPr>
        <w:t>naruszenia art. 6 ust. 3 lit. c w związku z art. 6 ust. 1 w odniesieniu do braku dostępu do</w:t>
      </w:r>
      <w:r w:rsidR="003F5966">
        <w:rPr>
          <w:rFonts w:asciiTheme="minorHAnsi" w:hAnsiTheme="minorHAnsi"/>
          <w:sz w:val="24"/>
          <w:lang w:val="pl-PL"/>
        </w:rPr>
        <w:t> </w:t>
      </w:r>
      <w:r w:rsidRPr="00ED0C6A">
        <w:rPr>
          <w:rFonts w:asciiTheme="minorHAnsi" w:hAnsiTheme="minorHAnsi"/>
          <w:sz w:val="24"/>
          <w:lang w:val="pl-PL"/>
        </w:rPr>
        <w:t>obrońcy w czasie pierwszych trzech dni zatrzymania przez policję. W dniu 14 maja 2016 r. sprawa została przekazana na wniosek skarżącego do Wielkiej Izby.</w:t>
      </w:r>
    </w:p>
    <w:p w:rsidR="00123F4D"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64791E" w:rsidRPr="00ED0C6A" w:rsidRDefault="0080348C" w:rsidP="008176C7">
      <w:pPr>
        <w:pStyle w:val="ClinContent"/>
        <w:spacing w:before="0"/>
        <w:rPr>
          <w:rFonts w:asciiTheme="minorHAnsi" w:hAnsiTheme="minorHAnsi"/>
          <w:sz w:val="24"/>
          <w:lang w:val="pl-PL"/>
        </w:rPr>
      </w:pPr>
      <w:r w:rsidRPr="00ED0C6A">
        <w:rPr>
          <w:rFonts w:asciiTheme="minorHAnsi" w:hAnsiTheme="minorHAnsi"/>
          <w:sz w:val="24"/>
          <w:lang w:val="pl-PL"/>
        </w:rPr>
        <w:t>Trybunał zbadał sprawę z punktu widzenia prawa do rzetelnego procesu sądowego i prawa do bronienia się przez ustanowionego obrońcę (</w:t>
      </w:r>
      <w:r w:rsidR="00123F4D" w:rsidRPr="00ED0C6A">
        <w:rPr>
          <w:rFonts w:asciiTheme="minorHAnsi" w:hAnsiTheme="minorHAnsi"/>
          <w:sz w:val="24"/>
          <w:lang w:val="pl-PL"/>
        </w:rPr>
        <w:t>art. 6 ust. 1 i ust. 3 lit. c</w:t>
      </w:r>
      <w:r w:rsidRPr="00ED0C6A">
        <w:rPr>
          <w:rFonts w:asciiTheme="minorHAnsi" w:hAnsiTheme="minorHAnsi"/>
          <w:sz w:val="24"/>
          <w:lang w:val="pl-PL"/>
        </w:rPr>
        <w:t xml:space="preserve"> Konwencji).</w:t>
      </w:r>
      <w:r w:rsidR="00123F4D" w:rsidRPr="00ED0C6A">
        <w:rPr>
          <w:rFonts w:asciiTheme="minorHAnsi" w:hAnsiTheme="minorHAnsi"/>
          <w:sz w:val="24"/>
          <w:lang w:val="pl-PL"/>
        </w:rPr>
        <w:t xml:space="preserve"> </w:t>
      </w:r>
    </w:p>
    <w:p w:rsidR="0064791E" w:rsidRPr="00ED0C6A" w:rsidRDefault="0064791E" w:rsidP="008176C7">
      <w:pPr>
        <w:pStyle w:val="ClinContent"/>
        <w:spacing w:before="0"/>
        <w:rPr>
          <w:rFonts w:asciiTheme="minorHAnsi" w:hAnsiTheme="minorHAnsi"/>
          <w:sz w:val="24"/>
          <w:lang w:val="pl-PL"/>
        </w:rPr>
      </w:pPr>
    </w:p>
    <w:p w:rsidR="0064791E" w:rsidRPr="00ED0C6A" w:rsidRDefault="0064791E" w:rsidP="008176C7">
      <w:pPr>
        <w:pStyle w:val="ClinContent"/>
        <w:spacing w:before="0"/>
        <w:rPr>
          <w:rFonts w:asciiTheme="minorHAnsi" w:hAnsiTheme="minorHAnsi"/>
          <w:sz w:val="24"/>
          <w:lang w:val="pl-PL"/>
        </w:rPr>
      </w:pPr>
      <w:r w:rsidRPr="00ED0C6A">
        <w:rPr>
          <w:rFonts w:asciiTheme="minorHAnsi" w:hAnsiTheme="minorHAnsi"/>
          <w:sz w:val="24"/>
          <w:lang w:val="pl-PL"/>
        </w:rPr>
        <w:t>P</w:t>
      </w:r>
      <w:r w:rsidR="00123F4D" w:rsidRPr="00ED0C6A">
        <w:rPr>
          <w:rFonts w:asciiTheme="minorHAnsi" w:hAnsiTheme="minorHAnsi"/>
          <w:sz w:val="24"/>
          <w:lang w:val="pl-PL"/>
        </w:rPr>
        <w:t xml:space="preserve">rzypomniał, że co do zasady dostęp do obrońcy </w:t>
      </w:r>
      <w:r w:rsidRPr="00ED0C6A">
        <w:rPr>
          <w:rFonts w:asciiTheme="minorHAnsi" w:hAnsiTheme="minorHAnsi"/>
          <w:sz w:val="24"/>
          <w:lang w:val="pl-PL"/>
        </w:rPr>
        <w:t xml:space="preserve">musi być </w:t>
      </w:r>
      <w:r w:rsidR="00AB4247" w:rsidRPr="00ED0C6A">
        <w:rPr>
          <w:rFonts w:asciiTheme="minorHAnsi" w:hAnsiTheme="minorHAnsi"/>
          <w:sz w:val="24"/>
          <w:lang w:val="pl-PL"/>
        </w:rPr>
        <w:t>udzielony</w:t>
      </w:r>
      <w:r w:rsidRPr="00ED0C6A">
        <w:rPr>
          <w:rFonts w:asciiTheme="minorHAnsi" w:hAnsiTheme="minorHAnsi"/>
          <w:sz w:val="24"/>
          <w:lang w:val="pl-PL"/>
        </w:rPr>
        <w:t xml:space="preserve"> </w:t>
      </w:r>
      <w:r w:rsidR="00123F4D" w:rsidRPr="00ED0C6A">
        <w:rPr>
          <w:rFonts w:asciiTheme="minorHAnsi" w:hAnsiTheme="minorHAnsi"/>
          <w:sz w:val="24"/>
          <w:lang w:val="pl-PL"/>
        </w:rPr>
        <w:t>już od pierwszego przesłuchania podejrzanego</w:t>
      </w:r>
      <w:r w:rsidR="00AB4247" w:rsidRPr="00ED0C6A">
        <w:rPr>
          <w:rFonts w:asciiTheme="minorHAnsi" w:hAnsiTheme="minorHAnsi"/>
          <w:sz w:val="24"/>
          <w:lang w:val="pl-PL"/>
        </w:rPr>
        <w:t xml:space="preserve"> przez policję</w:t>
      </w:r>
      <w:r w:rsidR="00123F4D" w:rsidRPr="00ED0C6A">
        <w:rPr>
          <w:rFonts w:asciiTheme="minorHAnsi" w:hAnsiTheme="minorHAnsi"/>
          <w:sz w:val="24"/>
          <w:lang w:val="pl-PL"/>
        </w:rPr>
        <w:t xml:space="preserve">, chyba że w świetle szczególnych okoliczności sprawy można wykazać, że zachodziły </w:t>
      </w:r>
      <w:r w:rsidR="00AB4247" w:rsidRPr="00ED0C6A">
        <w:rPr>
          <w:rFonts w:asciiTheme="minorHAnsi" w:hAnsiTheme="minorHAnsi"/>
          <w:sz w:val="24"/>
          <w:lang w:val="pl-PL"/>
        </w:rPr>
        <w:t xml:space="preserve">istotne </w:t>
      </w:r>
      <w:r w:rsidR="00123F4D" w:rsidRPr="00ED0C6A">
        <w:rPr>
          <w:rFonts w:asciiTheme="minorHAnsi" w:hAnsiTheme="minorHAnsi"/>
          <w:sz w:val="24"/>
          <w:lang w:val="pl-PL"/>
        </w:rPr>
        <w:t>powody, by ograniczyć to prawo. Nawet</w:t>
      </w:r>
      <w:r w:rsidR="003F5966">
        <w:rPr>
          <w:rFonts w:asciiTheme="minorHAnsi" w:hAnsiTheme="minorHAnsi"/>
          <w:sz w:val="24"/>
          <w:lang w:val="pl-PL"/>
        </w:rPr>
        <w:t> </w:t>
      </w:r>
      <w:r w:rsidR="00123F4D" w:rsidRPr="00ED0C6A">
        <w:rPr>
          <w:rFonts w:asciiTheme="minorHAnsi" w:hAnsiTheme="minorHAnsi"/>
          <w:sz w:val="24"/>
          <w:lang w:val="pl-PL"/>
        </w:rPr>
        <w:t>jeśli</w:t>
      </w:r>
      <w:r w:rsidR="003F5966">
        <w:rPr>
          <w:rFonts w:asciiTheme="minorHAnsi" w:hAnsiTheme="minorHAnsi"/>
          <w:sz w:val="24"/>
          <w:lang w:val="pl-PL"/>
        </w:rPr>
        <w:t> </w:t>
      </w:r>
      <w:r w:rsidR="00AB4247" w:rsidRPr="00ED0C6A">
        <w:rPr>
          <w:rFonts w:asciiTheme="minorHAnsi" w:hAnsiTheme="minorHAnsi"/>
          <w:sz w:val="24"/>
          <w:lang w:val="pl-PL"/>
        </w:rPr>
        <w:t xml:space="preserve">istotne </w:t>
      </w:r>
      <w:r w:rsidR="00123F4D" w:rsidRPr="00ED0C6A">
        <w:rPr>
          <w:rFonts w:asciiTheme="minorHAnsi" w:hAnsiTheme="minorHAnsi"/>
          <w:sz w:val="24"/>
          <w:lang w:val="pl-PL"/>
        </w:rPr>
        <w:t xml:space="preserve">powody mogą </w:t>
      </w:r>
      <w:r w:rsidR="00AB4247" w:rsidRPr="00ED0C6A">
        <w:rPr>
          <w:rFonts w:asciiTheme="minorHAnsi" w:hAnsiTheme="minorHAnsi"/>
          <w:sz w:val="24"/>
          <w:lang w:val="pl-PL"/>
        </w:rPr>
        <w:t xml:space="preserve">w drodze </w:t>
      </w:r>
      <w:r w:rsidR="00123F4D" w:rsidRPr="00ED0C6A">
        <w:rPr>
          <w:rFonts w:asciiTheme="minorHAnsi" w:hAnsiTheme="minorHAnsi"/>
          <w:sz w:val="24"/>
          <w:lang w:val="pl-PL"/>
        </w:rPr>
        <w:t>wyjątk</w:t>
      </w:r>
      <w:r w:rsidR="00AB4247" w:rsidRPr="00ED0C6A">
        <w:rPr>
          <w:rFonts w:asciiTheme="minorHAnsi" w:hAnsiTheme="minorHAnsi"/>
          <w:sz w:val="24"/>
          <w:lang w:val="pl-PL"/>
        </w:rPr>
        <w:t>u</w:t>
      </w:r>
      <w:r w:rsidR="00123F4D" w:rsidRPr="00ED0C6A">
        <w:rPr>
          <w:rFonts w:asciiTheme="minorHAnsi" w:hAnsiTheme="minorHAnsi"/>
          <w:sz w:val="24"/>
          <w:lang w:val="pl-PL"/>
        </w:rPr>
        <w:t xml:space="preserve"> uzasadnić odmowę dostępu do obrońcy, ograniczenie takie – z jakiegokolwiek powodu</w:t>
      </w:r>
      <w:r w:rsidR="00AB4247" w:rsidRPr="00ED0C6A">
        <w:rPr>
          <w:rFonts w:asciiTheme="minorHAnsi" w:hAnsiTheme="minorHAnsi"/>
          <w:sz w:val="24"/>
          <w:lang w:val="pl-PL"/>
        </w:rPr>
        <w:t xml:space="preserve"> </w:t>
      </w:r>
      <w:r w:rsidR="00123F4D" w:rsidRPr="00ED0C6A">
        <w:rPr>
          <w:rFonts w:asciiTheme="minorHAnsi" w:hAnsiTheme="minorHAnsi"/>
          <w:sz w:val="24"/>
          <w:lang w:val="pl-PL"/>
        </w:rPr>
        <w:t xml:space="preserve">– nie może zmniejszyć </w:t>
      </w:r>
      <w:r w:rsidR="00AB4247" w:rsidRPr="00ED0C6A">
        <w:rPr>
          <w:rFonts w:asciiTheme="minorHAnsi" w:hAnsiTheme="minorHAnsi"/>
          <w:sz w:val="24"/>
          <w:lang w:val="pl-PL"/>
        </w:rPr>
        <w:t xml:space="preserve">nienależycie </w:t>
      </w:r>
      <w:r w:rsidR="00123F4D" w:rsidRPr="00ED0C6A">
        <w:rPr>
          <w:rFonts w:asciiTheme="minorHAnsi" w:hAnsiTheme="minorHAnsi"/>
          <w:sz w:val="24"/>
          <w:lang w:val="pl-PL"/>
        </w:rPr>
        <w:t>praw</w:t>
      </w:r>
      <w:r w:rsidR="001E3955">
        <w:rPr>
          <w:rFonts w:asciiTheme="minorHAnsi" w:hAnsiTheme="minorHAnsi"/>
          <w:sz w:val="24"/>
          <w:lang w:val="pl-PL"/>
        </w:rPr>
        <w:t> </w:t>
      </w:r>
      <w:r w:rsidR="00123F4D" w:rsidRPr="00ED0C6A">
        <w:rPr>
          <w:rFonts w:asciiTheme="minorHAnsi" w:hAnsiTheme="minorHAnsi"/>
          <w:sz w:val="24"/>
          <w:lang w:val="pl-PL"/>
        </w:rPr>
        <w:t xml:space="preserve">oskarżonego przysługujących </w:t>
      </w:r>
      <w:r w:rsidR="00AB4247" w:rsidRPr="00ED0C6A">
        <w:rPr>
          <w:rFonts w:asciiTheme="minorHAnsi" w:hAnsiTheme="minorHAnsi"/>
          <w:sz w:val="24"/>
          <w:lang w:val="pl-PL"/>
        </w:rPr>
        <w:t xml:space="preserve">mu </w:t>
      </w:r>
      <w:r w:rsidR="00123F4D" w:rsidRPr="00ED0C6A">
        <w:rPr>
          <w:rFonts w:asciiTheme="minorHAnsi" w:hAnsiTheme="minorHAnsi"/>
          <w:sz w:val="24"/>
          <w:lang w:val="pl-PL"/>
        </w:rPr>
        <w:t>na podstawie art. 6</w:t>
      </w:r>
      <w:r w:rsidRPr="00ED0C6A">
        <w:rPr>
          <w:rFonts w:asciiTheme="minorHAnsi" w:hAnsiTheme="minorHAnsi"/>
          <w:sz w:val="24"/>
          <w:lang w:val="pl-PL"/>
        </w:rPr>
        <w:t xml:space="preserve"> Konwencji</w:t>
      </w:r>
      <w:r w:rsidR="00123F4D" w:rsidRPr="00ED0C6A">
        <w:rPr>
          <w:rFonts w:asciiTheme="minorHAnsi" w:hAnsiTheme="minorHAnsi"/>
          <w:sz w:val="24"/>
          <w:lang w:val="pl-PL"/>
        </w:rPr>
        <w:t xml:space="preserve">. </w:t>
      </w:r>
    </w:p>
    <w:p w:rsidR="0064791E" w:rsidRPr="00ED0C6A" w:rsidRDefault="0064791E" w:rsidP="008176C7">
      <w:pPr>
        <w:pStyle w:val="ClinContent"/>
        <w:spacing w:before="0"/>
        <w:rPr>
          <w:rFonts w:asciiTheme="minorHAnsi" w:hAnsiTheme="minorHAnsi"/>
          <w:sz w:val="24"/>
          <w:lang w:val="pl-PL"/>
        </w:rPr>
      </w:pPr>
    </w:p>
    <w:p w:rsidR="00123F4D"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Prawo do obrony, co do zasady, będzie naruszone w sposób niemożliwy do naprawienia, jeśli</w:t>
      </w:r>
      <w:r w:rsidR="003F5966">
        <w:rPr>
          <w:rFonts w:asciiTheme="minorHAnsi" w:hAnsiTheme="minorHAnsi"/>
          <w:sz w:val="24"/>
          <w:lang w:val="pl-PL"/>
        </w:rPr>
        <w:t> </w:t>
      </w:r>
      <w:r w:rsidRPr="00ED0C6A">
        <w:rPr>
          <w:rFonts w:asciiTheme="minorHAnsi" w:hAnsiTheme="minorHAnsi"/>
          <w:sz w:val="24"/>
          <w:lang w:val="pl-PL"/>
        </w:rPr>
        <w:t>obciążające zeznania złożone podczas przesłuchania przez policję przeprowadzonego bez jaki</w:t>
      </w:r>
      <w:r w:rsidR="004C7778" w:rsidRPr="00ED0C6A">
        <w:rPr>
          <w:rFonts w:asciiTheme="minorHAnsi" w:hAnsiTheme="minorHAnsi"/>
          <w:sz w:val="24"/>
          <w:lang w:val="pl-PL"/>
        </w:rPr>
        <w:t>ej</w:t>
      </w:r>
      <w:r w:rsidRPr="00ED0C6A">
        <w:rPr>
          <w:rFonts w:asciiTheme="minorHAnsi" w:hAnsiTheme="minorHAnsi"/>
          <w:sz w:val="24"/>
          <w:lang w:val="pl-PL"/>
        </w:rPr>
        <w:t>kolwiek możliwości skorzystania z pomocy prawnej zostaną wykorzystane jako</w:t>
      </w:r>
      <w:r w:rsidR="003F5966">
        <w:rPr>
          <w:rFonts w:asciiTheme="minorHAnsi" w:hAnsiTheme="minorHAnsi"/>
          <w:sz w:val="24"/>
          <w:lang w:val="pl-PL"/>
        </w:rPr>
        <w:t> </w:t>
      </w:r>
      <w:r w:rsidRPr="00ED0C6A">
        <w:rPr>
          <w:rFonts w:asciiTheme="minorHAnsi" w:hAnsiTheme="minorHAnsi"/>
          <w:sz w:val="24"/>
          <w:lang w:val="pl-PL"/>
        </w:rPr>
        <w:t xml:space="preserve">podstawa skazania. </w:t>
      </w:r>
    </w:p>
    <w:p w:rsidR="0064791E" w:rsidRPr="00ED0C6A" w:rsidRDefault="0064791E" w:rsidP="008176C7">
      <w:pPr>
        <w:pStyle w:val="ClinContent"/>
        <w:spacing w:before="0"/>
        <w:rPr>
          <w:rFonts w:asciiTheme="minorHAnsi" w:hAnsiTheme="minorHAnsi"/>
          <w:sz w:val="24"/>
          <w:lang w:val="pl-PL"/>
        </w:rPr>
      </w:pPr>
    </w:p>
    <w:p w:rsidR="00101E70" w:rsidRPr="00ED0C6A" w:rsidRDefault="00101E70" w:rsidP="008176C7">
      <w:pPr>
        <w:pStyle w:val="ClinContent"/>
        <w:spacing w:before="0"/>
        <w:rPr>
          <w:rFonts w:asciiTheme="minorHAnsi" w:hAnsiTheme="minorHAnsi"/>
          <w:sz w:val="24"/>
          <w:lang w:val="pl-PL"/>
        </w:rPr>
      </w:pPr>
      <w:r w:rsidRPr="00ED0C6A">
        <w:rPr>
          <w:rFonts w:asciiTheme="minorHAnsi" w:hAnsiTheme="minorHAnsi"/>
          <w:sz w:val="24"/>
          <w:lang w:val="pl-PL"/>
        </w:rPr>
        <w:t>Trybunał zbadał sprawę skarżącego w świetle następujących aspektów:</w:t>
      </w:r>
    </w:p>
    <w:p w:rsidR="00101E70" w:rsidRPr="00ED0C6A" w:rsidRDefault="00101E70" w:rsidP="008176C7">
      <w:pPr>
        <w:pStyle w:val="ClinContent"/>
        <w:spacing w:before="0"/>
        <w:rPr>
          <w:rFonts w:asciiTheme="minorHAnsi" w:hAnsiTheme="minorHAnsi"/>
          <w:sz w:val="24"/>
          <w:lang w:val="pl-PL"/>
        </w:rPr>
      </w:pPr>
    </w:p>
    <w:p w:rsidR="00101E70"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(a) </w:t>
      </w:r>
      <w:r w:rsidRPr="00ED0C6A">
        <w:rPr>
          <w:rFonts w:asciiTheme="minorHAnsi" w:hAnsiTheme="minorHAnsi"/>
          <w:i/>
          <w:sz w:val="24"/>
          <w:u w:val="single"/>
          <w:lang w:val="pl-PL"/>
        </w:rPr>
        <w:t xml:space="preserve">Punkt początkowy </w:t>
      </w:r>
      <w:r w:rsidR="00101E70" w:rsidRPr="00ED0C6A">
        <w:rPr>
          <w:rFonts w:asciiTheme="minorHAnsi" w:hAnsiTheme="minorHAnsi"/>
          <w:i/>
          <w:sz w:val="24"/>
          <w:u w:val="single"/>
          <w:lang w:val="pl-PL"/>
        </w:rPr>
        <w:t xml:space="preserve">prawa do pomocy prawnej z </w:t>
      </w:r>
      <w:r w:rsidRPr="00ED0C6A">
        <w:rPr>
          <w:rFonts w:asciiTheme="minorHAnsi" w:hAnsiTheme="minorHAnsi"/>
          <w:i/>
          <w:sz w:val="24"/>
          <w:u w:val="single"/>
          <w:lang w:val="pl-PL"/>
        </w:rPr>
        <w:t>art. 6</w:t>
      </w:r>
      <w:r w:rsidRPr="00ED0C6A">
        <w:rPr>
          <w:rFonts w:asciiTheme="minorHAnsi" w:hAnsiTheme="minorHAnsi"/>
          <w:sz w:val="24"/>
          <w:lang w:val="pl-PL"/>
        </w:rPr>
        <w:t xml:space="preserve"> </w:t>
      </w:r>
    </w:p>
    <w:p w:rsidR="00123F4D" w:rsidRPr="00ED0C6A" w:rsidRDefault="00101E70" w:rsidP="008176C7">
      <w:pPr>
        <w:pStyle w:val="ClinContent"/>
        <w:spacing w:before="0"/>
        <w:rPr>
          <w:rFonts w:asciiTheme="minorHAnsi" w:hAnsiTheme="minorHAnsi"/>
          <w:sz w:val="24"/>
          <w:lang w:val="pl-PL"/>
        </w:rPr>
      </w:pPr>
      <w:r w:rsidRPr="00ED0C6A">
        <w:rPr>
          <w:rFonts w:asciiTheme="minorHAnsi" w:hAnsiTheme="minorHAnsi"/>
          <w:sz w:val="24"/>
          <w:lang w:val="pl-PL"/>
        </w:rPr>
        <w:t>Trybunał uznał, że w</w:t>
      </w:r>
      <w:r w:rsidR="00123F4D" w:rsidRPr="00ED0C6A">
        <w:rPr>
          <w:rFonts w:asciiTheme="minorHAnsi" w:hAnsiTheme="minorHAnsi"/>
          <w:sz w:val="24"/>
          <w:lang w:val="pl-PL"/>
        </w:rPr>
        <w:t xml:space="preserve"> obecnej sprawie punktem początkowym, od którego p</w:t>
      </w:r>
      <w:r w:rsidR="007A5CA2" w:rsidRPr="00ED0C6A">
        <w:rPr>
          <w:rFonts w:asciiTheme="minorHAnsi" w:hAnsiTheme="minorHAnsi"/>
          <w:sz w:val="24"/>
          <w:lang w:val="pl-PL"/>
        </w:rPr>
        <w:t>rzysługuje</w:t>
      </w:r>
      <w:r w:rsidR="00123F4D" w:rsidRPr="00ED0C6A">
        <w:rPr>
          <w:rFonts w:asciiTheme="minorHAnsi" w:hAnsiTheme="minorHAnsi"/>
          <w:sz w:val="24"/>
          <w:lang w:val="pl-PL"/>
        </w:rPr>
        <w:t xml:space="preserve"> prawo do pomocy prawnej, powinna być data zatrzymania skarżącego. W istocie, jego zatrzymanie było oparte na podejrzeniu popełnienia przez niego przestępstw i miało główny wpływ na</w:t>
      </w:r>
      <w:r w:rsidR="003F5966">
        <w:rPr>
          <w:rFonts w:asciiTheme="minorHAnsi" w:hAnsiTheme="minorHAnsi"/>
          <w:sz w:val="24"/>
          <w:lang w:val="pl-PL"/>
        </w:rPr>
        <w:t> </w:t>
      </w:r>
      <w:r w:rsidR="00123F4D" w:rsidRPr="00ED0C6A">
        <w:rPr>
          <w:rFonts w:asciiTheme="minorHAnsi" w:hAnsiTheme="minorHAnsi"/>
          <w:sz w:val="24"/>
          <w:lang w:val="pl-PL"/>
        </w:rPr>
        <w:t>jego sytuację, umożliwiając władzom przeprowadzenie środków dochodzeniowych z</w:t>
      </w:r>
      <w:r w:rsidR="003F5966">
        <w:rPr>
          <w:rFonts w:asciiTheme="minorHAnsi" w:hAnsiTheme="minorHAnsi"/>
          <w:sz w:val="24"/>
          <w:lang w:val="pl-PL"/>
        </w:rPr>
        <w:t> </w:t>
      </w:r>
      <w:r w:rsidR="00123F4D" w:rsidRPr="00ED0C6A">
        <w:rPr>
          <w:rFonts w:asciiTheme="minorHAnsi" w:hAnsiTheme="minorHAnsi"/>
          <w:sz w:val="24"/>
          <w:lang w:val="pl-PL"/>
        </w:rPr>
        <w:t>jego</w:t>
      </w:r>
      <w:r w:rsidR="003F5966">
        <w:rPr>
          <w:rFonts w:asciiTheme="minorHAnsi" w:hAnsiTheme="minorHAnsi"/>
          <w:sz w:val="24"/>
          <w:lang w:val="pl-PL"/>
        </w:rPr>
        <w:t> </w:t>
      </w:r>
      <w:r w:rsidR="00123F4D" w:rsidRPr="00ED0C6A">
        <w:rPr>
          <w:rFonts w:asciiTheme="minorHAnsi" w:hAnsiTheme="minorHAnsi"/>
          <w:sz w:val="24"/>
          <w:lang w:val="pl-PL"/>
        </w:rPr>
        <w:t xml:space="preserve">udziałem. </w:t>
      </w:r>
    </w:p>
    <w:p w:rsidR="00101E70" w:rsidRPr="00ED0C6A" w:rsidRDefault="00101E70" w:rsidP="008176C7">
      <w:pPr>
        <w:pStyle w:val="ClinContent"/>
        <w:spacing w:before="0"/>
        <w:rPr>
          <w:rFonts w:asciiTheme="minorHAnsi" w:hAnsiTheme="minorHAnsi"/>
          <w:sz w:val="24"/>
          <w:lang w:val="pl-PL"/>
        </w:rPr>
      </w:pPr>
    </w:p>
    <w:p w:rsidR="00101E70" w:rsidRPr="00ED0C6A" w:rsidRDefault="00123F4D"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(b) </w:t>
      </w:r>
      <w:r w:rsidRPr="00ED0C6A">
        <w:rPr>
          <w:rFonts w:asciiTheme="minorHAnsi" w:hAnsiTheme="minorHAnsi"/>
          <w:i/>
          <w:sz w:val="24"/>
          <w:u w:val="single"/>
          <w:lang w:val="pl-PL"/>
        </w:rPr>
        <w:t xml:space="preserve">Brak zrzeczenia się </w:t>
      </w:r>
      <w:r w:rsidR="00101E70" w:rsidRPr="00ED0C6A">
        <w:rPr>
          <w:rFonts w:asciiTheme="minorHAnsi" w:hAnsiTheme="minorHAnsi"/>
          <w:i/>
          <w:sz w:val="24"/>
          <w:u w:val="single"/>
          <w:lang w:val="pl-PL"/>
        </w:rPr>
        <w:t>prawa do pomocy prawnej</w:t>
      </w:r>
    </w:p>
    <w:p w:rsidR="00123F4D"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Nawet zakładając, że skarżący nie złożył wyraźnego wniosku o pomoc prawną w trakcie zatrzymania policyjnego, nie można uznać, że w sposób do</w:t>
      </w:r>
      <w:r w:rsidR="00AB4247" w:rsidRPr="00ED0C6A">
        <w:rPr>
          <w:rFonts w:asciiTheme="minorHAnsi" w:hAnsiTheme="minorHAnsi"/>
          <w:sz w:val="24"/>
          <w:lang w:val="pl-PL"/>
        </w:rPr>
        <w:t>rozumiany</w:t>
      </w:r>
      <w:r w:rsidRPr="00ED0C6A">
        <w:rPr>
          <w:rFonts w:asciiTheme="minorHAnsi" w:hAnsiTheme="minorHAnsi"/>
          <w:sz w:val="24"/>
          <w:lang w:val="pl-PL"/>
        </w:rPr>
        <w:t xml:space="preserve"> zrzekł się prawa do</w:t>
      </w:r>
      <w:r w:rsidR="003F5966">
        <w:rPr>
          <w:rFonts w:asciiTheme="minorHAnsi" w:hAnsiTheme="minorHAnsi"/>
          <w:sz w:val="24"/>
          <w:lang w:val="pl-PL"/>
        </w:rPr>
        <w:t> </w:t>
      </w:r>
      <w:r w:rsidRPr="00ED0C6A">
        <w:rPr>
          <w:rFonts w:asciiTheme="minorHAnsi" w:hAnsiTheme="minorHAnsi"/>
          <w:sz w:val="24"/>
          <w:lang w:val="pl-PL"/>
        </w:rPr>
        <w:t>takiej pomocy. Policja w rzeczywistości zaniechała poinformowania go o tym prawie w</w:t>
      </w:r>
      <w:r w:rsidR="003F5966">
        <w:rPr>
          <w:rFonts w:asciiTheme="minorHAnsi" w:hAnsiTheme="minorHAnsi"/>
          <w:sz w:val="24"/>
          <w:lang w:val="pl-PL"/>
        </w:rPr>
        <w:t> </w:t>
      </w:r>
      <w:r w:rsidRPr="00ED0C6A">
        <w:rPr>
          <w:rFonts w:asciiTheme="minorHAnsi" w:hAnsiTheme="minorHAnsi"/>
          <w:sz w:val="24"/>
          <w:lang w:val="pl-PL"/>
        </w:rPr>
        <w:t xml:space="preserve">czasie zatrzymania. </w:t>
      </w:r>
    </w:p>
    <w:p w:rsidR="00101E70" w:rsidRPr="00ED0C6A" w:rsidRDefault="00101E70" w:rsidP="008176C7">
      <w:pPr>
        <w:pStyle w:val="ClinContent"/>
        <w:spacing w:before="0"/>
        <w:rPr>
          <w:rFonts w:asciiTheme="minorHAnsi" w:hAnsiTheme="minorHAnsi"/>
          <w:sz w:val="24"/>
          <w:lang w:val="pl-PL"/>
        </w:rPr>
      </w:pPr>
    </w:p>
    <w:p w:rsidR="00101E70"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(c) </w:t>
      </w:r>
      <w:r w:rsidRPr="00ED0C6A">
        <w:rPr>
          <w:rFonts w:asciiTheme="minorHAnsi" w:hAnsiTheme="minorHAnsi"/>
          <w:i/>
          <w:sz w:val="24"/>
          <w:u w:val="single"/>
          <w:lang w:val="pl-PL"/>
        </w:rPr>
        <w:t>Brak „</w:t>
      </w:r>
      <w:r w:rsidR="00AB4247" w:rsidRPr="00ED0C6A">
        <w:rPr>
          <w:rFonts w:asciiTheme="minorHAnsi" w:hAnsiTheme="minorHAnsi"/>
          <w:i/>
          <w:sz w:val="24"/>
          <w:u w:val="single"/>
          <w:lang w:val="pl-PL"/>
        </w:rPr>
        <w:t>istotnych</w:t>
      </w:r>
      <w:r w:rsidRPr="00ED0C6A">
        <w:rPr>
          <w:rFonts w:asciiTheme="minorHAnsi" w:hAnsiTheme="minorHAnsi"/>
          <w:i/>
          <w:sz w:val="24"/>
          <w:u w:val="single"/>
          <w:lang w:val="pl-PL"/>
        </w:rPr>
        <w:t xml:space="preserve"> powodów”, by ograniczyć dostęp do obrońcy</w:t>
      </w:r>
      <w:r w:rsidRPr="00ED0C6A">
        <w:rPr>
          <w:rFonts w:asciiTheme="minorHAnsi" w:hAnsiTheme="minorHAnsi"/>
          <w:sz w:val="24"/>
          <w:lang w:val="pl-PL"/>
        </w:rPr>
        <w:t xml:space="preserve"> </w:t>
      </w:r>
    </w:p>
    <w:p w:rsidR="00123F4D" w:rsidRPr="00ED0C6A" w:rsidRDefault="00101E70" w:rsidP="008176C7">
      <w:pPr>
        <w:pStyle w:val="ClinContent"/>
        <w:spacing w:before="0"/>
        <w:rPr>
          <w:rFonts w:asciiTheme="minorHAnsi" w:hAnsiTheme="minorHAnsi"/>
          <w:sz w:val="24"/>
          <w:lang w:val="pl-PL"/>
        </w:rPr>
      </w:pPr>
      <w:r w:rsidRPr="00ED0C6A">
        <w:rPr>
          <w:rFonts w:asciiTheme="minorHAnsi" w:hAnsiTheme="minorHAnsi"/>
          <w:sz w:val="24"/>
          <w:lang w:val="pl-PL"/>
        </w:rPr>
        <w:t>Trybunał zauważył, że n</w:t>
      </w:r>
      <w:r w:rsidR="00123F4D" w:rsidRPr="00ED0C6A">
        <w:rPr>
          <w:rFonts w:asciiTheme="minorHAnsi" w:hAnsiTheme="minorHAnsi"/>
          <w:sz w:val="24"/>
          <w:lang w:val="pl-PL"/>
        </w:rPr>
        <w:t xml:space="preserve">ie zostały </w:t>
      </w:r>
      <w:r w:rsidRPr="00ED0C6A">
        <w:rPr>
          <w:rFonts w:asciiTheme="minorHAnsi" w:hAnsiTheme="minorHAnsi"/>
          <w:sz w:val="24"/>
          <w:lang w:val="pl-PL"/>
        </w:rPr>
        <w:t>p</w:t>
      </w:r>
      <w:r w:rsidR="00AB4247" w:rsidRPr="00ED0C6A">
        <w:rPr>
          <w:rFonts w:asciiTheme="minorHAnsi" w:hAnsiTheme="minorHAnsi"/>
          <w:sz w:val="24"/>
          <w:lang w:val="pl-PL"/>
        </w:rPr>
        <w:t>rzy</w:t>
      </w:r>
      <w:r w:rsidRPr="00ED0C6A">
        <w:rPr>
          <w:rFonts w:asciiTheme="minorHAnsi" w:hAnsiTheme="minorHAnsi"/>
          <w:sz w:val="24"/>
          <w:lang w:val="pl-PL"/>
        </w:rPr>
        <w:t xml:space="preserve">wołane </w:t>
      </w:r>
      <w:r w:rsidR="00123F4D" w:rsidRPr="00ED0C6A">
        <w:rPr>
          <w:rFonts w:asciiTheme="minorHAnsi" w:hAnsiTheme="minorHAnsi"/>
          <w:sz w:val="24"/>
          <w:lang w:val="pl-PL"/>
        </w:rPr>
        <w:t>żadne „</w:t>
      </w:r>
      <w:r w:rsidR="00AB4247" w:rsidRPr="00ED0C6A">
        <w:rPr>
          <w:rFonts w:asciiTheme="minorHAnsi" w:hAnsiTheme="minorHAnsi"/>
          <w:sz w:val="24"/>
          <w:lang w:val="pl-PL"/>
        </w:rPr>
        <w:t>istotne</w:t>
      </w:r>
      <w:r w:rsidR="00123F4D" w:rsidRPr="00ED0C6A">
        <w:rPr>
          <w:rFonts w:asciiTheme="minorHAnsi" w:hAnsiTheme="minorHAnsi"/>
          <w:sz w:val="24"/>
          <w:lang w:val="pl-PL"/>
        </w:rPr>
        <w:t xml:space="preserve"> powody” celem uzasadnienia ograniczenia dostępu skarżącego do obrońcy w czasie jego zatrzymania (</w:t>
      </w:r>
      <w:r w:rsidRPr="00ED0C6A">
        <w:rPr>
          <w:rFonts w:asciiTheme="minorHAnsi" w:hAnsiTheme="minorHAnsi"/>
          <w:sz w:val="24"/>
          <w:lang w:val="pl-PL"/>
        </w:rPr>
        <w:t>takie</w:t>
      </w:r>
      <w:r w:rsidR="003F5966">
        <w:rPr>
          <w:rFonts w:asciiTheme="minorHAnsi" w:hAnsiTheme="minorHAnsi"/>
          <w:sz w:val="24"/>
          <w:lang w:val="pl-PL"/>
        </w:rPr>
        <w:t> </w:t>
      </w:r>
      <w:r w:rsidRPr="00ED0C6A">
        <w:rPr>
          <w:rFonts w:asciiTheme="minorHAnsi" w:hAnsiTheme="minorHAnsi"/>
          <w:sz w:val="24"/>
          <w:lang w:val="pl-PL"/>
        </w:rPr>
        <w:t>jak</w:t>
      </w:r>
      <w:r w:rsidR="003F5966">
        <w:rPr>
          <w:rFonts w:asciiTheme="minorHAnsi" w:hAnsiTheme="minorHAnsi"/>
          <w:sz w:val="24"/>
          <w:lang w:val="pl-PL"/>
        </w:rPr>
        <w:t> </w:t>
      </w:r>
      <w:r w:rsidR="00123F4D" w:rsidRPr="00ED0C6A">
        <w:rPr>
          <w:rFonts w:asciiTheme="minorHAnsi" w:hAnsiTheme="minorHAnsi"/>
          <w:sz w:val="24"/>
          <w:lang w:val="pl-PL"/>
        </w:rPr>
        <w:t xml:space="preserve">bezpośrednie zagrożenie dla życia, integralności fizycznej oraz/lub bezpieczeństwa innych osób). Ponadto, ustawodawstwo krajowe w sprawie dostępu do obrońcy w czasie zatrzymania policyjnego nie przewidywało wyraźnie wyjątków od stosowania tego prawa. </w:t>
      </w:r>
    </w:p>
    <w:p w:rsidR="00101E70" w:rsidRPr="00ED0C6A" w:rsidRDefault="00101E70" w:rsidP="008176C7">
      <w:pPr>
        <w:pStyle w:val="ClinContent"/>
        <w:spacing w:before="0"/>
        <w:rPr>
          <w:rFonts w:asciiTheme="minorHAnsi" w:hAnsiTheme="minorHAnsi"/>
          <w:sz w:val="24"/>
          <w:lang w:val="pl-PL"/>
        </w:rPr>
      </w:pPr>
    </w:p>
    <w:p w:rsidR="00101E70"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(d) </w:t>
      </w:r>
      <w:r w:rsidRPr="00ED0C6A">
        <w:rPr>
          <w:rFonts w:asciiTheme="minorHAnsi" w:hAnsiTheme="minorHAnsi"/>
          <w:i/>
          <w:sz w:val="24"/>
          <w:u w:val="single"/>
          <w:lang w:val="pl-PL"/>
        </w:rPr>
        <w:t>Ogólna rzetelność postępowania</w:t>
      </w:r>
      <w:r w:rsidRPr="00ED0C6A">
        <w:rPr>
          <w:rFonts w:asciiTheme="minorHAnsi" w:hAnsiTheme="minorHAnsi"/>
          <w:sz w:val="24"/>
          <w:lang w:val="pl-PL"/>
        </w:rPr>
        <w:t xml:space="preserve"> </w:t>
      </w:r>
    </w:p>
    <w:p w:rsidR="00123F4D"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Brak </w:t>
      </w:r>
      <w:r w:rsidR="00101E70" w:rsidRPr="00ED0C6A">
        <w:rPr>
          <w:rFonts w:asciiTheme="minorHAnsi" w:hAnsiTheme="minorHAnsi"/>
          <w:sz w:val="24"/>
          <w:lang w:val="pl-PL"/>
        </w:rPr>
        <w:t xml:space="preserve">wykazania </w:t>
      </w:r>
      <w:r w:rsidRPr="00ED0C6A">
        <w:rPr>
          <w:rFonts w:asciiTheme="minorHAnsi" w:hAnsiTheme="minorHAnsi"/>
          <w:sz w:val="24"/>
          <w:lang w:val="pl-PL"/>
        </w:rPr>
        <w:t>“</w:t>
      </w:r>
      <w:r w:rsidR="00AB4247" w:rsidRPr="00ED0C6A">
        <w:rPr>
          <w:rFonts w:asciiTheme="minorHAnsi" w:hAnsiTheme="minorHAnsi"/>
          <w:sz w:val="24"/>
          <w:lang w:val="pl-PL"/>
        </w:rPr>
        <w:t>istotnych</w:t>
      </w:r>
      <w:r w:rsidRPr="00ED0C6A">
        <w:rPr>
          <w:rFonts w:asciiTheme="minorHAnsi" w:hAnsiTheme="minorHAnsi"/>
          <w:sz w:val="24"/>
          <w:lang w:val="pl-PL"/>
        </w:rPr>
        <w:t xml:space="preserve"> powodów”</w:t>
      </w:r>
      <w:r w:rsidR="00101E70" w:rsidRPr="00ED0C6A">
        <w:rPr>
          <w:rFonts w:asciiTheme="minorHAnsi" w:hAnsiTheme="minorHAnsi"/>
          <w:sz w:val="24"/>
          <w:lang w:val="pl-PL"/>
        </w:rPr>
        <w:t xml:space="preserve"> ograniczenia dostępu skarżącego do obrońcy</w:t>
      </w:r>
      <w:r w:rsidRPr="00ED0C6A">
        <w:rPr>
          <w:rFonts w:asciiTheme="minorHAnsi" w:hAnsiTheme="minorHAnsi"/>
          <w:sz w:val="24"/>
          <w:lang w:val="pl-PL"/>
        </w:rPr>
        <w:t xml:space="preserve"> w</w:t>
      </w:r>
      <w:r w:rsidR="003F5966">
        <w:rPr>
          <w:rFonts w:asciiTheme="minorHAnsi" w:hAnsiTheme="minorHAnsi"/>
          <w:sz w:val="24"/>
          <w:lang w:val="pl-PL"/>
        </w:rPr>
        <w:t> </w:t>
      </w:r>
      <w:r w:rsidRPr="00ED0C6A">
        <w:rPr>
          <w:rFonts w:asciiTheme="minorHAnsi" w:hAnsiTheme="minorHAnsi"/>
          <w:sz w:val="24"/>
          <w:lang w:val="pl-PL"/>
        </w:rPr>
        <w:t xml:space="preserve">obecnej sprawie zmusił Trybunał do przeprowadzenia bardzo dokładnej oceny rzetelności postępowania. </w:t>
      </w:r>
      <w:r w:rsidR="00101E70" w:rsidRPr="00ED0C6A">
        <w:rPr>
          <w:rFonts w:asciiTheme="minorHAnsi" w:hAnsiTheme="minorHAnsi"/>
          <w:sz w:val="24"/>
          <w:lang w:val="pl-PL"/>
        </w:rPr>
        <w:t>Trybunał przypomniał, że n</w:t>
      </w:r>
      <w:r w:rsidRPr="00ED0C6A">
        <w:rPr>
          <w:rFonts w:asciiTheme="minorHAnsi" w:hAnsiTheme="minorHAnsi"/>
          <w:sz w:val="24"/>
          <w:lang w:val="pl-PL"/>
        </w:rPr>
        <w:t xml:space="preserve">a Rządzie spoczywał obowiązek przekonującego wykazania, że skarżący mimo wszystko korzystał z rzetelnego procesu karnego. </w:t>
      </w:r>
    </w:p>
    <w:p w:rsidR="00101E70" w:rsidRPr="00ED0C6A" w:rsidRDefault="00101E70" w:rsidP="008176C7">
      <w:pPr>
        <w:pStyle w:val="ClinContent"/>
        <w:spacing w:before="0"/>
        <w:rPr>
          <w:rFonts w:asciiTheme="minorHAnsi" w:hAnsiTheme="minorHAnsi"/>
          <w:sz w:val="24"/>
          <w:lang w:val="pl-PL"/>
        </w:rPr>
      </w:pPr>
    </w:p>
    <w:p w:rsidR="00101E70"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zauważył, że: </w:t>
      </w:r>
    </w:p>
    <w:p w:rsidR="00101E70" w:rsidRPr="00ED0C6A" w:rsidRDefault="00123F4D" w:rsidP="00101E70">
      <w:pPr>
        <w:pStyle w:val="ClinContent"/>
        <w:numPr>
          <w:ilvl w:val="0"/>
          <w:numId w:val="12"/>
        </w:numPr>
        <w:spacing w:before="0"/>
        <w:rPr>
          <w:rFonts w:asciiTheme="minorHAnsi" w:hAnsiTheme="minorHAnsi"/>
          <w:sz w:val="24"/>
          <w:lang w:val="pl-PL"/>
        </w:rPr>
      </w:pPr>
      <w:r w:rsidRPr="00ED0C6A">
        <w:rPr>
          <w:rFonts w:asciiTheme="minorHAnsi" w:hAnsiTheme="minorHAnsi"/>
          <w:sz w:val="24"/>
          <w:lang w:val="pl-PL"/>
        </w:rPr>
        <w:t>skarżący aktywnie uczestniczył we wszystkich etapach postępowania karnego; wycofał swe początkowe zeznania, przedstawiając odmienną wersję wydarzeń, a jego obrońcy za</w:t>
      </w:r>
      <w:r w:rsidR="007A5CA2" w:rsidRPr="00ED0C6A">
        <w:rPr>
          <w:rFonts w:asciiTheme="minorHAnsi" w:hAnsiTheme="minorHAnsi"/>
          <w:sz w:val="24"/>
          <w:lang w:val="pl-PL"/>
        </w:rPr>
        <w:t>gwarantowali możliwość gromadzenia</w:t>
      </w:r>
      <w:r w:rsidRPr="00ED0C6A">
        <w:rPr>
          <w:rFonts w:asciiTheme="minorHAnsi" w:hAnsiTheme="minorHAnsi"/>
          <w:sz w:val="24"/>
          <w:lang w:val="pl-PL"/>
        </w:rPr>
        <w:t xml:space="preserve"> dowodów uniewinniających i kwestionowali dowody przeciwko niemu; </w:t>
      </w:r>
    </w:p>
    <w:p w:rsidR="00101E70" w:rsidRPr="00ED0C6A" w:rsidRDefault="00123F4D" w:rsidP="00101E70">
      <w:pPr>
        <w:pStyle w:val="ClinContent"/>
        <w:numPr>
          <w:ilvl w:val="0"/>
          <w:numId w:val="12"/>
        </w:numPr>
        <w:spacing w:before="0"/>
        <w:rPr>
          <w:rFonts w:asciiTheme="minorHAnsi" w:hAnsiTheme="minorHAnsi"/>
          <w:sz w:val="24"/>
          <w:lang w:val="pl-PL"/>
        </w:rPr>
      </w:pPr>
      <w:r w:rsidRPr="00ED0C6A">
        <w:rPr>
          <w:rFonts w:asciiTheme="minorHAnsi" w:hAnsiTheme="minorHAnsi"/>
          <w:sz w:val="24"/>
          <w:lang w:val="pl-PL"/>
        </w:rPr>
        <w:t xml:space="preserve">skazanie skarżącego nie opierało się wyłącznie na jego przyznaniu, ale na całym zgromadzonym spójnym materiale dowodowym; </w:t>
      </w:r>
    </w:p>
    <w:p w:rsidR="00123F4D" w:rsidRPr="00ED0C6A" w:rsidRDefault="00123F4D" w:rsidP="00101E70">
      <w:pPr>
        <w:pStyle w:val="ClinContent"/>
        <w:numPr>
          <w:ilvl w:val="0"/>
          <w:numId w:val="12"/>
        </w:numPr>
        <w:spacing w:before="0"/>
        <w:rPr>
          <w:rFonts w:asciiTheme="minorHAnsi" w:hAnsiTheme="minorHAnsi"/>
          <w:sz w:val="24"/>
          <w:lang w:val="pl-PL"/>
        </w:rPr>
      </w:pPr>
      <w:r w:rsidRPr="00ED0C6A">
        <w:rPr>
          <w:rFonts w:asciiTheme="minorHAnsi" w:hAnsiTheme="minorHAnsi"/>
          <w:sz w:val="24"/>
          <w:lang w:val="pl-PL"/>
        </w:rPr>
        <w:t xml:space="preserve">sądy w sposób należyty wzięły pod uwagę zgromadzone dowody, ustaliły, że prawa procesowe skarżącego były przestrzegane i podały odpowiednie uzasadnienie </w:t>
      </w:r>
      <w:r w:rsidR="007A5CA2" w:rsidRPr="00ED0C6A">
        <w:rPr>
          <w:rFonts w:asciiTheme="minorHAnsi" w:hAnsiTheme="minorHAnsi"/>
          <w:sz w:val="24"/>
          <w:lang w:val="pl-PL"/>
        </w:rPr>
        <w:t>swo</w:t>
      </w:r>
      <w:r w:rsidRPr="00ED0C6A">
        <w:rPr>
          <w:rFonts w:asciiTheme="minorHAnsi" w:hAnsiTheme="minorHAnsi"/>
          <w:sz w:val="24"/>
          <w:lang w:val="pl-PL"/>
        </w:rPr>
        <w:t xml:space="preserve">ich rozstrzygnięć zarówno pod względem faktycznym, jak i prawnym. </w:t>
      </w:r>
    </w:p>
    <w:p w:rsidR="00101E70" w:rsidRPr="00ED0C6A" w:rsidRDefault="00101E70" w:rsidP="008176C7">
      <w:pPr>
        <w:pStyle w:val="ClinContent"/>
        <w:spacing w:before="0"/>
        <w:rPr>
          <w:rFonts w:asciiTheme="minorHAnsi" w:hAnsiTheme="minorHAnsi"/>
          <w:sz w:val="24"/>
          <w:lang w:val="pl-PL"/>
        </w:rPr>
      </w:pPr>
    </w:p>
    <w:p w:rsidR="00101E70" w:rsidRPr="00ED0C6A" w:rsidRDefault="00101E70" w:rsidP="008176C7">
      <w:pPr>
        <w:pStyle w:val="ClinContent"/>
        <w:spacing w:before="0"/>
        <w:rPr>
          <w:rFonts w:asciiTheme="minorHAnsi" w:hAnsiTheme="minorHAnsi"/>
          <w:sz w:val="24"/>
          <w:lang w:val="pl-PL"/>
        </w:rPr>
      </w:pPr>
      <w:r w:rsidRPr="00ED0C6A">
        <w:rPr>
          <w:rFonts w:asciiTheme="minorHAnsi" w:hAnsiTheme="minorHAnsi"/>
          <w:sz w:val="24"/>
          <w:lang w:val="pl-PL"/>
        </w:rPr>
        <w:t>Zdaniem Trybunału n</w:t>
      </w:r>
      <w:r w:rsidR="00123F4D" w:rsidRPr="00ED0C6A">
        <w:rPr>
          <w:rFonts w:asciiTheme="minorHAnsi" w:hAnsiTheme="minorHAnsi"/>
          <w:sz w:val="24"/>
          <w:lang w:val="pl-PL"/>
        </w:rPr>
        <w:t>ic nie sugeruje, by skarżący został formalnie lub nieformalnie przesłuchany w czasie zatrzymania policyjnego. Żadne dowody przeciwko skarżącemu nie</w:t>
      </w:r>
      <w:r w:rsidR="003F5966">
        <w:rPr>
          <w:rFonts w:asciiTheme="minorHAnsi" w:hAnsiTheme="minorHAnsi"/>
          <w:sz w:val="24"/>
          <w:lang w:val="pl-PL"/>
        </w:rPr>
        <w:t> </w:t>
      </w:r>
      <w:r w:rsidR="00123F4D" w:rsidRPr="00ED0C6A">
        <w:rPr>
          <w:rFonts w:asciiTheme="minorHAnsi" w:hAnsiTheme="minorHAnsi"/>
          <w:sz w:val="24"/>
          <w:lang w:val="pl-PL"/>
        </w:rPr>
        <w:t>zostały uzyskane ani dołączone do akt w czasie jego zatrzymania. Z żadnego dokumentu w sprawie nie wynika, by podczas około trzech dni zatrzymania skarżący uczestniczył w</w:t>
      </w:r>
      <w:r w:rsidR="003F5966">
        <w:rPr>
          <w:rFonts w:asciiTheme="minorHAnsi" w:hAnsiTheme="minorHAnsi"/>
          <w:sz w:val="24"/>
          <w:lang w:val="pl-PL"/>
        </w:rPr>
        <w:t> </w:t>
      </w:r>
      <w:r w:rsidR="00123F4D" w:rsidRPr="00ED0C6A">
        <w:rPr>
          <w:rFonts w:asciiTheme="minorHAnsi" w:hAnsiTheme="minorHAnsi"/>
          <w:sz w:val="24"/>
          <w:lang w:val="pl-PL"/>
        </w:rPr>
        <w:t>jakichkolwiek innych środkach dochodzeniowych (takich jak okazywanie w celu identyfikacji czy pobranie próbek DNA). Ponadto, w świetle prawa krajowego było</w:t>
      </w:r>
      <w:r w:rsidR="00FE0F58" w:rsidRPr="00ED0C6A">
        <w:rPr>
          <w:rFonts w:asciiTheme="minorHAnsi" w:hAnsiTheme="minorHAnsi"/>
          <w:sz w:val="24"/>
          <w:lang w:val="pl-PL"/>
        </w:rPr>
        <w:t>by</w:t>
      </w:r>
      <w:r w:rsidR="00123F4D" w:rsidRPr="00ED0C6A">
        <w:rPr>
          <w:rFonts w:asciiTheme="minorHAnsi" w:hAnsiTheme="minorHAnsi"/>
          <w:sz w:val="24"/>
          <w:lang w:val="pl-PL"/>
        </w:rPr>
        <w:t xml:space="preserve"> niemożliwe wykorzystywanie </w:t>
      </w:r>
      <w:r w:rsidR="00FE0F58" w:rsidRPr="00ED0C6A">
        <w:rPr>
          <w:rFonts w:asciiTheme="minorHAnsi" w:hAnsiTheme="minorHAnsi"/>
          <w:sz w:val="24"/>
          <w:lang w:val="pl-PL"/>
        </w:rPr>
        <w:t xml:space="preserve">przeciwko niemu </w:t>
      </w:r>
      <w:r w:rsidR="00123F4D" w:rsidRPr="00ED0C6A">
        <w:rPr>
          <w:rFonts w:asciiTheme="minorHAnsi" w:hAnsiTheme="minorHAnsi"/>
          <w:sz w:val="24"/>
          <w:lang w:val="pl-PL"/>
        </w:rPr>
        <w:t xml:space="preserve">dowodów uzyskanych pod nieobecność obrońcy. Ponadto, skarżący zmienił swą wersję wydarzeń; nawet </w:t>
      </w:r>
      <w:r w:rsidR="00FE0F58" w:rsidRPr="00ED0C6A">
        <w:rPr>
          <w:rFonts w:asciiTheme="minorHAnsi" w:hAnsiTheme="minorHAnsi"/>
          <w:sz w:val="24"/>
          <w:lang w:val="pl-PL"/>
        </w:rPr>
        <w:t>stanowiska, które przedstawiał</w:t>
      </w:r>
      <w:r w:rsidR="00123F4D" w:rsidRPr="00ED0C6A">
        <w:rPr>
          <w:rFonts w:asciiTheme="minorHAnsi" w:hAnsiTheme="minorHAnsi"/>
          <w:sz w:val="24"/>
          <w:lang w:val="pl-PL"/>
        </w:rPr>
        <w:t xml:space="preserve"> przed Trybunałem</w:t>
      </w:r>
      <w:r w:rsidR="00FE0F58" w:rsidRPr="00ED0C6A">
        <w:rPr>
          <w:rFonts w:asciiTheme="minorHAnsi" w:hAnsiTheme="minorHAnsi"/>
          <w:sz w:val="24"/>
          <w:lang w:val="pl-PL"/>
        </w:rPr>
        <w:t>,</w:t>
      </w:r>
      <w:r w:rsidR="00123F4D" w:rsidRPr="00ED0C6A">
        <w:rPr>
          <w:rFonts w:asciiTheme="minorHAnsi" w:hAnsiTheme="minorHAnsi"/>
          <w:sz w:val="24"/>
          <w:lang w:val="pl-PL"/>
        </w:rPr>
        <w:t xml:space="preserve"> były bardzo ogólnikowe w tym względzie i nie przedstawił on żadnych szczegółów aż do momentu złożenia stanowiska przed Wielką Izbą</w:t>
      </w:r>
      <w:r w:rsidRPr="00ED0C6A">
        <w:rPr>
          <w:rFonts w:asciiTheme="minorHAnsi" w:hAnsiTheme="minorHAnsi"/>
          <w:sz w:val="24"/>
          <w:lang w:val="pl-PL"/>
        </w:rPr>
        <w:t xml:space="preserve"> Trybunału</w:t>
      </w:r>
      <w:r w:rsidR="00123F4D" w:rsidRPr="00ED0C6A">
        <w:rPr>
          <w:rFonts w:asciiTheme="minorHAnsi" w:hAnsiTheme="minorHAnsi"/>
          <w:sz w:val="24"/>
          <w:lang w:val="pl-PL"/>
        </w:rPr>
        <w:t>.</w:t>
      </w:r>
    </w:p>
    <w:p w:rsidR="00123F4D"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101E70" w:rsidRPr="00ED0C6A" w:rsidRDefault="00101E70" w:rsidP="008176C7">
      <w:pPr>
        <w:pStyle w:val="ClinContent"/>
        <w:spacing w:before="0"/>
        <w:rPr>
          <w:rFonts w:asciiTheme="minorHAnsi" w:hAnsiTheme="minorHAnsi"/>
          <w:sz w:val="24"/>
          <w:lang w:val="pl-PL"/>
        </w:rPr>
      </w:pPr>
      <w:r w:rsidRPr="00ED0C6A">
        <w:rPr>
          <w:rFonts w:asciiTheme="minorHAnsi" w:hAnsiTheme="minorHAnsi"/>
          <w:sz w:val="24"/>
          <w:lang w:val="pl-PL"/>
        </w:rPr>
        <w:t>Trybunał uznał, że z następujących faktów można wywieść d</w:t>
      </w:r>
      <w:r w:rsidR="00123F4D" w:rsidRPr="00ED0C6A">
        <w:rPr>
          <w:rFonts w:asciiTheme="minorHAnsi" w:hAnsiTheme="minorHAnsi"/>
          <w:sz w:val="24"/>
          <w:lang w:val="pl-PL"/>
        </w:rPr>
        <w:t xml:space="preserve">obrowolny charakter przyznania się skarżącego: </w:t>
      </w:r>
    </w:p>
    <w:p w:rsidR="00101E70" w:rsidRPr="00ED0C6A" w:rsidRDefault="00123F4D" w:rsidP="00855D7D">
      <w:pPr>
        <w:pStyle w:val="ClinContent"/>
        <w:numPr>
          <w:ilvl w:val="0"/>
          <w:numId w:val="13"/>
        </w:numPr>
        <w:spacing w:before="0"/>
        <w:rPr>
          <w:rFonts w:asciiTheme="minorHAnsi" w:hAnsiTheme="minorHAnsi"/>
          <w:sz w:val="24"/>
          <w:lang w:val="pl-PL"/>
        </w:rPr>
      </w:pPr>
      <w:r w:rsidRPr="00ED0C6A">
        <w:rPr>
          <w:rFonts w:asciiTheme="minorHAnsi" w:hAnsiTheme="minorHAnsi"/>
          <w:sz w:val="24"/>
          <w:lang w:val="pl-PL"/>
        </w:rPr>
        <w:t xml:space="preserve">zachował milczenie w trakcie dwóch wcześniejszych przesłuchań; </w:t>
      </w:r>
    </w:p>
    <w:p w:rsidR="00101E70" w:rsidRPr="00ED0C6A" w:rsidRDefault="00123F4D" w:rsidP="00855D7D">
      <w:pPr>
        <w:pStyle w:val="ClinContent"/>
        <w:numPr>
          <w:ilvl w:val="0"/>
          <w:numId w:val="13"/>
        </w:numPr>
        <w:spacing w:before="0"/>
        <w:rPr>
          <w:rFonts w:asciiTheme="minorHAnsi" w:hAnsiTheme="minorHAnsi"/>
          <w:sz w:val="24"/>
          <w:lang w:val="pl-PL"/>
        </w:rPr>
      </w:pPr>
      <w:r w:rsidRPr="00ED0C6A">
        <w:rPr>
          <w:rFonts w:asciiTheme="minorHAnsi" w:hAnsiTheme="minorHAnsi"/>
          <w:sz w:val="24"/>
          <w:lang w:val="pl-PL"/>
        </w:rPr>
        <w:t>w czasie przesłuchania i przyznania korzystał z pomocy prawnej i był poinformowany o</w:t>
      </w:r>
      <w:r w:rsidR="003F5966">
        <w:rPr>
          <w:rFonts w:asciiTheme="minorHAnsi" w:hAnsiTheme="minorHAnsi"/>
          <w:sz w:val="24"/>
          <w:lang w:val="pl-PL"/>
        </w:rPr>
        <w:t> </w:t>
      </w:r>
      <w:r w:rsidRPr="00ED0C6A">
        <w:rPr>
          <w:rFonts w:asciiTheme="minorHAnsi" w:hAnsiTheme="minorHAnsi"/>
          <w:sz w:val="24"/>
          <w:lang w:val="pl-PL"/>
        </w:rPr>
        <w:t xml:space="preserve">swych prawach procesowych, a w szczególności o prawie do nieskładania obciążających zeznań; </w:t>
      </w:r>
    </w:p>
    <w:p w:rsidR="00123F4D" w:rsidRPr="00ED0C6A" w:rsidRDefault="00123F4D" w:rsidP="00855D7D">
      <w:pPr>
        <w:pStyle w:val="ClinContent"/>
        <w:numPr>
          <w:ilvl w:val="0"/>
          <w:numId w:val="13"/>
        </w:numPr>
        <w:spacing w:before="0"/>
        <w:rPr>
          <w:rFonts w:asciiTheme="minorHAnsi" w:hAnsiTheme="minorHAnsi"/>
          <w:sz w:val="24"/>
          <w:lang w:val="pl-PL"/>
        </w:rPr>
      </w:pPr>
      <w:r w:rsidRPr="00ED0C6A">
        <w:rPr>
          <w:rFonts w:asciiTheme="minorHAnsi" w:hAnsiTheme="minorHAnsi"/>
          <w:sz w:val="24"/>
          <w:lang w:val="pl-PL"/>
        </w:rPr>
        <w:t>jego odmowa złożenia zezna</w:t>
      </w:r>
      <w:r w:rsidR="00732A5C" w:rsidRPr="00ED0C6A">
        <w:rPr>
          <w:rFonts w:asciiTheme="minorHAnsi" w:hAnsiTheme="minorHAnsi"/>
          <w:sz w:val="24"/>
          <w:lang w:val="pl-PL"/>
        </w:rPr>
        <w:t>ń</w:t>
      </w:r>
      <w:r w:rsidRPr="00ED0C6A">
        <w:rPr>
          <w:rFonts w:asciiTheme="minorHAnsi" w:hAnsiTheme="minorHAnsi"/>
          <w:sz w:val="24"/>
          <w:lang w:val="pl-PL"/>
        </w:rPr>
        <w:t xml:space="preserve"> nie miałaby żadnego wpływu na kolejne etapy postępowania karnego. </w:t>
      </w:r>
    </w:p>
    <w:p w:rsidR="00101E70" w:rsidRPr="00ED0C6A" w:rsidRDefault="00101E70" w:rsidP="008176C7">
      <w:pPr>
        <w:pStyle w:val="ClinContent"/>
        <w:spacing w:before="0"/>
        <w:rPr>
          <w:rFonts w:asciiTheme="minorHAnsi" w:hAnsiTheme="minorHAnsi"/>
          <w:sz w:val="24"/>
          <w:lang w:val="pl-PL"/>
        </w:rPr>
      </w:pPr>
    </w:p>
    <w:p w:rsidR="00123F4D" w:rsidRPr="00ED0C6A" w:rsidRDefault="00123F4D" w:rsidP="008176C7">
      <w:pPr>
        <w:pStyle w:val="ClinContent"/>
        <w:spacing w:before="0"/>
        <w:rPr>
          <w:rFonts w:asciiTheme="minorHAnsi" w:hAnsiTheme="minorHAnsi"/>
          <w:sz w:val="24"/>
          <w:lang w:val="pl-PL"/>
        </w:rPr>
      </w:pPr>
      <w:r w:rsidRPr="00ED0C6A">
        <w:rPr>
          <w:rFonts w:asciiTheme="minorHAnsi" w:hAnsiTheme="minorHAnsi"/>
          <w:sz w:val="24"/>
          <w:lang w:val="pl-PL"/>
        </w:rPr>
        <w:t>Ani przed sądami krajowymi, ani przed Trybunałem nie został wskazany kiedykolwiek związek przyczynowy między brakiem pomocy prawnej w czasie policyjnego zatrzymania skarżącego a jego przyznaniem się dwa tygodnie później w obecności ustanowionego przez</w:t>
      </w:r>
      <w:r w:rsidR="003F5966">
        <w:rPr>
          <w:rFonts w:asciiTheme="minorHAnsi" w:hAnsiTheme="minorHAnsi"/>
          <w:sz w:val="24"/>
          <w:lang w:val="pl-PL"/>
        </w:rPr>
        <w:t> </w:t>
      </w:r>
      <w:r w:rsidR="00FE0F58" w:rsidRPr="00ED0C6A">
        <w:rPr>
          <w:rFonts w:asciiTheme="minorHAnsi" w:hAnsiTheme="minorHAnsi"/>
          <w:sz w:val="24"/>
          <w:lang w:val="pl-PL"/>
        </w:rPr>
        <w:t>siebie</w:t>
      </w:r>
      <w:r w:rsidRPr="00ED0C6A">
        <w:rPr>
          <w:rFonts w:asciiTheme="minorHAnsi" w:hAnsiTheme="minorHAnsi"/>
          <w:sz w:val="24"/>
          <w:lang w:val="pl-PL"/>
        </w:rPr>
        <w:t xml:space="preserve"> obrońcy. W konsekwencji</w:t>
      </w:r>
      <w:r w:rsidR="00855D7D" w:rsidRPr="00ED0C6A">
        <w:rPr>
          <w:rFonts w:asciiTheme="minorHAnsi" w:hAnsiTheme="minorHAnsi"/>
          <w:sz w:val="24"/>
          <w:lang w:val="pl-PL"/>
        </w:rPr>
        <w:t xml:space="preserve"> Trybunał uznał, że</w:t>
      </w:r>
      <w:r w:rsidRPr="00ED0C6A">
        <w:rPr>
          <w:rFonts w:asciiTheme="minorHAnsi" w:hAnsiTheme="minorHAnsi"/>
          <w:sz w:val="24"/>
          <w:lang w:val="pl-PL"/>
        </w:rPr>
        <w:t xml:space="preserve"> nieobecność obrońcy w czasie </w:t>
      </w:r>
      <w:r w:rsidR="00FE0F58" w:rsidRPr="00ED0C6A">
        <w:rPr>
          <w:rFonts w:asciiTheme="minorHAnsi" w:hAnsiTheme="minorHAnsi"/>
          <w:sz w:val="24"/>
          <w:lang w:val="pl-PL"/>
        </w:rPr>
        <w:t>tego</w:t>
      </w:r>
      <w:r w:rsidR="003F5966">
        <w:rPr>
          <w:rFonts w:asciiTheme="minorHAnsi" w:hAnsiTheme="minorHAnsi"/>
          <w:sz w:val="24"/>
          <w:lang w:val="pl-PL"/>
        </w:rPr>
        <w:t> </w:t>
      </w:r>
      <w:r w:rsidRPr="00ED0C6A">
        <w:rPr>
          <w:rFonts w:asciiTheme="minorHAnsi" w:hAnsiTheme="minorHAnsi"/>
          <w:sz w:val="24"/>
          <w:lang w:val="pl-PL"/>
        </w:rPr>
        <w:t xml:space="preserve">zatrzymania w żaden sposób nie naruszyła prawa </w:t>
      </w:r>
      <w:r w:rsidR="00FE0F58" w:rsidRPr="00ED0C6A">
        <w:rPr>
          <w:rFonts w:asciiTheme="minorHAnsi" w:hAnsiTheme="minorHAnsi"/>
          <w:sz w:val="24"/>
          <w:lang w:val="pl-PL"/>
        </w:rPr>
        <w:t xml:space="preserve">skarżącego </w:t>
      </w:r>
      <w:r w:rsidRPr="00ED0C6A">
        <w:rPr>
          <w:rFonts w:asciiTheme="minorHAnsi" w:hAnsiTheme="minorHAnsi"/>
          <w:sz w:val="24"/>
          <w:lang w:val="pl-PL"/>
        </w:rPr>
        <w:t>do nieskładania obciążających s</w:t>
      </w:r>
      <w:r w:rsidR="00FE0F58" w:rsidRPr="00ED0C6A">
        <w:rPr>
          <w:rFonts w:asciiTheme="minorHAnsi" w:hAnsiTheme="minorHAnsi"/>
          <w:sz w:val="24"/>
          <w:lang w:val="pl-PL"/>
        </w:rPr>
        <w:t>iebie zeznań. A zatem</w:t>
      </w:r>
      <w:r w:rsidRPr="00ED0C6A">
        <w:rPr>
          <w:rFonts w:asciiTheme="minorHAnsi" w:hAnsiTheme="minorHAnsi"/>
          <w:sz w:val="24"/>
          <w:lang w:val="pl-PL"/>
        </w:rPr>
        <w:t xml:space="preserve"> nie skutkowała nieodwracalnym naruszeniem rzetelności postępowania karnego ocenianego jako całość.  </w:t>
      </w:r>
    </w:p>
    <w:p w:rsidR="00855D7D" w:rsidRPr="00ED0C6A" w:rsidRDefault="00855D7D" w:rsidP="008176C7">
      <w:pPr>
        <w:pStyle w:val="ClinContent"/>
        <w:spacing w:before="0"/>
        <w:rPr>
          <w:rFonts w:asciiTheme="minorHAnsi" w:hAnsiTheme="minorHAnsi"/>
          <w:sz w:val="24"/>
          <w:lang w:val="pl-PL"/>
        </w:rPr>
      </w:pPr>
    </w:p>
    <w:p w:rsidR="00123F4D" w:rsidRPr="00ED0C6A" w:rsidRDefault="00FE6A48" w:rsidP="008176C7">
      <w:pPr>
        <w:pStyle w:val="ClinContent"/>
        <w:spacing w:before="0"/>
        <w:rPr>
          <w:rFonts w:asciiTheme="minorHAnsi" w:hAnsiTheme="minorHAnsi"/>
          <w:sz w:val="24"/>
          <w:lang w:val="pl-PL"/>
        </w:rPr>
      </w:pPr>
      <w:r w:rsidRPr="00ED0C6A">
        <w:rPr>
          <w:rFonts w:asciiTheme="minorHAnsi" w:hAnsiTheme="minorHAnsi"/>
          <w:sz w:val="24"/>
          <w:lang w:val="pl-PL"/>
        </w:rPr>
        <w:t>W tej sytuacji Trybunał</w:t>
      </w:r>
      <w:r w:rsidRPr="00ED0C6A">
        <w:rPr>
          <w:rFonts w:asciiTheme="minorHAnsi" w:hAnsiTheme="minorHAnsi"/>
          <w:i/>
          <w:sz w:val="24"/>
          <w:lang w:val="pl-PL"/>
        </w:rPr>
        <w:t xml:space="preserve"> </w:t>
      </w:r>
      <w:r w:rsidR="00123F4D" w:rsidRPr="00ED0C6A">
        <w:rPr>
          <w:rFonts w:asciiTheme="minorHAnsi" w:hAnsiTheme="minorHAnsi"/>
          <w:sz w:val="24"/>
          <w:lang w:val="pl-PL"/>
        </w:rPr>
        <w:t>dwunastoma głosami do pięciu</w:t>
      </w:r>
      <w:r w:rsidRPr="00ED0C6A">
        <w:rPr>
          <w:rFonts w:asciiTheme="minorHAnsi" w:hAnsiTheme="minorHAnsi"/>
          <w:sz w:val="24"/>
          <w:lang w:val="pl-PL"/>
        </w:rPr>
        <w:t xml:space="preserve"> orzekł, że nie doszło do naruszenia art. 6 ust. 1 i ust. 3 lit. c Konwencji (prawa do rzetelnego procesu sądowego i prawa do</w:t>
      </w:r>
      <w:r w:rsidR="003F5966">
        <w:rPr>
          <w:rFonts w:asciiTheme="minorHAnsi" w:hAnsiTheme="minorHAnsi"/>
          <w:sz w:val="24"/>
          <w:lang w:val="pl-PL"/>
        </w:rPr>
        <w:t> </w:t>
      </w:r>
      <w:r w:rsidRPr="00ED0C6A">
        <w:rPr>
          <w:rFonts w:asciiTheme="minorHAnsi" w:hAnsiTheme="minorHAnsi"/>
          <w:sz w:val="24"/>
          <w:lang w:val="pl-PL"/>
        </w:rPr>
        <w:t>bronienia się przez ustanowionego przez siebie obrońcę)</w:t>
      </w:r>
      <w:r w:rsidR="00123F4D" w:rsidRPr="00ED0C6A">
        <w:rPr>
          <w:rFonts w:asciiTheme="minorHAnsi" w:hAnsiTheme="minorHAnsi"/>
          <w:sz w:val="24"/>
          <w:lang w:val="pl-PL"/>
        </w:rPr>
        <w:t>.</w:t>
      </w:r>
    </w:p>
    <w:p w:rsidR="00A463D9" w:rsidRPr="00ED0C6A" w:rsidRDefault="00CF5CB9" w:rsidP="00CF5CB9">
      <w:pPr>
        <w:pStyle w:val="ClinContent"/>
        <w:rPr>
          <w:rFonts w:cs="Verdana"/>
          <w:bCs/>
          <w:sz w:val="24"/>
          <w:lang w:val="pl-PL"/>
        </w:rPr>
      </w:pPr>
      <w:r w:rsidRPr="00ED0C6A">
        <w:rPr>
          <w:rFonts w:asciiTheme="minorHAnsi" w:hAnsiTheme="minorHAnsi" w:cs="Verdana"/>
          <w:bCs/>
          <w:sz w:val="24"/>
          <w:u w:val="single"/>
          <w:lang w:val="pl-PL"/>
        </w:rPr>
        <w:t>Znaczenie wyroku dla Polski</w:t>
      </w:r>
      <w:r w:rsidRPr="00ED0C6A">
        <w:rPr>
          <w:rFonts w:asciiTheme="minorHAnsi" w:hAnsiTheme="minorHAnsi" w:cs="Verdana"/>
          <w:bCs/>
          <w:sz w:val="24"/>
          <w:lang w:val="pl-PL"/>
        </w:rPr>
        <w:t xml:space="preserve"> – </w:t>
      </w:r>
      <w:r w:rsidR="00A463D9" w:rsidRPr="00ED0C6A">
        <w:rPr>
          <w:rFonts w:asciiTheme="minorHAnsi" w:hAnsiTheme="minorHAnsi" w:cs="Verdana"/>
          <w:bCs/>
          <w:sz w:val="24"/>
          <w:lang w:val="pl-PL"/>
        </w:rPr>
        <w:t xml:space="preserve">Wyrok </w:t>
      </w:r>
      <w:r w:rsidR="006D12E6" w:rsidRPr="00ED0C6A">
        <w:rPr>
          <w:rFonts w:asciiTheme="minorHAnsi" w:hAnsiTheme="minorHAnsi" w:cs="Verdana"/>
          <w:bCs/>
          <w:sz w:val="24"/>
          <w:lang w:val="pl-PL"/>
        </w:rPr>
        <w:t xml:space="preserve">przypomina i </w:t>
      </w:r>
      <w:r w:rsidR="00A463D9" w:rsidRPr="00ED0C6A">
        <w:rPr>
          <w:rFonts w:asciiTheme="minorHAnsi" w:hAnsiTheme="minorHAnsi" w:cs="Verdana"/>
          <w:bCs/>
          <w:sz w:val="24"/>
          <w:lang w:val="pl-PL"/>
        </w:rPr>
        <w:t xml:space="preserve">rozwija wcześniejsze orzecznictwo Trybunału (zwłaszcza w sprawie </w:t>
      </w:r>
      <w:proofErr w:type="spellStart"/>
      <w:r w:rsidR="00A463D9" w:rsidRPr="00ED0C6A">
        <w:rPr>
          <w:rFonts w:asciiTheme="minorHAnsi" w:hAnsiTheme="minorHAnsi" w:cs="Verdana"/>
          <w:bCs/>
          <w:i/>
          <w:sz w:val="24"/>
          <w:lang w:val="pl-PL"/>
        </w:rPr>
        <w:t>Salduz</w:t>
      </w:r>
      <w:proofErr w:type="spellEnd"/>
      <w:r w:rsidR="000001C4" w:rsidRPr="00ED0C6A">
        <w:rPr>
          <w:rFonts w:asciiTheme="minorHAnsi" w:hAnsiTheme="minorHAnsi" w:cs="Verdana"/>
          <w:bCs/>
          <w:i/>
          <w:sz w:val="24"/>
          <w:lang w:val="pl-PL"/>
        </w:rPr>
        <w:t xml:space="preserve"> p. Turcji</w:t>
      </w:r>
      <w:r w:rsidR="00A463D9" w:rsidRPr="00ED0C6A">
        <w:rPr>
          <w:rStyle w:val="Odwoanieprzypisudolnego"/>
          <w:rFonts w:asciiTheme="minorHAnsi" w:hAnsiTheme="minorHAnsi" w:cs="Verdana"/>
          <w:bCs/>
          <w:i/>
          <w:sz w:val="24"/>
          <w:lang w:val="pl-PL"/>
        </w:rPr>
        <w:footnoteReference w:id="31"/>
      </w:r>
      <w:r w:rsidR="00A463D9" w:rsidRPr="00ED0C6A">
        <w:rPr>
          <w:rFonts w:asciiTheme="minorHAnsi" w:hAnsiTheme="minorHAnsi" w:cs="Verdana"/>
          <w:bCs/>
          <w:i/>
          <w:sz w:val="24"/>
          <w:lang w:val="pl-PL"/>
        </w:rPr>
        <w:t xml:space="preserve">) </w:t>
      </w:r>
      <w:r w:rsidR="00A463D9" w:rsidRPr="00ED0C6A">
        <w:rPr>
          <w:rFonts w:asciiTheme="minorHAnsi" w:hAnsiTheme="minorHAnsi" w:cs="Verdana"/>
          <w:bCs/>
          <w:sz w:val="24"/>
          <w:lang w:val="pl-PL"/>
        </w:rPr>
        <w:t>dotyczące problematyki braku dostępu do</w:t>
      </w:r>
      <w:r w:rsidR="003F5966">
        <w:rPr>
          <w:rFonts w:asciiTheme="minorHAnsi" w:hAnsiTheme="minorHAnsi" w:cs="Verdana"/>
          <w:bCs/>
          <w:sz w:val="24"/>
          <w:lang w:val="pl-PL"/>
        </w:rPr>
        <w:t> </w:t>
      </w:r>
      <w:r w:rsidR="00A463D9" w:rsidRPr="00ED0C6A">
        <w:rPr>
          <w:rFonts w:asciiTheme="minorHAnsi" w:hAnsiTheme="minorHAnsi" w:cs="Verdana"/>
          <w:bCs/>
          <w:sz w:val="24"/>
          <w:lang w:val="pl-PL"/>
        </w:rPr>
        <w:t>obrońcy na wczesnym etapie postępowania karnego prowadzonego przez policję</w:t>
      </w:r>
      <w:r w:rsidRPr="00ED0C6A">
        <w:rPr>
          <w:rFonts w:asciiTheme="minorHAnsi" w:hAnsiTheme="minorHAnsi" w:cs="Verdana"/>
          <w:bCs/>
          <w:sz w:val="24"/>
          <w:lang w:val="pl-PL"/>
        </w:rPr>
        <w:t>.</w:t>
      </w:r>
      <w:r w:rsidR="009702A1" w:rsidRPr="00ED0C6A">
        <w:rPr>
          <w:rFonts w:asciiTheme="minorHAnsi" w:hAnsiTheme="minorHAnsi" w:cs="Verdana"/>
          <w:bCs/>
          <w:sz w:val="24"/>
          <w:lang w:val="pl-PL"/>
        </w:rPr>
        <w:t xml:space="preserve"> Trybunał ponownie przypomina swoje szczegółowe kryteria, według których ocenia takie</w:t>
      </w:r>
      <w:r w:rsidR="003F5966">
        <w:rPr>
          <w:rFonts w:asciiTheme="minorHAnsi" w:hAnsiTheme="minorHAnsi" w:cs="Verdana"/>
          <w:bCs/>
          <w:sz w:val="24"/>
          <w:lang w:val="pl-PL"/>
        </w:rPr>
        <w:t> </w:t>
      </w:r>
      <w:r w:rsidR="009702A1" w:rsidRPr="00ED0C6A">
        <w:rPr>
          <w:rFonts w:asciiTheme="minorHAnsi" w:hAnsiTheme="minorHAnsi" w:cs="Verdana"/>
          <w:bCs/>
          <w:sz w:val="24"/>
          <w:lang w:val="pl-PL"/>
        </w:rPr>
        <w:t>przypadki</w:t>
      </w:r>
      <w:r w:rsidR="00A90DA3" w:rsidRPr="00ED0C6A">
        <w:rPr>
          <w:rFonts w:asciiTheme="minorHAnsi" w:hAnsiTheme="minorHAnsi" w:cs="Verdana"/>
          <w:bCs/>
          <w:sz w:val="24"/>
          <w:lang w:val="pl-PL"/>
        </w:rPr>
        <w:t xml:space="preserve"> </w:t>
      </w:r>
      <w:r w:rsidR="00A90DA3" w:rsidRPr="00ED0C6A">
        <w:rPr>
          <w:rFonts w:asciiTheme="minorHAnsi" w:hAnsiTheme="minorHAnsi"/>
          <w:sz w:val="24"/>
          <w:lang w:val="pl-PL"/>
        </w:rPr>
        <w:t>(warto uwzględniać te kryteria w prowadzonych działaniach szkoleniowych)</w:t>
      </w:r>
      <w:r w:rsidR="009702A1" w:rsidRPr="00ED0C6A">
        <w:rPr>
          <w:rFonts w:asciiTheme="minorHAnsi" w:hAnsiTheme="minorHAnsi" w:cs="Verdana"/>
          <w:bCs/>
          <w:sz w:val="24"/>
          <w:lang w:val="pl-PL"/>
        </w:rPr>
        <w:t>. W</w:t>
      </w:r>
      <w:r w:rsidR="003F5966">
        <w:rPr>
          <w:rFonts w:asciiTheme="minorHAnsi" w:hAnsiTheme="minorHAnsi" w:cs="Verdana"/>
          <w:bCs/>
          <w:sz w:val="24"/>
          <w:lang w:val="pl-PL"/>
        </w:rPr>
        <w:t> </w:t>
      </w:r>
      <w:r w:rsidR="009702A1" w:rsidRPr="00ED0C6A">
        <w:rPr>
          <w:rFonts w:asciiTheme="minorHAnsi" w:hAnsiTheme="minorHAnsi" w:cs="Verdana"/>
          <w:bCs/>
          <w:sz w:val="24"/>
          <w:lang w:val="pl-PL"/>
        </w:rPr>
        <w:t>przypadku</w:t>
      </w:r>
      <w:r w:rsidR="006D12E6" w:rsidRPr="00ED0C6A">
        <w:rPr>
          <w:rFonts w:asciiTheme="minorHAnsi" w:hAnsiTheme="minorHAnsi" w:cs="Verdana"/>
          <w:bCs/>
          <w:sz w:val="24"/>
          <w:lang w:val="pl-PL"/>
        </w:rPr>
        <w:t>,</w:t>
      </w:r>
      <w:r w:rsidR="009702A1" w:rsidRPr="00ED0C6A">
        <w:rPr>
          <w:rFonts w:asciiTheme="minorHAnsi" w:hAnsiTheme="minorHAnsi" w:cs="Verdana"/>
          <w:bCs/>
          <w:sz w:val="24"/>
          <w:lang w:val="pl-PL"/>
        </w:rPr>
        <w:t xml:space="preserve"> gdy brak było naglących powodów do niezapewnienia prawa do korzystania z</w:t>
      </w:r>
      <w:r w:rsidR="003F5966">
        <w:rPr>
          <w:rFonts w:asciiTheme="minorHAnsi" w:hAnsiTheme="minorHAnsi" w:cs="Verdana"/>
          <w:bCs/>
          <w:sz w:val="24"/>
          <w:lang w:val="pl-PL"/>
        </w:rPr>
        <w:t> </w:t>
      </w:r>
      <w:r w:rsidR="009702A1" w:rsidRPr="00ED0C6A">
        <w:rPr>
          <w:rFonts w:asciiTheme="minorHAnsi" w:hAnsiTheme="minorHAnsi" w:cs="Verdana"/>
          <w:bCs/>
          <w:sz w:val="24"/>
          <w:lang w:val="pl-PL"/>
        </w:rPr>
        <w:t>pomocy prawnej przez oskarżonego na etapie postępowania prowadzonego przez policję, Trybunał dokonuje szczególnie rygorystycznej oceny rzetelności całego postępowania</w:t>
      </w:r>
      <w:r w:rsidR="006D12E6" w:rsidRPr="00ED0C6A">
        <w:rPr>
          <w:rFonts w:asciiTheme="minorHAnsi" w:hAnsiTheme="minorHAnsi" w:cs="Verdana"/>
          <w:bCs/>
          <w:sz w:val="24"/>
          <w:lang w:val="pl-PL"/>
        </w:rPr>
        <w:t xml:space="preserve"> karnego</w:t>
      </w:r>
      <w:r w:rsidR="009702A1" w:rsidRPr="00ED0C6A">
        <w:rPr>
          <w:rFonts w:asciiTheme="minorHAnsi" w:hAnsiTheme="minorHAnsi" w:cs="Verdana"/>
          <w:bCs/>
          <w:sz w:val="24"/>
          <w:lang w:val="pl-PL"/>
        </w:rPr>
        <w:t>.</w:t>
      </w:r>
      <w:r w:rsidRPr="00ED0C6A">
        <w:rPr>
          <w:rFonts w:asciiTheme="minorHAnsi" w:hAnsiTheme="minorHAnsi" w:cs="Verdana"/>
          <w:bCs/>
          <w:sz w:val="24"/>
          <w:lang w:val="pl-PL"/>
        </w:rPr>
        <w:t xml:space="preserve"> </w:t>
      </w:r>
      <w:r w:rsidR="009702A1" w:rsidRPr="00ED0C6A">
        <w:rPr>
          <w:rFonts w:asciiTheme="minorHAnsi" w:hAnsiTheme="minorHAnsi" w:cs="Verdana"/>
          <w:bCs/>
          <w:sz w:val="24"/>
          <w:lang w:val="pl-PL"/>
        </w:rPr>
        <w:t xml:space="preserve">Obecna sprawa stanowi przykład, w którym brak dostępu </w:t>
      </w:r>
      <w:r w:rsidR="009B6A79" w:rsidRPr="00ED0C6A">
        <w:rPr>
          <w:rFonts w:asciiTheme="minorHAnsi" w:hAnsiTheme="minorHAnsi" w:cs="Verdana"/>
          <w:bCs/>
          <w:sz w:val="24"/>
          <w:lang w:val="pl-PL"/>
        </w:rPr>
        <w:t xml:space="preserve">skarżącego </w:t>
      </w:r>
      <w:r w:rsidR="009702A1" w:rsidRPr="00ED0C6A">
        <w:rPr>
          <w:rFonts w:asciiTheme="minorHAnsi" w:hAnsiTheme="minorHAnsi" w:cs="Verdana"/>
          <w:bCs/>
          <w:sz w:val="24"/>
          <w:lang w:val="pl-PL"/>
        </w:rPr>
        <w:t>do obrońcy w</w:t>
      </w:r>
      <w:r w:rsidR="003F5966">
        <w:rPr>
          <w:rFonts w:asciiTheme="minorHAnsi" w:hAnsiTheme="minorHAnsi" w:cs="Verdana"/>
          <w:bCs/>
          <w:sz w:val="24"/>
          <w:lang w:val="pl-PL"/>
        </w:rPr>
        <w:t> </w:t>
      </w:r>
      <w:r w:rsidR="009702A1" w:rsidRPr="00ED0C6A">
        <w:rPr>
          <w:rFonts w:asciiTheme="minorHAnsi" w:hAnsiTheme="minorHAnsi" w:cs="Verdana"/>
          <w:bCs/>
          <w:sz w:val="24"/>
          <w:lang w:val="pl-PL"/>
        </w:rPr>
        <w:t>trakcie zatrzymania i pozostawania do dyspozycji Policji w istocie nie miał związku ze</w:t>
      </w:r>
      <w:r w:rsidR="003F5966">
        <w:rPr>
          <w:rFonts w:asciiTheme="minorHAnsi" w:hAnsiTheme="minorHAnsi" w:cs="Verdana"/>
          <w:bCs/>
          <w:sz w:val="24"/>
          <w:lang w:val="pl-PL"/>
        </w:rPr>
        <w:t> </w:t>
      </w:r>
      <w:r w:rsidR="009702A1" w:rsidRPr="00ED0C6A">
        <w:rPr>
          <w:rFonts w:asciiTheme="minorHAnsi" w:hAnsiTheme="minorHAnsi" w:cs="Verdana"/>
          <w:bCs/>
          <w:sz w:val="24"/>
          <w:lang w:val="pl-PL"/>
        </w:rPr>
        <w:t>złożeniem przez niego później obciążających siebie zezna</w:t>
      </w:r>
      <w:r w:rsidR="00F02CDB" w:rsidRPr="00ED0C6A">
        <w:rPr>
          <w:rFonts w:asciiTheme="minorHAnsi" w:hAnsiTheme="minorHAnsi" w:cs="Verdana"/>
          <w:bCs/>
          <w:sz w:val="24"/>
          <w:lang w:val="pl-PL"/>
        </w:rPr>
        <w:t>ń</w:t>
      </w:r>
      <w:r w:rsidR="009702A1" w:rsidRPr="00ED0C6A">
        <w:rPr>
          <w:rFonts w:asciiTheme="minorHAnsi" w:hAnsiTheme="minorHAnsi" w:cs="Verdana"/>
          <w:bCs/>
          <w:sz w:val="24"/>
          <w:lang w:val="pl-PL"/>
        </w:rPr>
        <w:t xml:space="preserve">. </w:t>
      </w:r>
      <w:r w:rsidR="00A463D9" w:rsidRPr="00ED0C6A">
        <w:rPr>
          <w:rFonts w:asciiTheme="minorHAnsi" w:hAnsiTheme="minorHAnsi" w:cs="Verdana"/>
          <w:bCs/>
          <w:sz w:val="24"/>
          <w:lang w:val="pl-PL"/>
        </w:rPr>
        <w:t xml:space="preserve">Warto tu przy okazji przypomnieć, że Trybunał stwierdził naruszenie art. 6 </w:t>
      </w:r>
      <w:r w:rsidR="00736996" w:rsidRPr="00ED0C6A">
        <w:rPr>
          <w:rFonts w:asciiTheme="minorHAnsi" w:hAnsiTheme="minorHAnsi" w:cs="Verdana"/>
          <w:bCs/>
          <w:sz w:val="24"/>
          <w:lang w:val="pl-PL"/>
        </w:rPr>
        <w:t xml:space="preserve">Konwencji </w:t>
      </w:r>
      <w:r w:rsidR="00A463D9" w:rsidRPr="00ED0C6A">
        <w:rPr>
          <w:rFonts w:asciiTheme="minorHAnsi" w:hAnsiTheme="minorHAnsi" w:cs="Verdana"/>
          <w:bCs/>
          <w:sz w:val="24"/>
          <w:lang w:val="pl-PL"/>
        </w:rPr>
        <w:t xml:space="preserve">w odniesieniu do braku dostępu do obrońcy podczas przesłuchania przez policję w sprawie </w:t>
      </w:r>
      <w:r w:rsidR="00A463D9" w:rsidRPr="00ED0C6A">
        <w:rPr>
          <w:rFonts w:asciiTheme="minorHAnsi" w:hAnsiTheme="minorHAnsi" w:cs="Verdana"/>
          <w:bCs/>
          <w:i/>
          <w:sz w:val="24"/>
          <w:lang w:val="pl-PL"/>
        </w:rPr>
        <w:t xml:space="preserve">Płonka p. Polsce </w:t>
      </w:r>
      <w:r w:rsidR="00A463D9" w:rsidRPr="00ED0C6A">
        <w:rPr>
          <w:rFonts w:asciiTheme="minorHAnsi" w:hAnsiTheme="minorHAnsi" w:cs="Verdana"/>
          <w:bCs/>
          <w:sz w:val="24"/>
          <w:lang w:val="pl-PL"/>
        </w:rPr>
        <w:t>(skarga</w:t>
      </w:r>
      <w:r w:rsidR="003F5966">
        <w:rPr>
          <w:rFonts w:asciiTheme="minorHAnsi" w:hAnsiTheme="minorHAnsi" w:cs="Verdana"/>
          <w:bCs/>
          <w:sz w:val="24"/>
          <w:lang w:val="pl-PL"/>
        </w:rPr>
        <w:t> </w:t>
      </w:r>
      <w:r w:rsidR="00A463D9" w:rsidRPr="00ED0C6A">
        <w:rPr>
          <w:rFonts w:asciiTheme="minorHAnsi" w:hAnsiTheme="minorHAnsi" w:cs="Verdana"/>
          <w:bCs/>
          <w:sz w:val="24"/>
          <w:lang w:val="pl-PL"/>
        </w:rPr>
        <w:t>nr 20310/02, wyrok z 31 marca 2009 r.).</w:t>
      </w:r>
      <w:r w:rsidR="00A463D9" w:rsidRPr="00ED0C6A">
        <w:rPr>
          <w:rFonts w:cs="Verdana"/>
          <w:bCs/>
          <w:sz w:val="24"/>
          <w:lang w:val="pl-PL"/>
        </w:rPr>
        <w:t xml:space="preserve"> </w:t>
      </w:r>
    </w:p>
    <w:p w:rsidR="00C32158" w:rsidRPr="00ED0C6A" w:rsidRDefault="006D12E6" w:rsidP="00123F4D">
      <w:pPr>
        <w:pStyle w:val="ClinContent"/>
        <w:rPr>
          <w:lang w:val="pl-PL"/>
        </w:rPr>
      </w:pPr>
      <w:r w:rsidRPr="00ED0C6A">
        <w:rPr>
          <w:lang w:val="pl-PL"/>
        </w:rPr>
        <w:t>Wyrok może mieć znaczenie zwłaszcza dla policji, prokuratury i sądów karnych</w:t>
      </w:r>
      <w:r w:rsidR="00273C3E" w:rsidRPr="00ED0C6A">
        <w:rPr>
          <w:lang w:val="pl-PL"/>
        </w:rPr>
        <w:t>, a</w:t>
      </w:r>
      <w:r w:rsidR="003F5966">
        <w:rPr>
          <w:lang w:val="pl-PL"/>
        </w:rPr>
        <w:t> </w:t>
      </w:r>
      <w:r w:rsidR="00273C3E" w:rsidRPr="00ED0C6A">
        <w:rPr>
          <w:lang w:val="pl-PL"/>
        </w:rPr>
        <w:t>także</w:t>
      </w:r>
      <w:r w:rsidR="003F5966">
        <w:rPr>
          <w:lang w:val="pl-PL"/>
        </w:rPr>
        <w:t> </w:t>
      </w:r>
      <w:r w:rsidR="00273C3E" w:rsidRPr="00ED0C6A">
        <w:rPr>
          <w:lang w:val="pl-PL"/>
        </w:rPr>
        <w:t>dla zawodów prawniczych (adwokatury i radców prawnych)</w:t>
      </w:r>
      <w:r w:rsidRPr="00ED0C6A">
        <w:rPr>
          <w:lang w:val="pl-PL"/>
        </w:rPr>
        <w:t xml:space="preserve">. </w:t>
      </w:r>
    </w:p>
    <w:p w:rsidR="00C32158" w:rsidRPr="00ED0C6A" w:rsidRDefault="00C32158" w:rsidP="009333A7">
      <w:pPr>
        <w:pStyle w:val="Nagwek2"/>
        <w:spacing w:before="480"/>
        <w:rPr>
          <w:rFonts w:asciiTheme="minorHAnsi" w:hAnsiTheme="minorHAnsi"/>
          <w:color w:val="auto"/>
          <w:sz w:val="24"/>
          <w:szCs w:val="24"/>
        </w:rPr>
      </w:pPr>
      <w:bookmarkStart w:id="27" w:name="_Toc524696743"/>
      <w:proofErr w:type="spellStart"/>
      <w:r w:rsidRPr="00ED0C6A">
        <w:rPr>
          <w:rFonts w:asciiTheme="minorHAnsi" w:hAnsiTheme="minorHAnsi"/>
          <w:color w:val="auto"/>
          <w:sz w:val="24"/>
          <w:szCs w:val="24"/>
        </w:rPr>
        <w:t>Škorjanec</w:t>
      </w:r>
      <w:proofErr w:type="spellEnd"/>
      <w:r w:rsidRPr="00ED0C6A">
        <w:rPr>
          <w:rFonts w:asciiTheme="minorHAnsi" w:hAnsiTheme="minorHAnsi"/>
          <w:color w:val="auto"/>
          <w:sz w:val="24"/>
          <w:szCs w:val="24"/>
        </w:rPr>
        <w:t xml:space="preserve"> p. Chorwacji</w:t>
      </w:r>
      <w:r w:rsidR="00B05313" w:rsidRPr="00ED0C6A">
        <w:rPr>
          <w:rFonts w:asciiTheme="minorHAnsi" w:hAnsiTheme="minorHAnsi"/>
          <w:color w:val="auto"/>
          <w:sz w:val="24"/>
          <w:szCs w:val="24"/>
        </w:rPr>
        <w:t>, skarga nr</w:t>
      </w:r>
      <w:r w:rsidRPr="00ED0C6A">
        <w:rPr>
          <w:rFonts w:asciiTheme="minorHAnsi" w:hAnsiTheme="minorHAnsi"/>
          <w:color w:val="auto"/>
          <w:sz w:val="24"/>
          <w:szCs w:val="24"/>
        </w:rPr>
        <w:t xml:space="preserve"> 25536/14</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4D5032" w:rsidRPr="00ED0C6A">
        <w:rPr>
          <w:rFonts w:asciiTheme="minorHAnsi" w:hAnsiTheme="minorHAnsi"/>
          <w:color w:val="auto"/>
          <w:sz w:val="24"/>
          <w:szCs w:val="24"/>
        </w:rPr>
        <w:t xml:space="preserve">Izby </w:t>
      </w:r>
      <w:r w:rsidRPr="00ED0C6A">
        <w:rPr>
          <w:rFonts w:asciiTheme="minorHAnsi" w:hAnsiTheme="minorHAnsi"/>
          <w:color w:val="auto"/>
          <w:sz w:val="24"/>
          <w:szCs w:val="24"/>
        </w:rPr>
        <w:t>z 28</w:t>
      </w:r>
      <w:r w:rsidR="00B4260D" w:rsidRPr="00ED0C6A">
        <w:rPr>
          <w:rFonts w:asciiTheme="minorHAnsi" w:hAnsiTheme="minorHAnsi"/>
          <w:color w:val="auto"/>
          <w:sz w:val="24"/>
          <w:szCs w:val="24"/>
        </w:rPr>
        <w:t xml:space="preserve"> marca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27"/>
    </w:p>
    <w:p w:rsidR="00BA216E" w:rsidRPr="00ED0C6A" w:rsidRDefault="00BA216E" w:rsidP="006D584E">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naruszenie art. 3 (zakaz tortur </w:t>
      </w:r>
      <w:r w:rsidR="00F66CBC" w:rsidRPr="00ED0C6A">
        <w:rPr>
          <w:b/>
          <w:color w:val="000000" w:themeColor="text1"/>
          <w:sz w:val="24"/>
          <w:szCs w:val="24"/>
          <w:lang w:val="pl-PL"/>
        </w:rPr>
        <w:t xml:space="preserve">i nieludzkiego lub poniżającego traktowania albo karania </w:t>
      </w:r>
      <w:r w:rsidRPr="00ED0C6A">
        <w:rPr>
          <w:b/>
          <w:color w:val="000000" w:themeColor="text1"/>
          <w:sz w:val="24"/>
          <w:szCs w:val="24"/>
          <w:lang w:val="pl-PL"/>
        </w:rPr>
        <w:t>– aspekt proceduralny skutecznego śledztwa) w związku z art. 14 Konwencji (zakaz</w:t>
      </w:r>
      <w:r w:rsidR="003F5966">
        <w:rPr>
          <w:b/>
          <w:color w:val="000000" w:themeColor="text1"/>
          <w:sz w:val="24"/>
          <w:szCs w:val="24"/>
          <w:lang w:val="pl-PL"/>
        </w:rPr>
        <w:t> </w:t>
      </w:r>
      <w:r w:rsidRPr="00ED0C6A">
        <w:rPr>
          <w:b/>
          <w:color w:val="000000" w:themeColor="text1"/>
          <w:sz w:val="24"/>
          <w:szCs w:val="24"/>
          <w:lang w:val="pl-PL"/>
        </w:rPr>
        <w:t xml:space="preserve">dyskryminacji) z uwagi na brak realizacji przez władze krajowe obowiązku </w:t>
      </w:r>
      <w:r w:rsidR="00AB6EA1" w:rsidRPr="00ED0C6A">
        <w:rPr>
          <w:b/>
          <w:color w:val="000000" w:themeColor="text1"/>
          <w:sz w:val="24"/>
          <w:szCs w:val="24"/>
          <w:lang w:val="pl-PL"/>
        </w:rPr>
        <w:t xml:space="preserve">odpowiedniego </w:t>
      </w:r>
      <w:r w:rsidRPr="00ED0C6A">
        <w:rPr>
          <w:b/>
          <w:color w:val="000000" w:themeColor="text1"/>
          <w:sz w:val="24"/>
          <w:szCs w:val="24"/>
          <w:lang w:val="pl-PL"/>
        </w:rPr>
        <w:t>zbadania aktu przemocy motywowanej dyskryminacją rasową przez</w:t>
      </w:r>
      <w:r w:rsidR="003F5966">
        <w:rPr>
          <w:b/>
          <w:color w:val="000000" w:themeColor="text1"/>
          <w:sz w:val="24"/>
          <w:szCs w:val="24"/>
          <w:lang w:val="pl-PL"/>
        </w:rPr>
        <w:t> </w:t>
      </w:r>
      <w:r w:rsidRPr="00ED0C6A">
        <w:rPr>
          <w:b/>
          <w:color w:val="000000" w:themeColor="text1"/>
          <w:sz w:val="24"/>
          <w:szCs w:val="24"/>
          <w:lang w:val="pl-PL"/>
        </w:rPr>
        <w:t xml:space="preserve">asocjację i </w:t>
      </w:r>
      <w:r w:rsidR="00F541FD" w:rsidRPr="00ED0C6A">
        <w:rPr>
          <w:b/>
          <w:color w:val="000000" w:themeColor="text1"/>
          <w:sz w:val="24"/>
          <w:szCs w:val="24"/>
          <w:lang w:val="pl-PL"/>
        </w:rPr>
        <w:t>powiązanie</w:t>
      </w:r>
      <w:r w:rsidRPr="00ED0C6A">
        <w:rPr>
          <w:b/>
          <w:color w:val="000000" w:themeColor="text1"/>
          <w:sz w:val="24"/>
          <w:szCs w:val="24"/>
          <w:lang w:val="pl-PL"/>
        </w:rPr>
        <w:t xml:space="preserve"> skarżącej z osobą pochodzenia romskiego</w:t>
      </w:r>
    </w:p>
    <w:p w:rsidR="00F66CBC" w:rsidRPr="00ED0C6A" w:rsidRDefault="00C32158"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Skarżąca i jej partner – osoba pochodzenia romskiego – zostali zaatakowani przez dwie osoby wykrzykujące obelgi o charakterze </w:t>
      </w:r>
      <w:proofErr w:type="spellStart"/>
      <w:r w:rsidRPr="00ED0C6A">
        <w:rPr>
          <w:rFonts w:asciiTheme="minorHAnsi" w:hAnsiTheme="minorHAnsi"/>
          <w:sz w:val="24"/>
          <w:lang w:val="pl-PL"/>
        </w:rPr>
        <w:t>antyromskim</w:t>
      </w:r>
      <w:proofErr w:type="spellEnd"/>
      <w:r w:rsidRPr="00ED0C6A">
        <w:rPr>
          <w:rFonts w:asciiTheme="minorHAnsi" w:hAnsiTheme="minorHAnsi"/>
          <w:sz w:val="24"/>
          <w:lang w:val="pl-PL"/>
        </w:rPr>
        <w:t xml:space="preserve"> </w:t>
      </w:r>
      <w:r w:rsidR="001E0088" w:rsidRPr="00ED0C6A">
        <w:rPr>
          <w:rFonts w:asciiTheme="minorHAnsi" w:hAnsiTheme="minorHAnsi"/>
          <w:sz w:val="24"/>
          <w:lang w:val="pl-PL"/>
        </w:rPr>
        <w:t>na chwilę</w:t>
      </w:r>
      <w:r w:rsidRPr="00ED0C6A">
        <w:rPr>
          <w:rFonts w:asciiTheme="minorHAnsi" w:hAnsiTheme="minorHAnsi"/>
          <w:sz w:val="24"/>
          <w:lang w:val="pl-PL"/>
        </w:rPr>
        <w:t xml:space="preserve"> przed oraz w trakcie ataku. Skarżącą potraktowano jako świadka w postępowaniu karnym, a nie jako ofiarę obok</w:t>
      </w:r>
      <w:r w:rsidR="001E3955">
        <w:rPr>
          <w:rFonts w:asciiTheme="minorHAnsi" w:hAnsiTheme="minorHAnsi"/>
          <w:sz w:val="24"/>
          <w:lang w:val="pl-PL"/>
        </w:rPr>
        <w:t> </w:t>
      </w:r>
      <w:r w:rsidRPr="00ED0C6A">
        <w:rPr>
          <w:rFonts w:asciiTheme="minorHAnsi" w:hAnsiTheme="minorHAnsi"/>
          <w:sz w:val="24"/>
          <w:lang w:val="pl-PL"/>
        </w:rPr>
        <w:t>jej</w:t>
      </w:r>
      <w:r w:rsidR="003F5966">
        <w:rPr>
          <w:rFonts w:asciiTheme="minorHAnsi" w:hAnsiTheme="minorHAnsi"/>
          <w:sz w:val="24"/>
          <w:lang w:val="pl-PL"/>
        </w:rPr>
        <w:t> </w:t>
      </w:r>
      <w:r w:rsidRPr="00ED0C6A">
        <w:rPr>
          <w:rFonts w:asciiTheme="minorHAnsi" w:hAnsiTheme="minorHAnsi"/>
          <w:sz w:val="24"/>
          <w:lang w:val="pl-PL"/>
        </w:rPr>
        <w:t xml:space="preserve">partnera. </w:t>
      </w:r>
    </w:p>
    <w:p w:rsidR="000001C4" w:rsidRPr="00ED0C6A" w:rsidRDefault="000001C4" w:rsidP="008176C7">
      <w:pPr>
        <w:pStyle w:val="ClinContent"/>
        <w:spacing w:before="0"/>
        <w:rPr>
          <w:rFonts w:asciiTheme="minorHAnsi" w:hAnsiTheme="minorHAnsi"/>
          <w:sz w:val="24"/>
          <w:lang w:val="pl-PL"/>
        </w:rPr>
      </w:pPr>
    </w:p>
    <w:p w:rsidR="00C32158" w:rsidRPr="00ED0C6A" w:rsidRDefault="00A7680C" w:rsidP="008176C7">
      <w:pPr>
        <w:pStyle w:val="ClinContent"/>
        <w:spacing w:before="0"/>
        <w:rPr>
          <w:rFonts w:asciiTheme="minorHAnsi" w:hAnsiTheme="minorHAnsi"/>
          <w:sz w:val="24"/>
          <w:lang w:val="pl-PL"/>
        </w:rPr>
      </w:pPr>
      <w:r w:rsidRPr="00ED0C6A">
        <w:rPr>
          <w:rFonts w:asciiTheme="minorHAnsi" w:hAnsiTheme="minorHAnsi"/>
          <w:sz w:val="24"/>
          <w:lang w:val="pl-PL"/>
        </w:rPr>
        <w:t>Przed Trybunałem</w:t>
      </w:r>
      <w:r w:rsidR="00F66CBC" w:rsidRPr="00ED0C6A">
        <w:rPr>
          <w:rFonts w:asciiTheme="minorHAnsi" w:hAnsiTheme="minorHAnsi"/>
          <w:sz w:val="24"/>
          <w:lang w:val="pl-PL"/>
        </w:rPr>
        <w:t xml:space="preserve"> </w:t>
      </w:r>
      <w:r w:rsidR="00C32158" w:rsidRPr="00ED0C6A">
        <w:rPr>
          <w:rFonts w:asciiTheme="minorHAnsi" w:hAnsiTheme="minorHAnsi"/>
          <w:sz w:val="24"/>
          <w:lang w:val="pl-PL"/>
        </w:rPr>
        <w:t xml:space="preserve">skarżąca zarzucała brak skutecznego wypełnienia przez władze krajowe </w:t>
      </w:r>
      <w:r w:rsidR="001E0088" w:rsidRPr="00ED0C6A">
        <w:rPr>
          <w:rFonts w:asciiTheme="minorHAnsi" w:hAnsiTheme="minorHAnsi"/>
          <w:sz w:val="24"/>
          <w:lang w:val="pl-PL"/>
        </w:rPr>
        <w:t>ich</w:t>
      </w:r>
      <w:r w:rsidR="00C32158" w:rsidRPr="00ED0C6A">
        <w:rPr>
          <w:rFonts w:asciiTheme="minorHAnsi" w:hAnsiTheme="minorHAnsi"/>
          <w:sz w:val="24"/>
          <w:lang w:val="pl-PL"/>
        </w:rPr>
        <w:t xml:space="preserve"> pozytywnych obowiązków w odniesieniu do wymierzonego przeciwko niej aktu przemocy z pobudek rasistowskich, co naruszało art. 3</w:t>
      </w:r>
      <w:r w:rsidR="00F66CBC" w:rsidRPr="00ED0C6A">
        <w:rPr>
          <w:rFonts w:asciiTheme="minorHAnsi" w:hAnsiTheme="minorHAnsi"/>
          <w:sz w:val="24"/>
          <w:lang w:val="pl-PL"/>
        </w:rPr>
        <w:t xml:space="preserve"> z</w:t>
      </w:r>
      <w:r w:rsidR="00C32158" w:rsidRPr="00ED0C6A">
        <w:rPr>
          <w:rFonts w:asciiTheme="minorHAnsi" w:hAnsiTheme="minorHAnsi"/>
          <w:sz w:val="24"/>
          <w:lang w:val="pl-PL"/>
        </w:rPr>
        <w:t xml:space="preserve"> </w:t>
      </w:r>
      <w:r w:rsidR="00F66CBC" w:rsidRPr="00ED0C6A">
        <w:rPr>
          <w:rFonts w:asciiTheme="minorHAnsi" w:hAnsiTheme="minorHAnsi"/>
          <w:sz w:val="24"/>
          <w:lang w:val="pl-PL"/>
        </w:rPr>
        <w:t>w związku z art.</w:t>
      </w:r>
      <w:r w:rsidR="00C32158" w:rsidRPr="00ED0C6A">
        <w:rPr>
          <w:rFonts w:asciiTheme="minorHAnsi" w:hAnsiTheme="minorHAnsi"/>
          <w:sz w:val="24"/>
          <w:lang w:val="pl-PL"/>
        </w:rPr>
        <w:t xml:space="preserve"> 14 Konwencji. </w:t>
      </w:r>
    </w:p>
    <w:p w:rsidR="00F66CBC" w:rsidRPr="00ED0C6A" w:rsidRDefault="00F66CBC" w:rsidP="008176C7">
      <w:pPr>
        <w:pStyle w:val="ClinContent"/>
        <w:spacing w:before="0"/>
        <w:rPr>
          <w:rFonts w:asciiTheme="minorHAnsi" w:hAnsiTheme="minorHAnsi"/>
          <w:i/>
          <w:sz w:val="24"/>
          <w:lang w:val="pl-PL"/>
        </w:rPr>
      </w:pPr>
    </w:p>
    <w:p w:rsidR="00C32158" w:rsidRPr="00ED0C6A" w:rsidRDefault="00F66CBC" w:rsidP="008176C7">
      <w:pPr>
        <w:pStyle w:val="ClinContent"/>
        <w:spacing w:before="0"/>
        <w:rPr>
          <w:rFonts w:asciiTheme="minorHAnsi" w:hAnsiTheme="minorHAnsi"/>
          <w:sz w:val="24"/>
          <w:lang w:val="pl-PL"/>
        </w:rPr>
      </w:pPr>
      <w:r w:rsidRPr="00ED0C6A">
        <w:rPr>
          <w:rFonts w:asciiTheme="minorHAnsi" w:hAnsiTheme="minorHAnsi"/>
          <w:sz w:val="24"/>
          <w:lang w:val="pl-PL"/>
        </w:rPr>
        <w:t>Trybunał przypomniał, że</w:t>
      </w:r>
      <w:r w:rsidRPr="00ED0C6A">
        <w:rPr>
          <w:rFonts w:asciiTheme="minorHAnsi" w:hAnsiTheme="minorHAnsi"/>
          <w:i/>
          <w:sz w:val="24"/>
          <w:lang w:val="pl-PL"/>
        </w:rPr>
        <w:t xml:space="preserve"> </w:t>
      </w:r>
      <w:r w:rsidRPr="00ED0C6A">
        <w:rPr>
          <w:rFonts w:asciiTheme="minorHAnsi" w:hAnsiTheme="minorHAnsi"/>
          <w:sz w:val="24"/>
          <w:lang w:val="pl-PL"/>
        </w:rPr>
        <w:t>spoczywający na władzach o</w:t>
      </w:r>
      <w:r w:rsidR="00C32158" w:rsidRPr="00ED0C6A">
        <w:rPr>
          <w:rFonts w:asciiTheme="minorHAnsi" w:hAnsiTheme="minorHAnsi"/>
          <w:sz w:val="24"/>
          <w:lang w:val="pl-PL"/>
        </w:rPr>
        <w:t>bowiązek ustalenia ewentualnego związku danego aktu przemocy z po</w:t>
      </w:r>
      <w:r w:rsidRPr="00ED0C6A">
        <w:rPr>
          <w:rFonts w:asciiTheme="minorHAnsi" w:hAnsiTheme="minorHAnsi"/>
          <w:sz w:val="24"/>
          <w:lang w:val="pl-PL"/>
        </w:rPr>
        <w:t>stawami rasistowskimi stanowi</w:t>
      </w:r>
      <w:r w:rsidR="00C32158" w:rsidRPr="00ED0C6A">
        <w:rPr>
          <w:rFonts w:asciiTheme="minorHAnsi" w:hAnsiTheme="minorHAnsi"/>
          <w:sz w:val="24"/>
          <w:lang w:val="pl-PL"/>
        </w:rPr>
        <w:t xml:space="preserve"> część obowiązków spoczywających na </w:t>
      </w:r>
      <w:r w:rsidR="00721A8D" w:rsidRPr="00ED0C6A">
        <w:rPr>
          <w:rFonts w:asciiTheme="minorHAnsi" w:hAnsiTheme="minorHAnsi"/>
          <w:sz w:val="24"/>
          <w:lang w:val="pl-PL"/>
        </w:rPr>
        <w:t xml:space="preserve">Państwach </w:t>
      </w:r>
      <w:r w:rsidR="00C32158" w:rsidRPr="00ED0C6A">
        <w:rPr>
          <w:rFonts w:asciiTheme="minorHAnsi" w:hAnsiTheme="minorHAnsi"/>
          <w:sz w:val="24"/>
          <w:lang w:val="pl-PL"/>
        </w:rPr>
        <w:t>na podstawie art. 3</w:t>
      </w:r>
      <w:r w:rsidRPr="00ED0C6A">
        <w:rPr>
          <w:rFonts w:asciiTheme="minorHAnsi" w:hAnsiTheme="minorHAnsi"/>
          <w:sz w:val="24"/>
          <w:lang w:val="pl-PL"/>
        </w:rPr>
        <w:t xml:space="preserve"> w związku z art. 14 Konwencji. D</w:t>
      </w:r>
      <w:r w:rsidR="00C32158" w:rsidRPr="00ED0C6A">
        <w:rPr>
          <w:rFonts w:asciiTheme="minorHAnsi" w:hAnsiTheme="minorHAnsi"/>
          <w:sz w:val="24"/>
          <w:lang w:val="pl-PL"/>
        </w:rPr>
        <w:t xml:space="preserve">otyczy </w:t>
      </w:r>
      <w:r w:rsidRPr="00ED0C6A">
        <w:rPr>
          <w:rFonts w:asciiTheme="minorHAnsi" w:hAnsiTheme="minorHAnsi"/>
          <w:sz w:val="24"/>
          <w:lang w:val="pl-PL"/>
        </w:rPr>
        <w:t>on</w:t>
      </w:r>
      <w:r w:rsidR="003F5966">
        <w:rPr>
          <w:rFonts w:asciiTheme="minorHAnsi" w:hAnsiTheme="minorHAnsi"/>
          <w:sz w:val="24"/>
          <w:lang w:val="pl-PL"/>
        </w:rPr>
        <w:t> </w:t>
      </w:r>
      <w:r w:rsidR="00C32158" w:rsidRPr="00ED0C6A">
        <w:rPr>
          <w:rFonts w:asciiTheme="minorHAnsi" w:hAnsiTheme="minorHAnsi"/>
          <w:sz w:val="24"/>
          <w:lang w:val="pl-PL"/>
        </w:rPr>
        <w:t>nie tylko aktów przemocy opartych na rzeczywistym lub postrzeganym statusie osobistym lub cech</w:t>
      </w:r>
      <w:r w:rsidR="00732A5C" w:rsidRPr="00ED0C6A">
        <w:rPr>
          <w:rFonts w:asciiTheme="minorHAnsi" w:hAnsiTheme="minorHAnsi"/>
          <w:sz w:val="24"/>
          <w:lang w:val="pl-PL"/>
        </w:rPr>
        <w:t>ach</w:t>
      </w:r>
      <w:r w:rsidR="00C32158" w:rsidRPr="00ED0C6A">
        <w:rPr>
          <w:rFonts w:asciiTheme="minorHAnsi" w:hAnsiTheme="minorHAnsi"/>
          <w:sz w:val="24"/>
          <w:lang w:val="pl-PL"/>
        </w:rPr>
        <w:t xml:space="preserve"> ofiary, ale także aktów przemocy opartych na rzeczywistej lub domniemanej asocjacji lub </w:t>
      </w:r>
      <w:r w:rsidR="00F541FD" w:rsidRPr="00ED0C6A">
        <w:rPr>
          <w:rFonts w:asciiTheme="minorHAnsi" w:hAnsiTheme="minorHAnsi"/>
          <w:sz w:val="24"/>
          <w:lang w:val="pl-PL"/>
        </w:rPr>
        <w:t>powiązaniu</w:t>
      </w:r>
      <w:r w:rsidR="00C32158" w:rsidRPr="00ED0C6A">
        <w:rPr>
          <w:rFonts w:asciiTheme="minorHAnsi" w:hAnsiTheme="minorHAnsi"/>
          <w:sz w:val="24"/>
          <w:lang w:val="pl-PL"/>
        </w:rPr>
        <w:t xml:space="preserve"> (</w:t>
      </w:r>
      <w:proofErr w:type="spellStart"/>
      <w:r w:rsidR="00C32158" w:rsidRPr="00ED0C6A">
        <w:rPr>
          <w:rFonts w:asciiTheme="minorHAnsi" w:hAnsiTheme="minorHAnsi"/>
          <w:i/>
          <w:sz w:val="24"/>
          <w:lang w:val="pl-PL"/>
        </w:rPr>
        <w:t>association</w:t>
      </w:r>
      <w:proofErr w:type="spellEnd"/>
      <w:r w:rsidR="00C32158" w:rsidRPr="00ED0C6A">
        <w:rPr>
          <w:rFonts w:asciiTheme="minorHAnsi" w:hAnsiTheme="minorHAnsi"/>
          <w:i/>
          <w:sz w:val="24"/>
          <w:lang w:val="pl-PL"/>
        </w:rPr>
        <w:t xml:space="preserve"> </w:t>
      </w:r>
      <w:proofErr w:type="spellStart"/>
      <w:r w:rsidR="00C32158" w:rsidRPr="00ED0C6A">
        <w:rPr>
          <w:rFonts w:asciiTheme="minorHAnsi" w:hAnsiTheme="minorHAnsi"/>
          <w:i/>
          <w:sz w:val="24"/>
          <w:lang w:val="pl-PL"/>
        </w:rPr>
        <w:t>or</w:t>
      </w:r>
      <w:proofErr w:type="spellEnd"/>
      <w:r w:rsidR="00C32158" w:rsidRPr="00ED0C6A">
        <w:rPr>
          <w:rFonts w:asciiTheme="minorHAnsi" w:hAnsiTheme="minorHAnsi"/>
          <w:i/>
          <w:sz w:val="24"/>
          <w:lang w:val="pl-PL"/>
        </w:rPr>
        <w:t xml:space="preserve"> </w:t>
      </w:r>
      <w:proofErr w:type="spellStart"/>
      <w:r w:rsidR="00C32158" w:rsidRPr="00ED0C6A">
        <w:rPr>
          <w:rFonts w:asciiTheme="minorHAnsi" w:hAnsiTheme="minorHAnsi"/>
          <w:i/>
          <w:sz w:val="24"/>
          <w:lang w:val="pl-PL"/>
        </w:rPr>
        <w:t>affiliation</w:t>
      </w:r>
      <w:proofErr w:type="spellEnd"/>
      <w:r w:rsidR="00C32158" w:rsidRPr="00ED0C6A">
        <w:rPr>
          <w:rFonts w:asciiTheme="minorHAnsi" w:hAnsiTheme="minorHAnsi"/>
          <w:sz w:val="24"/>
          <w:lang w:val="pl-PL"/>
        </w:rPr>
        <w:t>) ofiary z osobą, która rzeczywiście lub</w:t>
      </w:r>
      <w:r w:rsidR="003F5966">
        <w:rPr>
          <w:rFonts w:asciiTheme="minorHAnsi" w:hAnsiTheme="minorHAnsi"/>
          <w:sz w:val="24"/>
          <w:lang w:val="pl-PL"/>
        </w:rPr>
        <w:t> </w:t>
      </w:r>
      <w:r w:rsidR="00C32158" w:rsidRPr="00ED0C6A">
        <w:rPr>
          <w:rFonts w:asciiTheme="minorHAnsi" w:hAnsiTheme="minorHAnsi"/>
          <w:sz w:val="24"/>
          <w:lang w:val="pl-PL"/>
        </w:rPr>
        <w:t>w</w:t>
      </w:r>
      <w:r w:rsidR="003F5966">
        <w:rPr>
          <w:rFonts w:asciiTheme="minorHAnsi" w:hAnsiTheme="minorHAnsi"/>
          <w:sz w:val="24"/>
          <w:lang w:val="pl-PL"/>
        </w:rPr>
        <w:t> </w:t>
      </w:r>
      <w:r w:rsidR="00C32158" w:rsidRPr="00ED0C6A">
        <w:rPr>
          <w:rFonts w:asciiTheme="minorHAnsi" w:hAnsiTheme="minorHAnsi"/>
          <w:sz w:val="24"/>
          <w:lang w:val="pl-PL"/>
        </w:rPr>
        <w:t>sposób domniemany posiada określony status lub chronioną cechę. W takich przypadkach władze powinny podjąć uzasadnione w danych okolicznościach działania, by</w:t>
      </w:r>
      <w:r w:rsidR="003F5966">
        <w:rPr>
          <w:rFonts w:asciiTheme="minorHAnsi" w:hAnsiTheme="minorHAnsi"/>
          <w:sz w:val="24"/>
          <w:lang w:val="pl-PL"/>
        </w:rPr>
        <w:t> </w:t>
      </w:r>
      <w:r w:rsidR="00C32158" w:rsidRPr="00ED0C6A">
        <w:rPr>
          <w:rFonts w:asciiTheme="minorHAnsi" w:hAnsiTheme="minorHAnsi"/>
          <w:sz w:val="24"/>
          <w:lang w:val="pl-PL"/>
        </w:rPr>
        <w:t xml:space="preserve">zebrać i zabezpieczyć dowody, </w:t>
      </w:r>
      <w:r w:rsidR="00732A5C" w:rsidRPr="00ED0C6A">
        <w:rPr>
          <w:rFonts w:asciiTheme="minorHAnsi" w:hAnsiTheme="minorHAnsi"/>
          <w:sz w:val="24"/>
          <w:lang w:val="pl-PL"/>
        </w:rPr>
        <w:t>wyczerp</w:t>
      </w:r>
      <w:r w:rsidR="00C32158" w:rsidRPr="00ED0C6A">
        <w:rPr>
          <w:rFonts w:asciiTheme="minorHAnsi" w:hAnsiTheme="minorHAnsi"/>
          <w:sz w:val="24"/>
          <w:lang w:val="pl-PL"/>
        </w:rPr>
        <w:t xml:space="preserve">ać wszystkie praktyczne środki ujawnienia prawdy i wydać w pełni uzasadnione, bezstronne i obiektywne rozstrzygnięcia, nie pomijając </w:t>
      </w:r>
      <w:r w:rsidR="001E0088" w:rsidRPr="00ED0C6A">
        <w:rPr>
          <w:rFonts w:asciiTheme="minorHAnsi" w:hAnsiTheme="minorHAnsi"/>
          <w:sz w:val="24"/>
          <w:lang w:val="pl-PL"/>
        </w:rPr>
        <w:t>budzących podejrzenia</w:t>
      </w:r>
      <w:r w:rsidR="00C32158" w:rsidRPr="00ED0C6A">
        <w:rPr>
          <w:rFonts w:asciiTheme="minorHAnsi" w:hAnsiTheme="minorHAnsi"/>
          <w:sz w:val="24"/>
          <w:lang w:val="pl-PL"/>
        </w:rPr>
        <w:t xml:space="preserve"> faktów mogących wskazywać na przemoc z pobudek rasistowskich. </w:t>
      </w:r>
    </w:p>
    <w:p w:rsidR="00F66CBC" w:rsidRPr="00ED0C6A" w:rsidRDefault="00F66CBC" w:rsidP="008176C7">
      <w:pPr>
        <w:pStyle w:val="ClinContent"/>
        <w:spacing w:before="0"/>
        <w:rPr>
          <w:rFonts w:asciiTheme="minorHAnsi" w:hAnsiTheme="minorHAnsi"/>
          <w:sz w:val="24"/>
          <w:lang w:val="pl-PL"/>
        </w:rPr>
      </w:pPr>
    </w:p>
    <w:p w:rsidR="00F66CBC" w:rsidRPr="00ED0C6A" w:rsidRDefault="00C32158"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Art. 3 </w:t>
      </w:r>
      <w:r w:rsidR="00F66CBC" w:rsidRPr="00ED0C6A">
        <w:rPr>
          <w:rFonts w:asciiTheme="minorHAnsi" w:hAnsiTheme="minorHAnsi"/>
          <w:sz w:val="24"/>
          <w:lang w:val="pl-PL"/>
        </w:rPr>
        <w:t xml:space="preserve">Konwencji </w:t>
      </w:r>
      <w:r w:rsidRPr="00ED0C6A">
        <w:rPr>
          <w:rFonts w:asciiTheme="minorHAnsi" w:hAnsiTheme="minorHAnsi"/>
          <w:sz w:val="24"/>
          <w:lang w:val="pl-PL"/>
        </w:rPr>
        <w:t>wymaga zastosowania odpowiednich mechanizmów prawnokarnych, gdy</w:t>
      </w:r>
      <w:r w:rsidR="003F5966">
        <w:rPr>
          <w:rFonts w:asciiTheme="minorHAnsi" w:hAnsiTheme="minorHAnsi"/>
          <w:sz w:val="24"/>
          <w:lang w:val="pl-PL"/>
        </w:rPr>
        <w:t> </w:t>
      </w:r>
      <w:r w:rsidRPr="00ED0C6A">
        <w:rPr>
          <w:rFonts w:asciiTheme="minorHAnsi" w:hAnsiTheme="minorHAnsi"/>
          <w:sz w:val="24"/>
          <w:lang w:val="pl-PL"/>
        </w:rPr>
        <w:t xml:space="preserve">poziom dotkliwości przemocy zastosowanej przez osoby prywatne wchodzi w zakres ochrony na mocy tego postanowienia. Zasady te mają zastosowanie </w:t>
      </w:r>
      <w:r w:rsidRPr="00ED0C6A">
        <w:rPr>
          <w:rFonts w:asciiTheme="minorHAnsi" w:hAnsiTheme="minorHAnsi"/>
          <w:i/>
          <w:sz w:val="24"/>
          <w:lang w:val="pl-PL"/>
        </w:rPr>
        <w:t xml:space="preserve">a </w:t>
      </w:r>
      <w:proofErr w:type="spellStart"/>
      <w:r w:rsidRPr="00ED0C6A">
        <w:rPr>
          <w:rFonts w:asciiTheme="minorHAnsi" w:hAnsiTheme="minorHAnsi"/>
          <w:i/>
          <w:sz w:val="24"/>
          <w:lang w:val="pl-PL"/>
        </w:rPr>
        <w:t>fortiori</w:t>
      </w:r>
      <w:proofErr w:type="spellEnd"/>
      <w:r w:rsidRPr="00ED0C6A">
        <w:rPr>
          <w:rFonts w:asciiTheme="minorHAnsi" w:hAnsiTheme="minorHAnsi"/>
          <w:i/>
          <w:sz w:val="24"/>
          <w:lang w:val="pl-PL"/>
        </w:rPr>
        <w:t xml:space="preserve"> </w:t>
      </w:r>
      <w:r w:rsidRPr="00ED0C6A">
        <w:rPr>
          <w:rFonts w:asciiTheme="minorHAnsi" w:hAnsiTheme="minorHAnsi"/>
          <w:sz w:val="24"/>
          <w:lang w:val="pl-PL"/>
        </w:rPr>
        <w:t xml:space="preserve">w sprawach przemocy </w:t>
      </w:r>
      <w:r w:rsidR="00732A5C" w:rsidRPr="00ED0C6A">
        <w:rPr>
          <w:rFonts w:asciiTheme="minorHAnsi" w:hAnsiTheme="minorHAnsi"/>
          <w:sz w:val="24"/>
          <w:lang w:val="pl-PL"/>
        </w:rPr>
        <w:t>motywowanej</w:t>
      </w:r>
      <w:r w:rsidR="00F66CBC" w:rsidRPr="00ED0C6A">
        <w:rPr>
          <w:rFonts w:asciiTheme="minorHAnsi" w:hAnsiTheme="minorHAnsi"/>
          <w:sz w:val="24"/>
          <w:lang w:val="pl-PL"/>
        </w:rPr>
        <w:t xml:space="preserve"> dyskryminacją</w:t>
      </w:r>
      <w:r w:rsidRPr="00ED0C6A">
        <w:rPr>
          <w:rFonts w:asciiTheme="minorHAnsi" w:hAnsiTheme="minorHAnsi"/>
          <w:sz w:val="24"/>
          <w:lang w:val="pl-PL"/>
        </w:rPr>
        <w:t xml:space="preserve"> </w:t>
      </w:r>
      <w:r w:rsidR="00F66CBC" w:rsidRPr="00ED0C6A">
        <w:rPr>
          <w:rFonts w:asciiTheme="minorHAnsi" w:hAnsiTheme="minorHAnsi"/>
          <w:sz w:val="24"/>
          <w:lang w:val="pl-PL"/>
        </w:rPr>
        <w:t>rasową.</w:t>
      </w:r>
      <w:r w:rsidRPr="00ED0C6A">
        <w:rPr>
          <w:rFonts w:asciiTheme="minorHAnsi" w:hAnsiTheme="minorHAnsi"/>
          <w:sz w:val="24"/>
          <w:lang w:val="pl-PL"/>
        </w:rPr>
        <w:t xml:space="preserve"> </w:t>
      </w:r>
    </w:p>
    <w:p w:rsidR="00F66CBC" w:rsidRPr="00ED0C6A" w:rsidRDefault="00F66CBC" w:rsidP="008176C7">
      <w:pPr>
        <w:pStyle w:val="ClinContent"/>
        <w:spacing w:before="0"/>
        <w:rPr>
          <w:rFonts w:asciiTheme="minorHAnsi" w:hAnsiTheme="minorHAnsi"/>
          <w:sz w:val="24"/>
          <w:lang w:val="pl-PL"/>
        </w:rPr>
      </w:pPr>
    </w:p>
    <w:p w:rsidR="00F66CBC" w:rsidRPr="00ED0C6A" w:rsidRDefault="00C32158"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uznał, że chorwacki system prawny zapewniał odpowiednie mechanizmy prawne gwarantujące </w:t>
      </w:r>
      <w:r w:rsidR="00F66CBC" w:rsidRPr="00ED0C6A">
        <w:rPr>
          <w:rFonts w:asciiTheme="minorHAnsi" w:hAnsiTheme="minorHAnsi"/>
          <w:sz w:val="24"/>
          <w:lang w:val="pl-PL"/>
        </w:rPr>
        <w:t xml:space="preserve">skarżącej </w:t>
      </w:r>
      <w:r w:rsidRPr="00ED0C6A">
        <w:rPr>
          <w:rFonts w:asciiTheme="minorHAnsi" w:hAnsiTheme="minorHAnsi"/>
          <w:sz w:val="24"/>
          <w:lang w:val="pl-PL"/>
        </w:rPr>
        <w:t xml:space="preserve">odpowiedni poziom ochrony </w:t>
      </w:r>
      <w:r w:rsidR="00F66CBC" w:rsidRPr="00ED0C6A">
        <w:rPr>
          <w:rFonts w:asciiTheme="minorHAnsi" w:hAnsiTheme="minorHAnsi"/>
          <w:sz w:val="24"/>
          <w:lang w:val="pl-PL"/>
        </w:rPr>
        <w:t xml:space="preserve">w </w:t>
      </w:r>
      <w:r w:rsidR="001E0088" w:rsidRPr="00ED0C6A">
        <w:rPr>
          <w:rFonts w:asciiTheme="minorHAnsi" w:hAnsiTheme="minorHAnsi"/>
          <w:sz w:val="24"/>
          <w:lang w:val="pl-PL"/>
        </w:rPr>
        <w:t>tych okolicznościach</w:t>
      </w:r>
      <w:r w:rsidRPr="00ED0C6A">
        <w:rPr>
          <w:rFonts w:asciiTheme="minorHAnsi" w:hAnsiTheme="minorHAnsi"/>
          <w:sz w:val="24"/>
          <w:lang w:val="pl-PL"/>
        </w:rPr>
        <w:t xml:space="preserve">. Jednakże organy ścigania skoncentrowały śledztwo i analizę </w:t>
      </w:r>
      <w:r w:rsidR="001E0088" w:rsidRPr="00ED0C6A">
        <w:rPr>
          <w:rFonts w:asciiTheme="minorHAnsi" w:hAnsiTheme="minorHAnsi"/>
          <w:sz w:val="24"/>
          <w:lang w:val="pl-PL"/>
        </w:rPr>
        <w:t xml:space="preserve">w tej sprawie </w:t>
      </w:r>
      <w:r w:rsidRPr="00ED0C6A">
        <w:rPr>
          <w:rFonts w:asciiTheme="minorHAnsi" w:hAnsiTheme="minorHAnsi"/>
          <w:sz w:val="24"/>
          <w:lang w:val="pl-PL"/>
        </w:rPr>
        <w:t xml:space="preserve">jedynie na elemencie przestępstwa z nienawiści związanego z atakiem na partnera skarżącej. Nie przeprowadziły </w:t>
      </w:r>
      <w:r w:rsidR="00F66CBC" w:rsidRPr="00ED0C6A">
        <w:rPr>
          <w:rFonts w:asciiTheme="minorHAnsi" w:hAnsiTheme="minorHAnsi"/>
          <w:sz w:val="24"/>
          <w:lang w:val="pl-PL"/>
        </w:rPr>
        <w:t xml:space="preserve">natomiast </w:t>
      </w:r>
      <w:r w:rsidRPr="00ED0C6A">
        <w:rPr>
          <w:rFonts w:asciiTheme="minorHAnsi" w:hAnsiTheme="minorHAnsi"/>
          <w:sz w:val="24"/>
          <w:lang w:val="pl-PL"/>
        </w:rPr>
        <w:t xml:space="preserve">całościowej oceny istotnych okoliczności </w:t>
      </w:r>
      <w:r w:rsidR="001E0088" w:rsidRPr="00ED0C6A">
        <w:rPr>
          <w:rFonts w:asciiTheme="minorHAnsi" w:hAnsiTheme="minorHAnsi"/>
          <w:sz w:val="24"/>
          <w:lang w:val="pl-PL"/>
        </w:rPr>
        <w:t xml:space="preserve">faktycznych </w:t>
      </w:r>
      <w:r w:rsidRPr="00ED0C6A">
        <w:rPr>
          <w:rFonts w:asciiTheme="minorHAnsi" w:hAnsiTheme="minorHAnsi"/>
          <w:sz w:val="24"/>
          <w:lang w:val="pl-PL"/>
        </w:rPr>
        <w:t>i związku zachodzącego między relacją skarżąc</w:t>
      </w:r>
      <w:r w:rsidR="001E0088" w:rsidRPr="00ED0C6A">
        <w:rPr>
          <w:rFonts w:asciiTheme="minorHAnsi" w:hAnsiTheme="minorHAnsi"/>
          <w:sz w:val="24"/>
          <w:lang w:val="pl-PL"/>
        </w:rPr>
        <w:t>ej z jej partnerem a rasistowskimi pobudkami</w:t>
      </w:r>
      <w:r w:rsidRPr="00ED0C6A">
        <w:rPr>
          <w:rFonts w:asciiTheme="minorHAnsi" w:hAnsiTheme="minorHAnsi"/>
          <w:sz w:val="24"/>
          <w:lang w:val="pl-PL"/>
        </w:rPr>
        <w:t xml:space="preserve"> ataku </w:t>
      </w:r>
      <w:r w:rsidR="001E0088" w:rsidRPr="00ED0C6A">
        <w:rPr>
          <w:rFonts w:asciiTheme="minorHAnsi" w:hAnsiTheme="minorHAnsi"/>
          <w:sz w:val="24"/>
          <w:lang w:val="pl-PL"/>
        </w:rPr>
        <w:t>skierowanego przeciwko nim</w:t>
      </w:r>
      <w:r w:rsidRPr="00ED0C6A">
        <w:rPr>
          <w:rFonts w:asciiTheme="minorHAnsi" w:hAnsiTheme="minorHAnsi"/>
          <w:sz w:val="24"/>
          <w:lang w:val="pl-PL"/>
        </w:rPr>
        <w:t xml:space="preserve">. </w:t>
      </w:r>
    </w:p>
    <w:p w:rsidR="00F66CBC" w:rsidRPr="00ED0C6A" w:rsidRDefault="00F66CBC" w:rsidP="008176C7">
      <w:pPr>
        <w:pStyle w:val="ClinContent"/>
        <w:spacing w:before="0"/>
        <w:rPr>
          <w:rFonts w:asciiTheme="minorHAnsi" w:hAnsiTheme="minorHAnsi"/>
          <w:sz w:val="24"/>
          <w:lang w:val="pl-PL"/>
        </w:rPr>
      </w:pPr>
    </w:p>
    <w:p w:rsidR="00031BA2" w:rsidRPr="00ED0C6A" w:rsidRDefault="00C32158" w:rsidP="008176C7">
      <w:pPr>
        <w:pStyle w:val="ClinContent"/>
        <w:spacing w:before="0"/>
        <w:rPr>
          <w:rFonts w:asciiTheme="minorHAnsi" w:hAnsiTheme="minorHAnsi"/>
          <w:sz w:val="24"/>
          <w:lang w:val="pl-PL"/>
        </w:rPr>
      </w:pPr>
      <w:r w:rsidRPr="00ED0C6A">
        <w:rPr>
          <w:rFonts w:asciiTheme="minorHAnsi" w:hAnsiTheme="minorHAnsi"/>
          <w:sz w:val="24"/>
          <w:lang w:val="pl-PL"/>
        </w:rPr>
        <w:t>W zawiadomieniu o przestępstwie skarżąca przedstaw</w:t>
      </w:r>
      <w:r w:rsidR="00732A5C" w:rsidRPr="00ED0C6A">
        <w:rPr>
          <w:rFonts w:asciiTheme="minorHAnsi" w:hAnsiTheme="minorHAnsi"/>
          <w:sz w:val="24"/>
          <w:lang w:val="pl-PL"/>
        </w:rPr>
        <w:t>iła konkretne zarzuty dotyczące</w:t>
      </w:r>
      <w:r w:rsidRPr="00ED0C6A">
        <w:rPr>
          <w:rFonts w:asciiTheme="minorHAnsi" w:hAnsiTheme="minorHAnsi"/>
          <w:sz w:val="24"/>
          <w:lang w:val="pl-PL"/>
        </w:rPr>
        <w:t xml:space="preserve"> rasistowskich pobudek przemocy wymierzonej w nią. </w:t>
      </w:r>
      <w:r w:rsidR="001E0088" w:rsidRPr="00ED0C6A">
        <w:rPr>
          <w:rFonts w:asciiTheme="minorHAnsi" w:hAnsiTheme="minorHAnsi"/>
          <w:sz w:val="24"/>
          <w:lang w:val="pl-PL"/>
        </w:rPr>
        <w:t>Organy ścigania uporczywie powoływały się na fakt, że skarżąca nie ma pochodzenia romskiego, i nie ustaliły, czy</w:t>
      </w:r>
      <w:r w:rsidR="003F5966">
        <w:rPr>
          <w:rFonts w:asciiTheme="minorHAnsi" w:hAnsiTheme="minorHAnsi"/>
          <w:sz w:val="24"/>
          <w:lang w:val="pl-PL"/>
        </w:rPr>
        <w:t> </w:t>
      </w:r>
      <w:r w:rsidR="001E0088" w:rsidRPr="00ED0C6A">
        <w:rPr>
          <w:rFonts w:asciiTheme="minorHAnsi" w:hAnsiTheme="minorHAnsi"/>
          <w:sz w:val="24"/>
          <w:lang w:val="pl-PL"/>
        </w:rPr>
        <w:t>była</w:t>
      </w:r>
      <w:r w:rsidR="003F5966">
        <w:rPr>
          <w:rFonts w:asciiTheme="minorHAnsi" w:hAnsiTheme="minorHAnsi"/>
          <w:sz w:val="24"/>
          <w:lang w:val="pl-PL"/>
        </w:rPr>
        <w:t> </w:t>
      </w:r>
      <w:r w:rsidR="001E0088" w:rsidRPr="00ED0C6A">
        <w:rPr>
          <w:rFonts w:asciiTheme="minorHAnsi" w:hAnsiTheme="minorHAnsi"/>
          <w:sz w:val="24"/>
          <w:lang w:val="pl-PL"/>
        </w:rPr>
        <w:t>ona postrzegana przez napastników jako osoba pochodzenia romskiego, a także zaniechały uwzględnienia oraz ustalenia związku między rasistowską motywacją ataku a</w:t>
      </w:r>
      <w:r w:rsidR="003F5966">
        <w:rPr>
          <w:rFonts w:asciiTheme="minorHAnsi" w:hAnsiTheme="minorHAnsi"/>
          <w:sz w:val="24"/>
          <w:lang w:val="pl-PL"/>
        </w:rPr>
        <w:t> </w:t>
      </w:r>
      <w:r w:rsidR="001E0088" w:rsidRPr="00ED0C6A">
        <w:rPr>
          <w:rFonts w:asciiTheme="minorHAnsi" w:hAnsiTheme="minorHAnsi"/>
          <w:sz w:val="24"/>
          <w:lang w:val="pl-PL"/>
        </w:rPr>
        <w:t>powiązaniem skarżącej z jej partnerem. Wskutek tego, organy ścigania niedostatecznie oceniły okoliczności sprawy.</w:t>
      </w:r>
    </w:p>
    <w:p w:rsidR="001E0088" w:rsidRPr="00ED0C6A" w:rsidRDefault="001E0088" w:rsidP="008176C7">
      <w:pPr>
        <w:pStyle w:val="ClinContent"/>
        <w:spacing w:before="0"/>
        <w:rPr>
          <w:rFonts w:asciiTheme="minorHAnsi" w:hAnsiTheme="minorHAnsi"/>
          <w:sz w:val="24"/>
          <w:lang w:val="pl-PL"/>
        </w:rPr>
      </w:pPr>
    </w:p>
    <w:p w:rsidR="00C32158" w:rsidRPr="00ED0C6A" w:rsidRDefault="00F66CBC"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uznał, że </w:t>
      </w:r>
      <w:r w:rsidR="001E0088" w:rsidRPr="00ED0C6A">
        <w:rPr>
          <w:rFonts w:asciiTheme="minorHAnsi" w:hAnsiTheme="minorHAnsi"/>
          <w:sz w:val="24"/>
          <w:lang w:val="pl-PL"/>
        </w:rPr>
        <w:t xml:space="preserve">do tego stopnia osłabiło </w:t>
      </w:r>
      <w:r w:rsidR="00C32158" w:rsidRPr="00ED0C6A">
        <w:rPr>
          <w:rFonts w:asciiTheme="minorHAnsi" w:hAnsiTheme="minorHAnsi"/>
          <w:sz w:val="24"/>
          <w:lang w:val="pl-PL"/>
        </w:rPr>
        <w:t>to adekwatność reakcji władz krajowych w</w:t>
      </w:r>
      <w:r w:rsidR="003F5966">
        <w:rPr>
          <w:rFonts w:asciiTheme="minorHAnsi" w:hAnsiTheme="minorHAnsi"/>
          <w:sz w:val="24"/>
          <w:lang w:val="pl-PL"/>
        </w:rPr>
        <w:t> </w:t>
      </w:r>
      <w:r w:rsidR="00C32158" w:rsidRPr="00ED0C6A">
        <w:rPr>
          <w:rFonts w:asciiTheme="minorHAnsi" w:hAnsiTheme="minorHAnsi"/>
          <w:sz w:val="24"/>
          <w:lang w:val="pl-PL"/>
        </w:rPr>
        <w:t xml:space="preserve">wymiarze proceduralnym na zarzuty skarżącej dotyczące wymierzonego w nią aktu przemocy z pobudek rasistowskich, że </w:t>
      </w:r>
      <w:r w:rsidR="001E0088" w:rsidRPr="00ED0C6A">
        <w:rPr>
          <w:rFonts w:asciiTheme="minorHAnsi" w:hAnsiTheme="minorHAnsi"/>
          <w:sz w:val="24"/>
          <w:lang w:val="pl-PL"/>
        </w:rPr>
        <w:t xml:space="preserve">władze nie wywiązały się </w:t>
      </w:r>
      <w:r w:rsidR="003F06DA">
        <w:rPr>
          <w:rFonts w:asciiTheme="minorHAnsi" w:hAnsiTheme="minorHAnsi"/>
          <w:sz w:val="24"/>
          <w:lang w:val="pl-PL"/>
        </w:rPr>
        <w:t xml:space="preserve">one </w:t>
      </w:r>
      <w:r w:rsidR="001E0088" w:rsidRPr="00ED0C6A">
        <w:rPr>
          <w:rFonts w:asciiTheme="minorHAnsi" w:hAnsiTheme="minorHAnsi"/>
          <w:sz w:val="24"/>
          <w:lang w:val="pl-PL"/>
        </w:rPr>
        <w:t>z obowiązku</w:t>
      </w:r>
      <w:r w:rsidR="00C32158" w:rsidRPr="00ED0C6A">
        <w:rPr>
          <w:rFonts w:asciiTheme="minorHAnsi" w:hAnsiTheme="minorHAnsi"/>
          <w:sz w:val="24"/>
          <w:lang w:val="pl-PL"/>
        </w:rPr>
        <w:t xml:space="preserve"> podjęcia wszelkich uzasadnionych kroków, by ujawnić, jaką rolę mogły odgrywać </w:t>
      </w:r>
      <w:r w:rsidR="001E0088" w:rsidRPr="00ED0C6A">
        <w:rPr>
          <w:rFonts w:asciiTheme="minorHAnsi" w:hAnsiTheme="minorHAnsi"/>
          <w:sz w:val="24"/>
          <w:lang w:val="pl-PL"/>
        </w:rPr>
        <w:t xml:space="preserve">w tej sprawie </w:t>
      </w:r>
      <w:r w:rsidR="00C32158" w:rsidRPr="00ED0C6A">
        <w:rPr>
          <w:rFonts w:asciiTheme="minorHAnsi" w:hAnsiTheme="minorHAnsi"/>
          <w:sz w:val="24"/>
          <w:lang w:val="pl-PL"/>
        </w:rPr>
        <w:t>pobudki rasistowskie.</w:t>
      </w:r>
    </w:p>
    <w:p w:rsidR="00F66CBC" w:rsidRPr="00ED0C6A" w:rsidRDefault="00F66CBC" w:rsidP="008176C7">
      <w:pPr>
        <w:pStyle w:val="ClinContent"/>
        <w:spacing w:before="0"/>
        <w:rPr>
          <w:rFonts w:asciiTheme="minorHAnsi" w:hAnsiTheme="minorHAnsi"/>
          <w:i/>
          <w:sz w:val="24"/>
          <w:lang w:val="pl-PL"/>
        </w:rPr>
      </w:pPr>
    </w:p>
    <w:p w:rsidR="00551F6B" w:rsidRPr="00ED0C6A" w:rsidRDefault="00EE61EE" w:rsidP="008176C7">
      <w:pPr>
        <w:pStyle w:val="ClinContent"/>
        <w:spacing w:before="0"/>
        <w:rPr>
          <w:rFonts w:asciiTheme="minorHAnsi" w:hAnsiTheme="minorHAnsi"/>
          <w:sz w:val="24"/>
          <w:lang w:val="pl-PL"/>
        </w:rPr>
      </w:pPr>
      <w:r w:rsidRPr="00ED0C6A">
        <w:rPr>
          <w:rFonts w:asciiTheme="minorHAnsi" w:hAnsiTheme="minorHAnsi"/>
          <w:sz w:val="24"/>
          <w:lang w:val="pl-PL"/>
        </w:rPr>
        <w:t>Trybunał zatem jednomyślnie stwierdził, że doszło do naruszenia art. 3 Konwencji (zakaz</w:t>
      </w:r>
      <w:r w:rsidR="003F5966">
        <w:rPr>
          <w:rFonts w:asciiTheme="minorHAnsi" w:hAnsiTheme="minorHAnsi"/>
          <w:sz w:val="24"/>
          <w:lang w:val="pl-PL"/>
        </w:rPr>
        <w:t> </w:t>
      </w:r>
      <w:r w:rsidRPr="00ED0C6A">
        <w:rPr>
          <w:rFonts w:asciiTheme="minorHAnsi" w:hAnsiTheme="minorHAnsi"/>
          <w:sz w:val="24"/>
          <w:lang w:val="pl-PL"/>
        </w:rPr>
        <w:t>tortur oraz nieludzkiego lub poniżającego traktowania albo karania) rozpatrywanego w związku z art. 14 Konwencji zakazującym dyskryminacji z powodu braku wypełnienia przez</w:t>
      </w:r>
      <w:r w:rsidR="003F5966">
        <w:rPr>
          <w:rFonts w:asciiTheme="minorHAnsi" w:hAnsiTheme="minorHAnsi"/>
          <w:sz w:val="24"/>
          <w:lang w:val="pl-PL"/>
        </w:rPr>
        <w:t> </w:t>
      </w:r>
      <w:r w:rsidR="00721A8D" w:rsidRPr="00ED0C6A">
        <w:rPr>
          <w:rFonts w:asciiTheme="minorHAnsi" w:hAnsiTheme="minorHAnsi"/>
          <w:sz w:val="24"/>
          <w:lang w:val="pl-PL"/>
        </w:rPr>
        <w:t xml:space="preserve">Państwa </w:t>
      </w:r>
      <w:r w:rsidRPr="00ED0C6A">
        <w:rPr>
          <w:rFonts w:asciiTheme="minorHAnsi" w:hAnsiTheme="minorHAnsi"/>
          <w:sz w:val="24"/>
          <w:lang w:val="pl-PL"/>
        </w:rPr>
        <w:t>swych obowiązków proceduralnych dotyczących zbadania aktu przemocy o</w:t>
      </w:r>
      <w:r w:rsidR="00F94CD0">
        <w:rPr>
          <w:rFonts w:asciiTheme="minorHAnsi" w:hAnsiTheme="minorHAnsi"/>
          <w:sz w:val="24"/>
          <w:lang w:val="pl-PL"/>
        </w:rPr>
        <w:t> </w:t>
      </w:r>
      <w:r w:rsidRPr="00ED0C6A">
        <w:rPr>
          <w:rFonts w:asciiTheme="minorHAnsi" w:hAnsiTheme="minorHAnsi"/>
          <w:sz w:val="24"/>
          <w:lang w:val="pl-PL"/>
        </w:rPr>
        <w:t xml:space="preserve">podłożu rasistowskim. Przyznał skarżącej </w:t>
      </w:r>
      <w:r w:rsidR="00C32158" w:rsidRPr="00ED0C6A">
        <w:rPr>
          <w:rFonts w:asciiTheme="minorHAnsi" w:hAnsiTheme="minorHAnsi"/>
          <w:sz w:val="24"/>
          <w:lang w:val="pl-PL"/>
        </w:rPr>
        <w:t>12 500 EUR tytułem szkody niemajątkowej</w:t>
      </w:r>
      <w:r w:rsidR="00551F6B" w:rsidRPr="00ED0C6A">
        <w:rPr>
          <w:rFonts w:asciiTheme="minorHAnsi" w:hAnsiTheme="minorHAnsi"/>
          <w:sz w:val="24"/>
          <w:lang w:val="pl-PL"/>
        </w:rPr>
        <w:t>.</w:t>
      </w:r>
    </w:p>
    <w:p w:rsidR="00551F6B" w:rsidRPr="00ED0C6A" w:rsidRDefault="00551F6B" w:rsidP="008176C7">
      <w:pPr>
        <w:pStyle w:val="ClinContent"/>
        <w:spacing w:before="0"/>
        <w:rPr>
          <w:rFonts w:asciiTheme="minorHAnsi" w:hAnsiTheme="minorHAnsi"/>
          <w:sz w:val="24"/>
          <w:lang w:val="pl-PL"/>
        </w:rPr>
      </w:pPr>
    </w:p>
    <w:p w:rsidR="00C32158" w:rsidRPr="00ED0C6A" w:rsidRDefault="00551F6B" w:rsidP="008176C7">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Style w:val="Odwoanieprzypisudolnego"/>
          <w:rFonts w:asciiTheme="minorHAnsi" w:eastAsiaTheme="majorEastAsia" w:hAnsiTheme="minorHAnsi"/>
          <w:sz w:val="24"/>
          <w:vertAlign w:val="baseline"/>
          <w:lang w:val="pl-PL"/>
        </w:rPr>
        <w:t xml:space="preserve"> – kolejny </w:t>
      </w:r>
      <w:r w:rsidRPr="00ED0C6A">
        <w:rPr>
          <w:rFonts w:asciiTheme="minorHAnsi" w:eastAsiaTheme="majorEastAsia" w:hAnsiTheme="minorHAnsi"/>
          <w:sz w:val="24"/>
          <w:lang w:val="pl-PL"/>
        </w:rPr>
        <w:t>istotny przykład rozwijającego się orzecznictwa Trybunału dotyczącego obowiązk</w:t>
      </w:r>
      <w:r w:rsidR="00D83C1A" w:rsidRPr="00ED0C6A">
        <w:rPr>
          <w:rFonts w:asciiTheme="minorHAnsi" w:eastAsiaTheme="majorEastAsia" w:hAnsiTheme="minorHAnsi"/>
          <w:sz w:val="24"/>
          <w:lang w:val="pl-PL"/>
        </w:rPr>
        <w:t>u</w:t>
      </w:r>
      <w:r w:rsidRPr="00ED0C6A">
        <w:rPr>
          <w:rFonts w:asciiTheme="minorHAnsi" w:eastAsiaTheme="majorEastAsia" w:hAnsiTheme="minorHAnsi"/>
          <w:sz w:val="24"/>
          <w:lang w:val="pl-PL"/>
        </w:rPr>
        <w:t xml:space="preserve"> reakcji </w:t>
      </w:r>
      <w:r w:rsidR="00721A8D" w:rsidRPr="00ED0C6A">
        <w:rPr>
          <w:rFonts w:asciiTheme="minorHAnsi" w:eastAsiaTheme="majorEastAsia" w:hAnsiTheme="minorHAnsi"/>
          <w:sz w:val="24"/>
          <w:lang w:val="pl-PL"/>
        </w:rPr>
        <w:t xml:space="preserve">Państwa </w:t>
      </w:r>
      <w:r w:rsidRPr="00ED0C6A">
        <w:rPr>
          <w:rFonts w:asciiTheme="minorHAnsi" w:eastAsiaTheme="majorEastAsia" w:hAnsiTheme="minorHAnsi"/>
          <w:sz w:val="24"/>
          <w:lang w:val="pl-PL"/>
        </w:rPr>
        <w:t>na gruncie art. 3</w:t>
      </w:r>
      <w:r w:rsidR="00EE3168" w:rsidRPr="00ED0C6A">
        <w:rPr>
          <w:rFonts w:asciiTheme="minorHAnsi" w:eastAsiaTheme="majorEastAsia" w:hAnsiTheme="minorHAnsi"/>
          <w:sz w:val="24"/>
          <w:lang w:val="pl-PL"/>
        </w:rPr>
        <w:t xml:space="preserve"> </w:t>
      </w:r>
      <w:r w:rsidR="0067629B" w:rsidRPr="00ED0C6A">
        <w:rPr>
          <w:rFonts w:asciiTheme="minorHAnsi" w:eastAsiaTheme="majorEastAsia" w:hAnsiTheme="minorHAnsi"/>
          <w:sz w:val="24"/>
          <w:lang w:val="pl-PL"/>
        </w:rPr>
        <w:t xml:space="preserve">Konwencji </w:t>
      </w:r>
      <w:r w:rsidR="00EE3168" w:rsidRPr="00ED0C6A">
        <w:rPr>
          <w:rFonts w:asciiTheme="minorHAnsi" w:eastAsiaTheme="majorEastAsia" w:hAnsiTheme="minorHAnsi"/>
          <w:sz w:val="24"/>
          <w:lang w:val="pl-PL"/>
        </w:rPr>
        <w:t>(zakaz tortur oraz nieludzkiego lub poniżającego traktowania albo karania)</w:t>
      </w:r>
      <w:r w:rsidRPr="00ED0C6A">
        <w:rPr>
          <w:rFonts w:asciiTheme="minorHAnsi" w:eastAsiaTheme="majorEastAsia" w:hAnsiTheme="minorHAnsi"/>
          <w:sz w:val="24"/>
          <w:lang w:val="pl-PL"/>
        </w:rPr>
        <w:t xml:space="preserve"> na przypadki przestępstw z</w:t>
      </w:r>
      <w:r w:rsidR="003F5966">
        <w:rPr>
          <w:rFonts w:asciiTheme="minorHAnsi" w:eastAsiaTheme="majorEastAsia" w:hAnsiTheme="minorHAnsi"/>
          <w:sz w:val="24"/>
          <w:lang w:val="pl-PL"/>
        </w:rPr>
        <w:t> </w:t>
      </w:r>
      <w:r w:rsidRPr="00ED0C6A">
        <w:rPr>
          <w:rFonts w:asciiTheme="minorHAnsi" w:eastAsiaTheme="majorEastAsia" w:hAnsiTheme="minorHAnsi"/>
          <w:sz w:val="24"/>
          <w:lang w:val="pl-PL"/>
        </w:rPr>
        <w:t>nienawiści – w tym przypadku przemocy o charakterze rasistowskim</w:t>
      </w:r>
      <w:r w:rsidR="000001C4" w:rsidRPr="00ED0C6A">
        <w:rPr>
          <w:rStyle w:val="Odwoanieprzypisudolnego"/>
          <w:rFonts w:asciiTheme="minorHAnsi" w:eastAsiaTheme="majorEastAsia" w:hAnsiTheme="minorHAnsi"/>
          <w:sz w:val="24"/>
          <w:lang w:val="pl-PL"/>
        </w:rPr>
        <w:footnoteReference w:id="32"/>
      </w:r>
      <w:r w:rsidR="00C32158" w:rsidRPr="00ED0C6A">
        <w:rPr>
          <w:rFonts w:asciiTheme="minorHAnsi" w:hAnsiTheme="minorHAnsi"/>
          <w:sz w:val="24"/>
          <w:lang w:val="pl-PL"/>
        </w:rPr>
        <w:t>.</w:t>
      </w:r>
      <w:r w:rsidRPr="00ED0C6A">
        <w:rPr>
          <w:rFonts w:asciiTheme="minorHAnsi" w:hAnsiTheme="minorHAnsi"/>
          <w:sz w:val="24"/>
          <w:lang w:val="pl-PL"/>
        </w:rPr>
        <w:t xml:space="preserve"> Trybunał już</w:t>
      </w:r>
      <w:r w:rsidR="00F94CD0">
        <w:rPr>
          <w:rFonts w:asciiTheme="minorHAnsi" w:hAnsiTheme="minorHAnsi"/>
          <w:sz w:val="24"/>
          <w:lang w:val="pl-PL"/>
        </w:rPr>
        <w:t> </w:t>
      </w:r>
      <w:r w:rsidRPr="00ED0C6A">
        <w:rPr>
          <w:rFonts w:asciiTheme="minorHAnsi" w:hAnsiTheme="minorHAnsi"/>
          <w:sz w:val="24"/>
          <w:lang w:val="pl-PL"/>
        </w:rPr>
        <w:t xml:space="preserve">wcześniej wskazał na obowiązek </w:t>
      </w:r>
      <w:r w:rsidR="00721A8D" w:rsidRPr="00ED0C6A">
        <w:rPr>
          <w:rFonts w:asciiTheme="minorHAnsi" w:hAnsiTheme="minorHAnsi"/>
          <w:sz w:val="24"/>
          <w:lang w:val="pl-PL"/>
        </w:rPr>
        <w:t xml:space="preserve">Państw </w:t>
      </w:r>
      <w:r w:rsidRPr="00ED0C6A">
        <w:rPr>
          <w:rFonts w:asciiTheme="minorHAnsi" w:hAnsiTheme="minorHAnsi"/>
          <w:sz w:val="24"/>
          <w:lang w:val="pl-PL"/>
        </w:rPr>
        <w:t>przeprowadzenia skutecznego śledztwa i</w:t>
      </w:r>
      <w:r w:rsidR="003F5966">
        <w:rPr>
          <w:rFonts w:asciiTheme="minorHAnsi" w:hAnsiTheme="minorHAnsi"/>
          <w:sz w:val="24"/>
          <w:lang w:val="pl-PL"/>
        </w:rPr>
        <w:t> </w:t>
      </w:r>
      <w:r w:rsidRPr="00ED0C6A">
        <w:rPr>
          <w:rFonts w:asciiTheme="minorHAnsi" w:hAnsiTheme="minorHAnsi"/>
          <w:sz w:val="24"/>
          <w:lang w:val="pl-PL"/>
        </w:rPr>
        <w:t>postępowania sądowego, obejmując</w:t>
      </w:r>
      <w:r w:rsidR="0067629B" w:rsidRPr="00ED0C6A">
        <w:rPr>
          <w:rFonts w:asciiTheme="minorHAnsi" w:hAnsiTheme="minorHAnsi"/>
          <w:sz w:val="24"/>
          <w:lang w:val="pl-PL"/>
        </w:rPr>
        <w:t>y</w:t>
      </w:r>
      <w:r w:rsidRPr="00ED0C6A">
        <w:rPr>
          <w:rFonts w:asciiTheme="minorHAnsi" w:hAnsiTheme="minorHAnsi"/>
          <w:sz w:val="24"/>
          <w:lang w:val="pl-PL"/>
        </w:rPr>
        <w:t xml:space="preserve"> wymóg zidentyfikowania </w:t>
      </w:r>
      <w:r w:rsidR="00EE3168" w:rsidRPr="00ED0C6A">
        <w:rPr>
          <w:rFonts w:asciiTheme="minorHAnsi" w:hAnsiTheme="minorHAnsi"/>
          <w:sz w:val="24"/>
          <w:lang w:val="pl-PL"/>
        </w:rPr>
        <w:t xml:space="preserve">także </w:t>
      </w:r>
      <w:r w:rsidRPr="00ED0C6A">
        <w:rPr>
          <w:rFonts w:asciiTheme="minorHAnsi" w:hAnsiTheme="minorHAnsi"/>
          <w:sz w:val="24"/>
          <w:lang w:val="pl-PL"/>
        </w:rPr>
        <w:t xml:space="preserve">motywacji rasistowskiej sprawców. Obecnie Trybunał wskazał, że obowiązek taki ma zastosowanie także w przypadkach mających charakter dyskryminacji rasowej przez asocjację i </w:t>
      </w:r>
      <w:r w:rsidR="00EE3168" w:rsidRPr="00ED0C6A">
        <w:rPr>
          <w:rFonts w:asciiTheme="minorHAnsi" w:hAnsiTheme="minorHAnsi"/>
          <w:sz w:val="24"/>
          <w:lang w:val="pl-PL"/>
        </w:rPr>
        <w:t xml:space="preserve">powiązanie </w:t>
      </w:r>
      <w:r w:rsidRPr="00ED0C6A">
        <w:rPr>
          <w:rFonts w:asciiTheme="minorHAnsi" w:hAnsiTheme="minorHAnsi"/>
          <w:sz w:val="24"/>
          <w:lang w:val="pl-PL"/>
        </w:rPr>
        <w:t>danej osoby z inną osobą</w:t>
      </w:r>
      <w:r w:rsidR="00145374" w:rsidRPr="00ED0C6A">
        <w:rPr>
          <w:rFonts w:asciiTheme="minorHAnsi" w:hAnsiTheme="minorHAnsi"/>
          <w:sz w:val="24"/>
          <w:lang w:val="pl-PL"/>
        </w:rPr>
        <w:t>.</w:t>
      </w:r>
      <w:r w:rsidRPr="00ED0C6A">
        <w:rPr>
          <w:rFonts w:asciiTheme="minorHAnsi" w:hAnsiTheme="minorHAnsi"/>
          <w:sz w:val="24"/>
          <w:lang w:val="pl-PL"/>
        </w:rPr>
        <w:t xml:space="preserve"> </w:t>
      </w:r>
      <w:r w:rsidR="00145374" w:rsidRPr="00ED0C6A">
        <w:rPr>
          <w:rFonts w:asciiTheme="minorHAnsi" w:hAnsiTheme="minorHAnsi"/>
          <w:sz w:val="24"/>
          <w:lang w:val="pl-PL"/>
        </w:rPr>
        <w:t>W</w:t>
      </w:r>
      <w:r w:rsidRPr="00ED0C6A">
        <w:rPr>
          <w:rFonts w:asciiTheme="minorHAnsi" w:hAnsiTheme="minorHAnsi"/>
          <w:sz w:val="24"/>
          <w:lang w:val="pl-PL"/>
        </w:rPr>
        <w:t xml:space="preserve"> tym przypadku </w:t>
      </w:r>
      <w:r w:rsidR="00145374" w:rsidRPr="00ED0C6A">
        <w:rPr>
          <w:rFonts w:asciiTheme="minorHAnsi" w:hAnsiTheme="minorHAnsi"/>
          <w:sz w:val="24"/>
          <w:lang w:val="pl-PL"/>
        </w:rPr>
        <w:t xml:space="preserve">Trybunał zastosował wymóg skutecznego śledztwa i zbadania pobudek działania sprawcy </w:t>
      </w:r>
      <w:r w:rsidRPr="00ED0C6A">
        <w:rPr>
          <w:rFonts w:asciiTheme="minorHAnsi" w:hAnsiTheme="minorHAnsi"/>
          <w:sz w:val="24"/>
          <w:lang w:val="pl-PL"/>
        </w:rPr>
        <w:t>akt</w:t>
      </w:r>
      <w:r w:rsidR="00145374" w:rsidRPr="00ED0C6A">
        <w:rPr>
          <w:rFonts w:asciiTheme="minorHAnsi" w:hAnsiTheme="minorHAnsi"/>
          <w:sz w:val="24"/>
          <w:lang w:val="pl-PL"/>
        </w:rPr>
        <w:t>u</w:t>
      </w:r>
      <w:r w:rsidRPr="00ED0C6A">
        <w:rPr>
          <w:rFonts w:asciiTheme="minorHAnsi" w:hAnsiTheme="minorHAnsi"/>
          <w:sz w:val="24"/>
          <w:lang w:val="pl-PL"/>
        </w:rPr>
        <w:t xml:space="preserve"> przemocy wobec osoby z uwagi na</w:t>
      </w:r>
      <w:r w:rsidR="003F5966">
        <w:rPr>
          <w:rFonts w:asciiTheme="minorHAnsi" w:hAnsiTheme="minorHAnsi"/>
          <w:sz w:val="24"/>
          <w:lang w:val="pl-PL"/>
        </w:rPr>
        <w:t> </w:t>
      </w:r>
      <w:r w:rsidR="00356664" w:rsidRPr="00ED0C6A">
        <w:rPr>
          <w:rFonts w:asciiTheme="minorHAnsi" w:hAnsiTheme="minorHAnsi"/>
          <w:sz w:val="24"/>
          <w:lang w:val="pl-PL"/>
        </w:rPr>
        <w:t>jej</w:t>
      </w:r>
      <w:r w:rsidR="003F5966">
        <w:rPr>
          <w:rFonts w:asciiTheme="minorHAnsi" w:hAnsiTheme="minorHAnsi"/>
          <w:sz w:val="24"/>
          <w:lang w:val="pl-PL"/>
        </w:rPr>
        <w:t> </w:t>
      </w:r>
      <w:r w:rsidRPr="00ED0C6A">
        <w:rPr>
          <w:rFonts w:asciiTheme="minorHAnsi" w:hAnsiTheme="minorHAnsi"/>
          <w:sz w:val="24"/>
          <w:lang w:val="pl-PL"/>
        </w:rPr>
        <w:t>związek z osobą na</w:t>
      </w:r>
      <w:r w:rsidR="00356664" w:rsidRPr="00ED0C6A">
        <w:rPr>
          <w:rFonts w:asciiTheme="minorHAnsi" w:hAnsiTheme="minorHAnsi"/>
          <w:sz w:val="24"/>
          <w:lang w:val="pl-PL"/>
        </w:rPr>
        <w:t xml:space="preserve">leżącą do mniejszości etnicznej. </w:t>
      </w:r>
    </w:p>
    <w:p w:rsidR="00797DBE" w:rsidRPr="00ED0C6A" w:rsidRDefault="00797DBE" w:rsidP="00797DBE">
      <w:pPr>
        <w:pStyle w:val="ClinContent"/>
        <w:spacing w:before="0"/>
        <w:rPr>
          <w:rFonts w:asciiTheme="minorHAnsi" w:hAnsiTheme="minorHAnsi"/>
          <w:sz w:val="24"/>
          <w:lang w:val="pl-PL"/>
        </w:rPr>
      </w:pPr>
    </w:p>
    <w:p w:rsidR="00846D69" w:rsidRPr="00ED0C6A" w:rsidRDefault="00797DBE" w:rsidP="00797DBE">
      <w:pPr>
        <w:pStyle w:val="ClinContent"/>
        <w:spacing w:before="0"/>
        <w:rPr>
          <w:rFonts w:asciiTheme="minorHAnsi" w:hAnsiTheme="minorHAnsi"/>
          <w:sz w:val="24"/>
          <w:lang w:val="pl-PL"/>
        </w:rPr>
      </w:pPr>
      <w:r w:rsidRPr="00ED0C6A">
        <w:rPr>
          <w:rFonts w:asciiTheme="minorHAnsi" w:hAnsiTheme="minorHAnsi"/>
          <w:sz w:val="24"/>
          <w:lang w:val="pl-PL"/>
        </w:rPr>
        <w:t xml:space="preserve">Wyrok może mieć znaczenie </w:t>
      </w:r>
      <w:r w:rsidR="00D83C1A" w:rsidRPr="00ED0C6A">
        <w:rPr>
          <w:rFonts w:asciiTheme="minorHAnsi" w:hAnsiTheme="minorHAnsi"/>
          <w:sz w:val="24"/>
          <w:lang w:val="pl-PL"/>
        </w:rPr>
        <w:t xml:space="preserve">zwłaszcza </w:t>
      </w:r>
      <w:r w:rsidRPr="00ED0C6A">
        <w:rPr>
          <w:rFonts w:asciiTheme="minorHAnsi" w:hAnsiTheme="minorHAnsi"/>
          <w:sz w:val="24"/>
          <w:lang w:val="pl-PL"/>
        </w:rPr>
        <w:t xml:space="preserve">dla policji, prokuratury i sądów, </w:t>
      </w:r>
      <w:r w:rsidR="009805D8" w:rsidRPr="00ED0C6A">
        <w:rPr>
          <w:rFonts w:asciiTheme="minorHAnsi" w:hAnsiTheme="minorHAnsi"/>
          <w:sz w:val="24"/>
          <w:lang w:val="pl-PL"/>
        </w:rPr>
        <w:t xml:space="preserve">organów właściwych ds. zapobiegania dyskryminacji rasowej, </w:t>
      </w:r>
      <w:r w:rsidRPr="00ED0C6A">
        <w:rPr>
          <w:rFonts w:asciiTheme="minorHAnsi" w:hAnsiTheme="minorHAnsi"/>
          <w:sz w:val="24"/>
          <w:lang w:val="pl-PL"/>
        </w:rPr>
        <w:t>a także dla organów właściwych ds. uregulowań prawnych i kontroli prawa dotyczącego</w:t>
      </w:r>
      <w:r w:rsidR="0067629B" w:rsidRPr="00ED0C6A">
        <w:rPr>
          <w:rFonts w:asciiTheme="minorHAnsi" w:hAnsiTheme="minorHAnsi"/>
          <w:sz w:val="24"/>
          <w:lang w:val="pl-PL"/>
        </w:rPr>
        <w:t xml:space="preserve"> </w:t>
      </w:r>
      <w:r w:rsidRPr="00ED0C6A">
        <w:rPr>
          <w:rFonts w:asciiTheme="minorHAnsi" w:hAnsiTheme="minorHAnsi"/>
          <w:sz w:val="24"/>
          <w:lang w:val="pl-PL"/>
        </w:rPr>
        <w:t xml:space="preserve">przestępstw z nienawiści. </w:t>
      </w:r>
    </w:p>
    <w:p w:rsidR="00043569" w:rsidRPr="00ED0C6A" w:rsidRDefault="00043569" w:rsidP="009333A7">
      <w:pPr>
        <w:pStyle w:val="Nagwek2"/>
        <w:spacing w:before="480"/>
        <w:rPr>
          <w:rFonts w:asciiTheme="minorHAnsi" w:hAnsiTheme="minorHAnsi"/>
          <w:color w:val="auto"/>
          <w:sz w:val="24"/>
          <w:szCs w:val="24"/>
        </w:rPr>
      </w:pPr>
      <w:bookmarkStart w:id="28" w:name="_Toc524696744"/>
      <w:proofErr w:type="spellStart"/>
      <w:r w:rsidRPr="00ED0C6A">
        <w:rPr>
          <w:rFonts w:asciiTheme="minorHAnsi" w:hAnsiTheme="minorHAnsi"/>
          <w:color w:val="auto"/>
          <w:sz w:val="24"/>
          <w:szCs w:val="24"/>
        </w:rPr>
        <w:t>Tagayeva</w:t>
      </w:r>
      <w:proofErr w:type="spellEnd"/>
      <w:r w:rsidRPr="00ED0C6A">
        <w:rPr>
          <w:rFonts w:asciiTheme="minorHAnsi" w:hAnsiTheme="minorHAnsi"/>
          <w:color w:val="auto"/>
          <w:sz w:val="24"/>
          <w:szCs w:val="24"/>
        </w:rPr>
        <w:t xml:space="preserve"> i Inni p. Rosji</w:t>
      </w:r>
      <w:r w:rsidR="00B05313" w:rsidRPr="00ED0C6A">
        <w:rPr>
          <w:rFonts w:asciiTheme="minorHAnsi" w:hAnsiTheme="minorHAnsi"/>
          <w:color w:val="auto"/>
          <w:sz w:val="24"/>
          <w:szCs w:val="24"/>
        </w:rPr>
        <w:t>, skargi nr</w:t>
      </w:r>
      <w:r w:rsidRPr="00ED0C6A">
        <w:rPr>
          <w:rFonts w:asciiTheme="minorHAnsi" w:hAnsiTheme="minorHAnsi"/>
          <w:color w:val="auto"/>
          <w:sz w:val="24"/>
          <w:szCs w:val="24"/>
        </w:rPr>
        <w:t xml:space="preserve"> 26562/07, 14755/08, 49339/08 </w:t>
      </w:r>
      <w:r w:rsidR="00094458" w:rsidRPr="00ED0C6A">
        <w:rPr>
          <w:rFonts w:asciiTheme="minorHAnsi" w:hAnsiTheme="minorHAnsi"/>
          <w:color w:val="auto"/>
          <w:sz w:val="24"/>
          <w:szCs w:val="24"/>
        </w:rPr>
        <w:t>i in.</w:t>
      </w:r>
      <w:r w:rsidR="004A22AD" w:rsidRPr="00ED0C6A">
        <w:rPr>
          <w:rFonts w:asciiTheme="minorHAnsi" w:hAnsiTheme="minorHAnsi"/>
          <w:color w:val="auto"/>
          <w:sz w:val="24"/>
          <w:szCs w:val="24"/>
        </w:rPr>
        <w:t>, w</w:t>
      </w:r>
      <w:r w:rsidRPr="00ED0C6A">
        <w:rPr>
          <w:rFonts w:asciiTheme="minorHAnsi" w:hAnsiTheme="minorHAnsi"/>
          <w:color w:val="auto"/>
          <w:sz w:val="24"/>
          <w:szCs w:val="24"/>
        </w:rPr>
        <w:t xml:space="preserve">yrok </w:t>
      </w:r>
      <w:r w:rsidR="004D5032" w:rsidRPr="00ED0C6A">
        <w:rPr>
          <w:rFonts w:asciiTheme="minorHAnsi" w:hAnsiTheme="minorHAnsi"/>
          <w:color w:val="auto"/>
          <w:sz w:val="24"/>
          <w:szCs w:val="24"/>
        </w:rPr>
        <w:t xml:space="preserve">Izby </w:t>
      </w:r>
      <w:r w:rsidRPr="00ED0C6A">
        <w:rPr>
          <w:rFonts w:asciiTheme="minorHAnsi" w:hAnsiTheme="minorHAnsi"/>
          <w:color w:val="auto"/>
          <w:sz w:val="24"/>
          <w:szCs w:val="24"/>
        </w:rPr>
        <w:t>z</w:t>
      </w:r>
      <w:r w:rsidR="003F5966">
        <w:rPr>
          <w:rFonts w:asciiTheme="minorHAnsi" w:hAnsiTheme="minorHAnsi"/>
          <w:color w:val="auto"/>
          <w:sz w:val="24"/>
          <w:szCs w:val="24"/>
        </w:rPr>
        <w:t> </w:t>
      </w:r>
      <w:r w:rsidRPr="00ED0C6A">
        <w:rPr>
          <w:rFonts w:asciiTheme="minorHAnsi" w:hAnsiTheme="minorHAnsi"/>
          <w:color w:val="auto"/>
          <w:sz w:val="24"/>
          <w:szCs w:val="24"/>
        </w:rPr>
        <w:t>13</w:t>
      </w:r>
      <w:r w:rsidR="003F5966">
        <w:rPr>
          <w:rFonts w:asciiTheme="minorHAnsi" w:hAnsiTheme="minorHAnsi"/>
          <w:color w:val="auto"/>
          <w:sz w:val="24"/>
          <w:szCs w:val="24"/>
        </w:rPr>
        <w:t> </w:t>
      </w:r>
      <w:r w:rsidR="00B4260D" w:rsidRPr="00ED0C6A">
        <w:rPr>
          <w:rFonts w:asciiTheme="minorHAnsi" w:hAnsiTheme="minorHAnsi"/>
          <w:color w:val="auto"/>
          <w:sz w:val="24"/>
          <w:szCs w:val="24"/>
        </w:rPr>
        <w:t xml:space="preserve">kwietnia </w:t>
      </w:r>
      <w:r w:rsidRPr="00ED0C6A">
        <w:rPr>
          <w:rFonts w:asciiTheme="minorHAnsi" w:hAnsiTheme="minorHAnsi"/>
          <w:color w:val="auto"/>
          <w:sz w:val="24"/>
          <w:szCs w:val="24"/>
        </w:rPr>
        <w:t>2017 r.</w:t>
      </w:r>
      <w:r w:rsidR="00586E7E" w:rsidRPr="00ED0C6A">
        <w:rPr>
          <w:rFonts w:asciiTheme="minorHAnsi" w:hAnsiTheme="minorHAnsi"/>
          <w:color w:val="auto"/>
          <w:sz w:val="24"/>
          <w:szCs w:val="24"/>
        </w:rPr>
        <w:t>, ostateczny</w:t>
      </w:r>
      <w:bookmarkEnd w:id="28"/>
    </w:p>
    <w:p w:rsidR="00043569" w:rsidRPr="00ED0C6A" w:rsidRDefault="00406216" w:rsidP="005C274B">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n</w:t>
      </w:r>
      <w:r w:rsidR="00043569" w:rsidRPr="00ED0C6A">
        <w:rPr>
          <w:b/>
          <w:color w:val="000000" w:themeColor="text1"/>
          <w:sz w:val="24"/>
          <w:szCs w:val="24"/>
          <w:lang w:val="pl-PL"/>
        </w:rPr>
        <w:t>aruszenie obowiązków Państwa podczas kryzysowej sytuacji związanej z wzięciem za</w:t>
      </w:r>
      <w:r w:rsidR="0012030F" w:rsidRPr="00ED0C6A">
        <w:rPr>
          <w:b/>
          <w:color w:val="000000" w:themeColor="text1"/>
          <w:sz w:val="24"/>
          <w:szCs w:val="24"/>
          <w:lang w:val="pl-PL"/>
        </w:rPr>
        <w:t xml:space="preserve">kładników w Biesłanie w 2004 r.: </w:t>
      </w:r>
    </w:p>
    <w:p w:rsidR="0012030F" w:rsidRPr="00ED0C6A" w:rsidRDefault="0012030F" w:rsidP="005C274B">
      <w:pPr>
        <w:pStyle w:val="Akapitzlist"/>
        <w:numPr>
          <w:ilvl w:val="0"/>
          <w:numId w:val="6"/>
        </w:numPr>
        <w:spacing w:line="240" w:lineRule="auto"/>
        <w:jc w:val="both"/>
        <w:rPr>
          <w:lang w:val="pl-PL"/>
        </w:rPr>
      </w:pPr>
      <w:r w:rsidRPr="00ED0C6A">
        <w:rPr>
          <w:lang w:val="pl-PL"/>
        </w:rPr>
        <w:t xml:space="preserve">naruszenie art. 2 Konwencji (prawo do życia) z uwagi na brak realizacji </w:t>
      </w:r>
      <w:r w:rsidR="005C274B" w:rsidRPr="00ED0C6A">
        <w:rPr>
          <w:lang w:val="pl-PL"/>
        </w:rPr>
        <w:t xml:space="preserve">pozytywnego </w:t>
      </w:r>
      <w:r w:rsidRPr="00ED0C6A">
        <w:rPr>
          <w:lang w:val="pl-PL"/>
        </w:rPr>
        <w:t xml:space="preserve">obowiązku zapobiegania zagrożeniu życia </w:t>
      </w:r>
    </w:p>
    <w:p w:rsidR="0012030F" w:rsidRPr="00ED0C6A" w:rsidRDefault="0012030F" w:rsidP="005C274B">
      <w:pPr>
        <w:pStyle w:val="Akapitzlist"/>
        <w:numPr>
          <w:ilvl w:val="0"/>
          <w:numId w:val="6"/>
        </w:numPr>
        <w:spacing w:line="240" w:lineRule="auto"/>
        <w:jc w:val="both"/>
        <w:rPr>
          <w:lang w:val="pl-PL"/>
        </w:rPr>
      </w:pPr>
      <w:r w:rsidRPr="00ED0C6A">
        <w:rPr>
          <w:lang w:val="pl-PL"/>
        </w:rPr>
        <w:t>naruszenie art. 2 Konwencji (prawo do życia) z uwagi na brak realizacji obowiązku zaplanowania i kontroli operacji bezpieczeństwa wiążącej się z użyciem śmiercionośnej siły w</w:t>
      </w:r>
      <w:r w:rsidR="003F5966">
        <w:rPr>
          <w:lang w:val="pl-PL"/>
        </w:rPr>
        <w:t> </w:t>
      </w:r>
      <w:r w:rsidRPr="00ED0C6A">
        <w:rPr>
          <w:lang w:val="pl-PL"/>
        </w:rPr>
        <w:t xml:space="preserve">celu zminimalizowania zagrożenia życia  </w:t>
      </w:r>
    </w:p>
    <w:p w:rsidR="0012030F" w:rsidRPr="00ED0C6A" w:rsidRDefault="0012030F" w:rsidP="005C274B">
      <w:pPr>
        <w:pStyle w:val="Akapitzlist"/>
        <w:numPr>
          <w:ilvl w:val="0"/>
          <w:numId w:val="6"/>
        </w:numPr>
        <w:spacing w:line="240" w:lineRule="auto"/>
        <w:jc w:val="both"/>
        <w:rPr>
          <w:lang w:val="pl-PL"/>
        </w:rPr>
      </w:pPr>
      <w:r w:rsidRPr="00ED0C6A">
        <w:rPr>
          <w:lang w:val="pl-PL"/>
        </w:rPr>
        <w:t xml:space="preserve">naruszenie art. 2 Konwencji (prawo do życia) z uwagi na fakt, że użycie śmiercionośnej siły przez funkcjonariuszy nastąpiło w większym zakresie niż absolutnie konieczne </w:t>
      </w:r>
    </w:p>
    <w:p w:rsidR="0012030F" w:rsidRPr="00ED0C6A" w:rsidRDefault="0012030F" w:rsidP="005C274B">
      <w:pPr>
        <w:pStyle w:val="Akapitzlist"/>
        <w:numPr>
          <w:ilvl w:val="0"/>
          <w:numId w:val="6"/>
        </w:numPr>
        <w:spacing w:line="240" w:lineRule="auto"/>
        <w:jc w:val="both"/>
        <w:rPr>
          <w:lang w:val="pl-PL"/>
        </w:rPr>
      </w:pPr>
      <w:r w:rsidRPr="00ED0C6A">
        <w:rPr>
          <w:lang w:val="pl-PL"/>
        </w:rPr>
        <w:t xml:space="preserve">naruszenie art. 2 Konwencji (prawo do życia – aspekt proceduralny) z uwagi na brak realizacji obowiązku przeprowadzenia skutecznego śledztwa </w:t>
      </w:r>
    </w:p>
    <w:p w:rsidR="00043569" w:rsidRPr="00ED0C6A" w:rsidRDefault="00043569" w:rsidP="005C274B">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brak naruszenia</w:t>
      </w:r>
      <w:r w:rsidR="00F541FD" w:rsidRPr="00ED0C6A">
        <w:rPr>
          <w:b/>
          <w:color w:val="000000" w:themeColor="text1"/>
          <w:sz w:val="24"/>
          <w:szCs w:val="24"/>
          <w:lang w:val="pl-PL"/>
        </w:rPr>
        <w:t xml:space="preserve"> art. 13 Konwencji (prawo do skutecznego środka odwoławczego) z</w:t>
      </w:r>
      <w:r w:rsidR="003F5966">
        <w:rPr>
          <w:b/>
          <w:color w:val="000000" w:themeColor="text1"/>
          <w:sz w:val="24"/>
          <w:szCs w:val="24"/>
          <w:lang w:val="pl-PL"/>
        </w:rPr>
        <w:t> </w:t>
      </w:r>
      <w:r w:rsidR="00F541FD" w:rsidRPr="00ED0C6A">
        <w:rPr>
          <w:b/>
          <w:color w:val="000000" w:themeColor="text1"/>
          <w:sz w:val="24"/>
          <w:szCs w:val="24"/>
          <w:lang w:val="pl-PL"/>
        </w:rPr>
        <w:t xml:space="preserve">uwagi na duże znaczenie faktu przyznania </w:t>
      </w:r>
      <w:r w:rsidR="0012030F" w:rsidRPr="00ED0C6A">
        <w:rPr>
          <w:b/>
          <w:color w:val="000000" w:themeColor="text1"/>
          <w:sz w:val="24"/>
          <w:szCs w:val="24"/>
          <w:lang w:val="pl-PL"/>
        </w:rPr>
        <w:t xml:space="preserve">w kraju </w:t>
      </w:r>
      <w:r w:rsidR="00F541FD" w:rsidRPr="00ED0C6A">
        <w:rPr>
          <w:b/>
          <w:color w:val="000000" w:themeColor="text1"/>
          <w:sz w:val="24"/>
          <w:szCs w:val="24"/>
          <w:lang w:val="pl-PL"/>
        </w:rPr>
        <w:t>odszkodowań ofiarom i</w:t>
      </w:r>
      <w:r w:rsidR="003F5966">
        <w:rPr>
          <w:b/>
          <w:color w:val="000000" w:themeColor="text1"/>
          <w:sz w:val="24"/>
          <w:szCs w:val="24"/>
          <w:lang w:val="pl-PL"/>
        </w:rPr>
        <w:t> </w:t>
      </w:r>
      <w:r w:rsidR="00F541FD" w:rsidRPr="00ED0C6A">
        <w:rPr>
          <w:b/>
          <w:color w:val="000000" w:themeColor="text1"/>
          <w:sz w:val="24"/>
          <w:szCs w:val="24"/>
          <w:lang w:val="pl-PL"/>
        </w:rPr>
        <w:t>prowadzenia prac w komisjach parlamentarnych w celu ustalenia prawdy dotyczącej wydarzeń w Biesłanie</w:t>
      </w:r>
    </w:p>
    <w:p w:rsidR="00043569" w:rsidRPr="00ED0C6A" w:rsidRDefault="003B32C5" w:rsidP="00D76297">
      <w:pPr>
        <w:pStyle w:val="Akapitzlist"/>
        <w:keepNext/>
        <w:keepLines/>
        <w:numPr>
          <w:ilvl w:val="0"/>
          <w:numId w:val="2"/>
        </w:numPr>
        <w:spacing w:after="240" w:line="240" w:lineRule="auto"/>
        <w:jc w:val="both"/>
        <w:outlineLvl w:val="2"/>
        <w:rPr>
          <w:b/>
          <w:color w:val="000000" w:themeColor="text1"/>
          <w:sz w:val="24"/>
          <w:szCs w:val="24"/>
          <w:lang w:val="pl-PL"/>
        </w:rPr>
      </w:pPr>
      <w:r w:rsidRPr="00ED0C6A">
        <w:rPr>
          <w:b/>
          <w:color w:val="000000" w:themeColor="text1"/>
          <w:sz w:val="24"/>
          <w:szCs w:val="24"/>
          <w:lang w:val="pl-PL"/>
        </w:rPr>
        <w:t xml:space="preserve">zobowiązanie pozwanego Państwa na podstawie art. 46 Konwencji (moc obowiązująca oraz wykonywanie wyroków Trybunału) </w:t>
      </w:r>
      <w:r w:rsidR="00043569" w:rsidRPr="00ED0C6A">
        <w:rPr>
          <w:b/>
          <w:color w:val="000000" w:themeColor="text1"/>
          <w:sz w:val="24"/>
          <w:szCs w:val="24"/>
          <w:lang w:val="pl-PL"/>
        </w:rPr>
        <w:t xml:space="preserve">do podjęcia </w:t>
      </w:r>
      <w:r w:rsidRPr="00ED0C6A">
        <w:rPr>
          <w:b/>
          <w:color w:val="000000" w:themeColor="text1"/>
          <w:sz w:val="24"/>
          <w:szCs w:val="24"/>
          <w:lang w:val="pl-PL"/>
        </w:rPr>
        <w:t>szeregu środków indywidualnych i</w:t>
      </w:r>
      <w:r w:rsidR="003F5966">
        <w:rPr>
          <w:b/>
          <w:color w:val="000000" w:themeColor="text1"/>
          <w:sz w:val="24"/>
          <w:szCs w:val="24"/>
          <w:lang w:val="pl-PL"/>
        </w:rPr>
        <w:t> </w:t>
      </w:r>
      <w:r w:rsidRPr="00ED0C6A">
        <w:rPr>
          <w:b/>
          <w:color w:val="000000" w:themeColor="text1"/>
          <w:sz w:val="24"/>
          <w:szCs w:val="24"/>
          <w:lang w:val="pl-PL"/>
        </w:rPr>
        <w:t xml:space="preserve">generalnych, w tym </w:t>
      </w:r>
      <w:r w:rsidR="00043569" w:rsidRPr="00ED0C6A">
        <w:rPr>
          <w:b/>
          <w:color w:val="000000" w:themeColor="text1"/>
          <w:sz w:val="24"/>
          <w:szCs w:val="24"/>
          <w:lang w:val="pl-PL"/>
        </w:rPr>
        <w:t xml:space="preserve">zapewnienia odpowiednich ram prawnych </w:t>
      </w:r>
      <w:r w:rsidR="00BB25A4" w:rsidRPr="00ED0C6A">
        <w:rPr>
          <w:b/>
          <w:color w:val="000000" w:themeColor="text1"/>
          <w:sz w:val="24"/>
          <w:szCs w:val="24"/>
          <w:lang w:val="pl-PL"/>
        </w:rPr>
        <w:t>i</w:t>
      </w:r>
      <w:r w:rsidRPr="00ED0C6A">
        <w:rPr>
          <w:b/>
          <w:color w:val="000000" w:themeColor="text1"/>
          <w:sz w:val="24"/>
          <w:szCs w:val="24"/>
          <w:lang w:val="pl-PL"/>
        </w:rPr>
        <w:t xml:space="preserve"> mechanizmów współpracy między władzami </w:t>
      </w:r>
      <w:r w:rsidR="007634B8" w:rsidRPr="00ED0C6A">
        <w:rPr>
          <w:b/>
          <w:color w:val="000000" w:themeColor="text1"/>
          <w:sz w:val="24"/>
          <w:szCs w:val="24"/>
          <w:lang w:val="pl-PL"/>
        </w:rPr>
        <w:t xml:space="preserve">wojskowymi, bezpieczeństwa i cywilnymi </w:t>
      </w:r>
      <w:r w:rsidRPr="00ED0C6A">
        <w:rPr>
          <w:b/>
          <w:color w:val="000000" w:themeColor="text1"/>
          <w:sz w:val="24"/>
          <w:szCs w:val="24"/>
          <w:lang w:val="pl-PL"/>
        </w:rPr>
        <w:t>w przypadkach operacji bezpieczeństwa na dużą skalę oraz jasnego sformułowania zasad i ograniczeń u</w:t>
      </w:r>
      <w:r w:rsidR="00043569" w:rsidRPr="00ED0C6A">
        <w:rPr>
          <w:b/>
          <w:color w:val="000000" w:themeColor="text1"/>
          <w:sz w:val="24"/>
          <w:szCs w:val="24"/>
          <w:lang w:val="pl-PL"/>
        </w:rPr>
        <w:t xml:space="preserve">życia śmiercionośnej siły w czasie operacji bezpieczeństwa </w:t>
      </w:r>
    </w:p>
    <w:p w:rsidR="003A3FE4"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Sprawa wynikła</w:t>
      </w:r>
      <w:r w:rsidRPr="00ED0C6A">
        <w:rPr>
          <w:rFonts w:asciiTheme="minorHAnsi" w:hAnsiTheme="minorHAnsi"/>
          <w:i/>
          <w:sz w:val="24"/>
          <w:lang w:val="pl-PL"/>
        </w:rPr>
        <w:t xml:space="preserve"> </w:t>
      </w:r>
      <w:r w:rsidRPr="00ED0C6A">
        <w:rPr>
          <w:rFonts w:asciiTheme="minorHAnsi" w:hAnsiTheme="minorHAnsi"/>
          <w:sz w:val="24"/>
          <w:lang w:val="pl-PL"/>
        </w:rPr>
        <w:t xml:space="preserve">z ataku terrorystycznego na szkołę w Biesłanie, w Północnej Osetii (Rosja) we wrześniu 2004 r., który skutkował śmiercią ok. 334 cywilów, w tym 186 dzieci, którzy zostali wzięci jako zakładnicy. W dniu 1 września 2004 r., krótko po godz. 9.00 rano, grupa ciężko uzbrojonych terrorystów wkroczyła na dziedziniec szkoły podczas tradycyjnej ceremonii </w:t>
      </w:r>
      <w:r w:rsidR="00782FFB" w:rsidRPr="00ED0C6A">
        <w:rPr>
          <w:rFonts w:asciiTheme="minorHAnsi" w:hAnsiTheme="minorHAnsi"/>
          <w:sz w:val="24"/>
          <w:lang w:val="pl-PL"/>
        </w:rPr>
        <w:t>rozpoczęcia</w:t>
      </w:r>
      <w:r w:rsidRPr="00ED0C6A">
        <w:rPr>
          <w:rFonts w:asciiTheme="minorHAnsi" w:hAnsiTheme="minorHAnsi"/>
          <w:sz w:val="24"/>
          <w:lang w:val="pl-PL"/>
        </w:rPr>
        <w:t xml:space="preserve"> roku szkolnego i zmusiła ponad 1 100 osób obecnych do wejścia na</w:t>
      </w:r>
      <w:r w:rsidR="003F5966">
        <w:rPr>
          <w:rFonts w:asciiTheme="minorHAnsi" w:hAnsiTheme="minorHAnsi"/>
          <w:sz w:val="24"/>
          <w:lang w:val="pl-PL"/>
        </w:rPr>
        <w:t> </w:t>
      </w:r>
      <w:r w:rsidRPr="00ED0C6A">
        <w:rPr>
          <w:rFonts w:asciiTheme="minorHAnsi" w:hAnsiTheme="minorHAnsi"/>
          <w:sz w:val="24"/>
          <w:lang w:val="pl-PL"/>
        </w:rPr>
        <w:t>salę gimnastyczną</w:t>
      </w:r>
      <w:r w:rsidR="00782FFB" w:rsidRPr="00ED0C6A">
        <w:rPr>
          <w:rFonts w:asciiTheme="minorHAnsi" w:hAnsiTheme="minorHAnsi"/>
          <w:sz w:val="24"/>
          <w:lang w:val="pl-PL"/>
        </w:rPr>
        <w:t>,</w:t>
      </w:r>
      <w:r w:rsidRPr="00ED0C6A">
        <w:rPr>
          <w:rFonts w:asciiTheme="minorHAnsi" w:hAnsiTheme="minorHAnsi"/>
          <w:sz w:val="24"/>
          <w:lang w:val="pl-PL"/>
        </w:rPr>
        <w:t xml:space="preserve"> </w:t>
      </w:r>
      <w:r w:rsidR="00782FFB" w:rsidRPr="00ED0C6A">
        <w:rPr>
          <w:rFonts w:asciiTheme="minorHAnsi" w:hAnsiTheme="minorHAnsi"/>
          <w:sz w:val="24"/>
          <w:lang w:val="pl-PL"/>
        </w:rPr>
        <w:t xml:space="preserve">znajdującą się </w:t>
      </w:r>
      <w:r w:rsidRPr="00ED0C6A">
        <w:rPr>
          <w:rFonts w:asciiTheme="minorHAnsi" w:hAnsiTheme="minorHAnsi"/>
          <w:sz w:val="24"/>
          <w:lang w:val="pl-PL"/>
        </w:rPr>
        <w:t>na parterze, gdzie następnie rozmieścili ładunki wybuchowe. Ok. 16 mężczyzn zakładników zostało zabitych później tego dnia. W</w:t>
      </w:r>
      <w:r w:rsidR="00F94CD0">
        <w:rPr>
          <w:rFonts w:asciiTheme="minorHAnsi" w:hAnsiTheme="minorHAnsi"/>
          <w:sz w:val="24"/>
          <w:lang w:val="pl-PL"/>
        </w:rPr>
        <w:t> </w:t>
      </w:r>
      <w:r w:rsidRPr="00ED0C6A">
        <w:rPr>
          <w:rFonts w:asciiTheme="minorHAnsi" w:hAnsiTheme="minorHAnsi"/>
          <w:sz w:val="24"/>
          <w:lang w:val="pl-PL"/>
        </w:rPr>
        <w:t>dniu</w:t>
      </w:r>
      <w:r w:rsidR="00F94CD0">
        <w:rPr>
          <w:rFonts w:asciiTheme="minorHAnsi" w:hAnsiTheme="minorHAnsi"/>
          <w:sz w:val="24"/>
          <w:lang w:val="pl-PL"/>
        </w:rPr>
        <w:t> </w:t>
      </w:r>
      <w:r w:rsidRPr="00ED0C6A">
        <w:rPr>
          <w:rFonts w:asciiTheme="minorHAnsi" w:hAnsiTheme="minorHAnsi"/>
          <w:sz w:val="24"/>
          <w:lang w:val="pl-PL"/>
        </w:rPr>
        <w:t>3</w:t>
      </w:r>
      <w:r w:rsidR="003F5966">
        <w:rPr>
          <w:rFonts w:asciiTheme="minorHAnsi" w:hAnsiTheme="minorHAnsi"/>
          <w:sz w:val="24"/>
          <w:lang w:val="pl-PL"/>
        </w:rPr>
        <w:t> </w:t>
      </w:r>
      <w:r w:rsidRPr="00ED0C6A">
        <w:rPr>
          <w:rFonts w:asciiTheme="minorHAnsi" w:hAnsiTheme="minorHAnsi"/>
          <w:sz w:val="24"/>
          <w:lang w:val="pl-PL"/>
        </w:rPr>
        <w:t>września salą gimnastyczną, gdzie trzymani byli zakładnicy, wstrząsnęły trzy ekspl</w:t>
      </w:r>
      <w:r w:rsidR="00782FFB" w:rsidRPr="00ED0C6A">
        <w:rPr>
          <w:rFonts w:asciiTheme="minorHAnsi" w:hAnsiTheme="minorHAnsi"/>
          <w:sz w:val="24"/>
          <w:lang w:val="pl-PL"/>
        </w:rPr>
        <w:t xml:space="preserve">ozje, powodując wiele ofiar – </w:t>
      </w:r>
      <w:r w:rsidRPr="00ED0C6A">
        <w:rPr>
          <w:rFonts w:asciiTheme="minorHAnsi" w:hAnsiTheme="minorHAnsi"/>
          <w:sz w:val="24"/>
          <w:lang w:val="pl-PL"/>
        </w:rPr>
        <w:t>w</w:t>
      </w:r>
      <w:r w:rsidR="00782FFB" w:rsidRPr="00ED0C6A">
        <w:rPr>
          <w:rFonts w:asciiTheme="minorHAnsi" w:hAnsiTheme="minorHAnsi"/>
          <w:sz w:val="24"/>
          <w:lang w:val="pl-PL"/>
        </w:rPr>
        <w:t xml:space="preserve"> </w:t>
      </w:r>
      <w:r w:rsidRPr="00ED0C6A">
        <w:rPr>
          <w:rFonts w:asciiTheme="minorHAnsi" w:hAnsiTheme="minorHAnsi"/>
          <w:sz w:val="24"/>
          <w:lang w:val="pl-PL"/>
        </w:rPr>
        <w:t>trakcie samych</w:t>
      </w:r>
      <w:r w:rsidR="00782FFB" w:rsidRPr="00ED0C6A">
        <w:rPr>
          <w:rFonts w:asciiTheme="minorHAnsi" w:hAnsiTheme="minorHAnsi"/>
          <w:sz w:val="24"/>
          <w:lang w:val="pl-PL"/>
        </w:rPr>
        <w:t xml:space="preserve"> wybuchów lub </w:t>
      </w:r>
      <w:r w:rsidRPr="00ED0C6A">
        <w:rPr>
          <w:rFonts w:asciiTheme="minorHAnsi" w:hAnsiTheme="minorHAnsi"/>
          <w:sz w:val="24"/>
          <w:lang w:val="pl-PL"/>
        </w:rPr>
        <w:t>z powodu pożaru,</w:t>
      </w:r>
      <w:r w:rsidR="00782FFB" w:rsidRPr="00ED0C6A">
        <w:rPr>
          <w:rFonts w:asciiTheme="minorHAnsi" w:hAnsiTheme="minorHAnsi"/>
          <w:sz w:val="24"/>
          <w:lang w:val="pl-PL"/>
        </w:rPr>
        <w:t xml:space="preserve"> który wybuchł, lub na skutek</w:t>
      </w:r>
      <w:r w:rsidRPr="00ED0C6A">
        <w:rPr>
          <w:rFonts w:asciiTheme="minorHAnsi" w:hAnsiTheme="minorHAnsi"/>
          <w:sz w:val="24"/>
          <w:lang w:val="pl-PL"/>
        </w:rPr>
        <w:t xml:space="preserve"> postrzelenia w trakcie próby ucieczki. Siły państwowe przypuściły wówczas szturm na budynek. </w:t>
      </w:r>
    </w:p>
    <w:p w:rsidR="003A3FE4" w:rsidRPr="00ED0C6A" w:rsidRDefault="003A3FE4" w:rsidP="008176C7">
      <w:pPr>
        <w:pStyle w:val="ClinContent"/>
        <w:spacing w:before="0"/>
        <w:rPr>
          <w:rFonts w:asciiTheme="minorHAnsi" w:hAnsiTheme="minorHAnsi"/>
          <w:sz w:val="24"/>
          <w:lang w:val="pl-PL"/>
        </w:rPr>
      </w:pPr>
    </w:p>
    <w:p w:rsidR="00043569"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Przed Trybunałem skarżący zarzucali naruszenia art. 2 Konwencji w odniesieniu do</w:t>
      </w:r>
      <w:r w:rsidR="003F5966">
        <w:rPr>
          <w:rFonts w:asciiTheme="minorHAnsi" w:hAnsiTheme="minorHAnsi"/>
          <w:sz w:val="24"/>
          <w:lang w:val="pl-PL"/>
        </w:rPr>
        <w:t> </w:t>
      </w:r>
      <w:r w:rsidRPr="00ED0C6A">
        <w:rPr>
          <w:rFonts w:asciiTheme="minorHAnsi" w:hAnsiTheme="minorHAnsi"/>
          <w:sz w:val="24"/>
          <w:lang w:val="pl-PL"/>
        </w:rPr>
        <w:t>pozytywnych obowiązków ochrony życia i śledztwa, planowania oraz kontroli operacji o</w:t>
      </w:r>
      <w:r w:rsidR="003A3FE4" w:rsidRPr="00ED0C6A">
        <w:rPr>
          <w:rFonts w:asciiTheme="minorHAnsi" w:hAnsiTheme="minorHAnsi"/>
          <w:sz w:val="24"/>
          <w:lang w:val="pl-PL"/>
        </w:rPr>
        <w:t xml:space="preserve">raz użycia śmiercionośnej siły, a także </w:t>
      </w:r>
      <w:r w:rsidR="00950834" w:rsidRPr="00ED0C6A">
        <w:rPr>
          <w:rFonts w:asciiTheme="minorHAnsi" w:hAnsiTheme="minorHAnsi"/>
          <w:sz w:val="24"/>
          <w:lang w:val="pl-PL"/>
        </w:rPr>
        <w:t xml:space="preserve">naruszenie art. 13 z uwagi na </w:t>
      </w:r>
      <w:r w:rsidR="003A3FE4" w:rsidRPr="00ED0C6A">
        <w:rPr>
          <w:rFonts w:asciiTheme="minorHAnsi" w:hAnsiTheme="minorHAnsi"/>
          <w:sz w:val="24"/>
          <w:lang w:val="pl-PL"/>
        </w:rPr>
        <w:t>brak skutecznych środków odwoławczych.</w:t>
      </w:r>
    </w:p>
    <w:p w:rsidR="003A3FE4" w:rsidRPr="00ED0C6A" w:rsidRDefault="003A3FE4" w:rsidP="008176C7">
      <w:pPr>
        <w:pStyle w:val="ClinContent"/>
        <w:spacing w:before="0"/>
        <w:rPr>
          <w:rFonts w:asciiTheme="minorHAnsi" w:hAnsiTheme="minorHAnsi"/>
          <w:i/>
          <w:sz w:val="24"/>
          <w:lang w:val="pl-PL"/>
        </w:rPr>
      </w:pPr>
    </w:p>
    <w:p w:rsidR="00043569" w:rsidRPr="00ED0C6A" w:rsidRDefault="003A3FE4"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zbadał skargę </w:t>
      </w:r>
      <w:r w:rsidR="00950834" w:rsidRPr="00ED0C6A">
        <w:rPr>
          <w:rFonts w:asciiTheme="minorHAnsi" w:hAnsiTheme="minorHAnsi"/>
          <w:sz w:val="24"/>
          <w:lang w:val="pl-PL"/>
        </w:rPr>
        <w:t xml:space="preserve">na podstawie </w:t>
      </w:r>
      <w:r w:rsidR="00950834" w:rsidRPr="00ED0C6A">
        <w:rPr>
          <w:rFonts w:asciiTheme="minorHAnsi" w:hAnsiTheme="minorHAnsi"/>
          <w:sz w:val="24"/>
          <w:u w:val="single"/>
          <w:lang w:val="pl-PL"/>
        </w:rPr>
        <w:t xml:space="preserve">art. 2 </w:t>
      </w:r>
      <w:r w:rsidR="00950834" w:rsidRPr="00ED0C6A">
        <w:rPr>
          <w:rFonts w:asciiTheme="minorHAnsi" w:hAnsiTheme="minorHAnsi"/>
          <w:i/>
          <w:sz w:val="24"/>
          <w:u w:val="single"/>
          <w:lang w:val="pl-PL"/>
        </w:rPr>
        <w:t xml:space="preserve">Konwencji </w:t>
      </w:r>
      <w:r w:rsidR="00A463D9" w:rsidRPr="00ED0C6A">
        <w:rPr>
          <w:rFonts w:asciiTheme="minorHAnsi" w:hAnsiTheme="minorHAnsi"/>
          <w:i/>
          <w:sz w:val="24"/>
          <w:u w:val="single"/>
          <w:lang w:val="pl-PL"/>
        </w:rPr>
        <w:t>(prawo do życia)</w:t>
      </w:r>
      <w:r w:rsidR="00A463D9" w:rsidRPr="00ED0C6A">
        <w:rPr>
          <w:rFonts w:asciiTheme="minorHAnsi" w:hAnsiTheme="minorHAnsi"/>
          <w:sz w:val="24"/>
          <w:lang w:val="pl-PL"/>
        </w:rPr>
        <w:t xml:space="preserve"> </w:t>
      </w:r>
      <w:r w:rsidRPr="00ED0C6A">
        <w:rPr>
          <w:rFonts w:asciiTheme="minorHAnsi" w:hAnsiTheme="minorHAnsi"/>
          <w:sz w:val="24"/>
          <w:lang w:val="pl-PL"/>
        </w:rPr>
        <w:t>w następujących aspektach.</w:t>
      </w:r>
    </w:p>
    <w:p w:rsidR="003A3FE4" w:rsidRPr="00ED0C6A" w:rsidRDefault="003A3FE4" w:rsidP="008176C7">
      <w:pPr>
        <w:pStyle w:val="ClinContent"/>
        <w:spacing w:before="0"/>
        <w:rPr>
          <w:rFonts w:asciiTheme="minorHAnsi" w:hAnsiTheme="minorHAnsi"/>
          <w:sz w:val="24"/>
          <w:lang w:val="pl-PL"/>
        </w:rPr>
      </w:pPr>
    </w:p>
    <w:p w:rsidR="003A3FE4" w:rsidRPr="00ED0C6A" w:rsidRDefault="00043569"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(a) </w:t>
      </w:r>
      <w:r w:rsidRPr="00ED0C6A">
        <w:rPr>
          <w:rFonts w:asciiTheme="minorHAnsi" w:hAnsiTheme="minorHAnsi"/>
          <w:i/>
          <w:sz w:val="24"/>
          <w:u w:val="single"/>
          <w:lang w:val="pl-PL"/>
        </w:rPr>
        <w:t xml:space="preserve">Pozytywny obowiązek </w:t>
      </w:r>
      <w:r w:rsidR="003A3FE4" w:rsidRPr="00ED0C6A">
        <w:rPr>
          <w:rFonts w:asciiTheme="minorHAnsi" w:hAnsiTheme="minorHAnsi"/>
          <w:i/>
          <w:sz w:val="24"/>
          <w:u w:val="single"/>
          <w:lang w:val="pl-PL"/>
        </w:rPr>
        <w:t xml:space="preserve">na podstawie art. 2 Konwencji </w:t>
      </w:r>
      <w:r w:rsidRPr="00ED0C6A">
        <w:rPr>
          <w:rFonts w:asciiTheme="minorHAnsi" w:hAnsiTheme="minorHAnsi"/>
          <w:i/>
          <w:sz w:val="24"/>
          <w:u w:val="single"/>
          <w:lang w:val="pl-PL"/>
        </w:rPr>
        <w:t>zapobieżenia zagrożeniu życia</w:t>
      </w:r>
      <w:r w:rsidRPr="00ED0C6A">
        <w:rPr>
          <w:rFonts w:asciiTheme="minorHAnsi" w:hAnsiTheme="minorHAnsi"/>
          <w:i/>
          <w:sz w:val="24"/>
          <w:lang w:val="pl-PL"/>
        </w:rPr>
        <w:t xml:space="preserve"> </w:t>
      </w:r>
    </w:p>
    <w:p w:rsidR="003A3FE4" w:rsidRPr="00ED0C6A" w:rsidRDefault="003A3FE4" w:rsidP="008176C7">
      <w:pPr>
        <w:pStyle w:val="ClinContent"/>
        <w:spacing w:before="0"/>
        <w:rPr>
          <w:rFonts w:asciiTheme="minorHAnsi" w:hAnsiTheme="minorHAnsi"/>
          <w:sz w:val="24"/>
          <w:lang w:val="pl-PL"/>
        </w:rPr>
      </w:pPr>
    </w:p>
    <w:p w:rsidR="00B559EE" w:rsidRPr="00ED0C6A" w:rsidRDefault="003A3FE4" w:rsidP="008176C7">
      <w:pPr>
        <w:pStyle w:val="ClinContent"/>
        <w:spacing w:before="0"/>
        <w:rPr>
          <w:rFonts w:asciiTheme="minorHAnsi" w:hAnsiTheme="minorHAnsi"/>
          <w:sz w:val="24"/>
          <w:lang w:val="pl-PL"/>
        </w:rPr>
      </w:pPr>
      <w:r w:rsidRPr="00ED0C6A">
        <w:rPr>
          <w:rFonts w:asciiTheme="minorHAnsi" w:hAnsiTheme="minorHAnsi"/>
          <w:sz w:val="24"/>
          <w:lang w:val="pl-PL"/>
        </w:rPr>
        <w:t>Trybunał zauważył, że c</w:t>
      </w:r>
      <w:r w:rsidR="00043569" w:rsidRPr="00ED0C6A">
        <w:rPr>
          <w:rFonts w:asciiTheme="minorHAnsi" w:hAnsiTheme="minorHAnsi"/>
          <w:sz w:val="24"/>
          <w:lang w:val="pl-PL"/>
        </w:rPr>
        <w:t xml:space="preserve">o najmniej kilka dni wcześniej władze miały wystarczająco konkretne informacje na temat planowanego </w:t>
      </w:r>
      <w:r w:rsidR="00782FFB" w:rsidRPr="00ED0C6A">
        <w:rPr>
          <w:rFonts w:asciiTheme="minorHAnsi" w:hAnsiTheme="minorHAnsi"/>
          <w:sz w:val="24"/>
          <w:lang w:val="pl-PL"/>
        </w:rPr>
        <w:t xml:space="preserve">na tym terenie </w:t>
      </w:r>
      <w:r w:rsidR="00043569" w:rsidRPr="00ED0C6A">
        <w:rPr>
          <w:rFonts w:asciiTheme="minorHAnsi" w:hAnsiTheme="minorHAnsi"/>
          <w:sz w:val="24"/>
          <w:lang w:val="pl-PL"/>
        </w:rPr>
        <w:t>ataku terrorystycznego wymierzonego w</w:t>
      </w:r>
      <w:r w:rsidR="003F5966">
        <w:rPr>
          <w:rFonts w:asciiTheme="minorHAnsi" w:hAnsiTheme="minorHAnsi"/>
          <w:sz w:val="24"/>
          <w:lang w:val="pl-PL"/>
        </w:rPr>
        <w:t> </w:t>
      </w:r>
      <w:r w:rsidR="00043569" w:rsidRPr="00ED0C6A">
        <w:rPr>
          <w:rFonts w:asciiTheme="minorHAnsi" w:hAnsiTheme="minorHAnsi"/>
          <w:sz w:val="24"/>
          <w:lang w:val="pl-PL"/>
        </w:rPr>
        <w:t xml:space="preserve">placówkę edukacyjną </w:t>
      </w:r>
      <w:r w:rsidR="00782FFB" w:rsidRPr="00ED0C6A">
        <w:rPr>
          <w:rFonts w:asciiTheme="minorHAnsi" w:hAnsiTheme="minorHAnsi"/>
          <w:sz w:val="24"/>
          <w:lang w:val="pl-PL"/>
        </w:rPr>
        <w:t>w dniu</w:t>
      </w:r>
      <w:r w:rsidR="00043569" w:rsidRPr="00ED0C6A">
        <w:rPr>
          <w:rFonts w:asciiTheme="minorHAnsi" w:hAnsiTheme="minorHAnsi"/>
          <w:sz w:val="24"/>
          <w:lang w:val="pl-PL"/>
        </w:rPr>
        <w:t xml:space="preserve"> 1 września. Informacje wywiadowcze porównywały zagrożenie do wcześniejszych dużych ataków podjętych przez czeczeńskich separatystów, które skutkowały znacznymi ofiarami. Groźba tego rodzaju wskazywała wyraźnie na istnienie rzeczywistego i natychmiastowego zagrożenia dla ludności będącej potencjalnym celem ataku. Władze sprawowały w stopniu wystarczającym kontrolę nad sytuacją i można było od</w:t>
      </w:r>
      <w:r w:rsidR="003F5966">
        <w:rPr>
          <w:rFonts w:asciiTheme="minorHAnsi" w:hAnsiTheme="minorHAnsi"/>
          <w:sz w:val="24"/>
          <w:lang w:val="pl-PL"/>
        </w:rPr>
        <w:t> </w:t>
      </w:r>
      <w:r w:rsidR="00043569" w:rsidRPr="00ED0C6A">
        <w:rPr>
          <w:rFonts w:asciiTheme="minorHAnsi" w:hAnsiTheme="minorHAnsi"/>
          <w:sz w:val="24"/>
          <w:lang w:val="pl-PL"/>
        </w:rPr>
        <w:t xml:space="preserve">nich </w:t>
      </w:r>
      <w:r w:rsidR="00782FFB" w:rsidRPr="00ED0C6A">
        <w:rPr>
          <w:rFonts w:asciiTheme="minorHAnsi" w:hAnsiTheme="minorHAnsi"/>
          <w:sz w:val="24"/>
          <w:lang w:val="pl-PL"/>
        </w:rPr>
        <w:t>zasadnie</w:t>
      </w:r>
      <w:r w:rsidR="00043569" w:rsidRPr="00ED0C6A">
        <w:rPr>
          <w:rFonts w:asciiTheme="minorHAnsi" w:hAnsiTheme="minorHAnsi"/>
          <w:sz w:val="24"/>
          <w:lang w:val="pl-PL"/>
        </w:rPr>
        <w:t xml:space="preserve"> oczekiwać podjęcia środków będących w ich mocy, mogących w</w:t>
      </w:r>
      <w:r w:rsidR="003F5966">
        <w:rPr>
          <w:rFonts w:asciiTheme="minorHAnsi" w:hAnsiTheme="minorHAnsi"/>
          <w:sz w:val="24"/>
          <w:lang w:val="pl-PL"/>
        </w:rPr>
        <w:t> </w:t>
      </w:r>
      <w:r w:rsidR="00043569" w:rsidRPr="00ED0C6A">
        <w:rPr>
          <w:rFonts w:asciiTheme="minorHAnsi" w:hAnsiTheme="minorHAnsi"/>
          <w:sz w:val="24"/>
          <w:lang w:val="pl-PL"/>
        </w:rPr>
        <w:t>uzasadnionym stopniu doprowadzić do uniknięcia lub przynajmniej ograniczenia tego</w:t>
      </w:r>
      <w:r w:rsidR="003F5966">
        <w:rPr>
          <w:rFonts w:asciiTheme="minorHAnsi" w:hAnsiTheme="minorHAnsi"/>
          <w:sz w:val="24"/>
          <w:lang w:val="pl-PL"/>
        </w:rPr>
        <w:t> </w:t>
      </w:r>
      <w:r w:rsidR="00043569" w:rsidRPr="00ED0C6A">
        <w:rPr>
          <w:rFonts w:asciiTheme="minorHAnsi" w:hAnsiTheme="minorHAnsi"/>
          <w:sz w:val="24"/>
          <w:lang w:val="pl-PL"/>
        </w:rPr>
        <w:t xml:space="preserve">zagrożenia. </w:t>
      </w:r>
    </w:p>
    <w:p w:rsidR="00B559EE" w:rsidRPr="00ED0C6A" w:rsidRDefault="00B559EE" w:rsidP="008176C7">
      <w:pPr>
        <w:pStyle w:val="ClinContent"/>
        <w:spacing w:before="0"/>
        <w:rPr>
          <w:rFonts w:asciiTheme="minorHAnsi" w:hAnsiTheme="minorHAnsi"/>
          <w:sz w:val="24"/>
          <w:lang w:val="pl-PL"/>
        </w:rPr>
      </w:pPr>
    </w:p>
    <w:p w:rsidR="00043569" w:rsidRPr="00ED0C6A" w:rsidRDefault="00043569" w:rsidP="008176C7">
      <w:pPr>
        <w:pStyle w:val="ClinContent"/>
        <w:spacing w:before="0"/>
        <w:rPr>
          <w:rFonts w:asciiTheme="minorHAnsi" w:hAnsiTheme="minorHAnsi"/>
          <w:i/>
          <w:sz w:val="24"/>
          <w:lang w:val="pl-PL"/>
        </w:rPr>
      </w:pPr>
      <w:r w:rsidRPr="00ED0C6A">
        <w:rPr>
          <w:rFonts w:asciiTheme="minorHAnsi" w:hAnsiTheme="minorHAnsi"/>
          <w:sz w:val="24"/>
          <w:lang w:val="pl-PL"/>
        </w:rPr>
        <w:t xml:space="preserve">Choć pewne </w:t>
      </w:r>
      <w:r w:rsidR="00B559EE" w:rsidRPr="00ED0C6A">
        <w:rPr>
          <w:rFonts w:asciiTheme="minorHAnsi" w:hAnsiTheme="minorHAnsi"/>
          <w:sz w:val="24"/>
          <w:lang w:val="pl-PL"/>
        </w:rPr>
        <w:t>kroki</w:t>
      </w:r>
      <w:r w:rsidRPr="00ED0C6A">
        <w:rPr>
          <w:rFonts w:asciiTheme="minorHAnsi" w:hAnsiTheme="minorHAnsi"/>
          <w:sz w:val="24"/>
          <w:lang w:val="pl-PL"/>
        </w:rPr>
        <w:t xml:space="preserve"> zostały podjęte, </w:t>
      </w:r>
      <w:r w:rsidR="00B559EE" w:rsidRPr="00ED0C6A">
        <w:rPr>
          <w:rFonts w:asciiTheme="minorHAnsi" w:hAnsiTheme="minorHAnsi"/>
          <w:sz w:val="24"/>
          <w:lang w:val="pl-PL"/>
        </w:rPr>
        <w:t xml:space="preserve">generalnie można uznać, że </w:t>
      </w:r>
      <w:r w:rsidRPr="00ED0C6A">
        <w:rPr>
          <w:rFonts w:asciiTheme="minorHAnsi" w:hAnsiTheme="minorHAnsi"/>
          <w:sz w:val="24"/>
          <w:lang w:val="pl-PL"/>
        </w:rPr>
        <w:t xml:space="preserve">środki prewencyjne </w:t>
      </w:r>
      <w:r w:rsidR="00B559EE" w:rsidRPr="00ED0C6A">
        <w:rPr>
          <w:rFonts w:asciiTheme="minorHAnsi" w:hAnsiTheme="minorHAnsi"/>
          <w:sz w:val="24"/>
          <w:lang w:val="pl-PL"/>
        </w:rPr>
        <w:t xml:space="preserve">były </w:t>
      </w:r>
      <w:r w:rsidRPr="00ED0C6A">
        <w:rPr>
          <w:rFonts w:asciiTheme="minorHAnsi" w:hAnsiTheme="minorHAnsi"/>
          <w:sz w:val="24"/>
          <w:lang w:val="pl-PL"/>
        </w:rPr>
        <w:t xml:space="preserve">nieodpowiednie. Terroryści byli w stanie z powodzeniem zebrać się, przygotować, podróżować i zająć swój cel, nie napotykając na drodze jakichkolwiek </w:t>
      </w:r>
      <w:r w:rsidR="00782FFB" w:rsidRPr="00ED0C6A">
        <w:rPr>
          <w:rFonts w:asciiTheme="minorHAnsi" w:hAnsiTheme="minorHAnsi"/>
          <w:sz w:val="24"/>
          <w:lang w:val="pl-PL"/>
        </w:rPr>
        <w:t xml:space="preserve">profilaktycznych środków </w:t>
      </w:r>
      <w:r w:rsidRPr="00ED0C6A">
        <w:rPr>
          <w:rFonts w:asciiTheme="minorHAnsi" w:hAnsiTheme="minorHAnsi"/>
          <w:sz w:val="24"/>
          <w:lang w:val="pl-PL"/>
        </w:rPr>
        <w:t>bezpieczeństwa. Nie było jednej struktury odpowiednio wysokiego szczebla, która</w:t>
      </w:r>
      <w:r w:rsidR="003F5966">
        <w:rPr>
          <w:rFonts w:asciiTheme="minorHAnsi" w:hAnsiTheme="minorHAnsi"/>
          <w:sz w:val="24"/>
          <w:lang w:val="pl-PL"/>
        </w:rPr>
        <w:t> </w:t>
      </w:r>
      <w:r w:rsidRPr="00ED0C6A">
        <w:rPr>
          <w:rFonts w:asciiTheme="minorHAnsi" w:hAnsiTheme="minorHAnsi"/>
          <w:sz w:val="24"/>
          <w:lang w:val="pl-PL"/>
        </w:rPr>
        <w:t>byłaby odpowiedzialna za zarządzanie sytuacją, ewaluację i alokację środków, za</w:t>
      </w:r>
      <w:r w:rsidR="003F5966">
        <w:rPr>
          <w:rFonts w:asciiTheme="minorHAnsi" w:hAnsiTheme="minorHAnsi"/>
          <w:sz w:val="24"/>
          <w:lang w:val="pl-PL"/>
        </w:rPr>
        <w:t> </w:t>
      </w:r>
      <w:r w:rsidRPr="00ED0C6A">
        <w:rPr>
          <w:rFonts w:asciiTheme="minorHAnsi" w:hAnsiTheme="minorHAnsi"/>
          <w:sz w:val="24"/>
          <w:lang w:val="pl-PL"/>
        </w:rPr>
        <w:t>stworzenie ochrony dla zagrożonej grupy, za skuteczne powstrzymanie zagrożenia oraz</w:t>
      </w:r>
      <w:r w:rsidR="003F5966">
        <w:rPr>
          <w:rFonts w:asciiTheme="minorHAnsi" w:hAnsiTheme="minorHAnsi"/>
          <w:sz w:val="24"/>
          <w:lang w:val="pl-PL"/>
        </w:rPr>
        <w:t> </w:t>
      </w:r>
      <w:r w:rsidRPr="00ED0C6A">
        <w:rPr>
          <w:rFonts w:asciiTheme="minorHAnsi" w:hAnsiTheme="minorHAnsi"/>
          <w:sz w:val="24"/>
          <w:lang w:val="pl-PL"/>
        </w:rPr>
        <w:t xml:space="preserve">komunikację z grupami terenowymi. Władze rosyjskie zaniechały podjęcia środków, które – rozsądnie oceniając – mogły były zapobiec lub zminimalizować znane zagrożenie. </w:t>
      </w:r>
    </w:p>
    <w:p w:rsidR="003A3FE4" w:rsidRPr="00ED0C6A" w:rsidRDefault="003A3FE4" w:rsidP="008176C7">
      <w:pPr>
        <w:pStyle w:val="ClinContent"/>
        <w:spacing w:before="0"/>
        <w:rPr>
          <w:rFonts w:asciiTheme="minorHAnsi" w:hAnsiTheme="minorHAnsi"/>
          <w:i/>
          <w:sz w:val="24"/>
          <w:lang w:val="pl-PL"/>
        </w:rPr>
      </w:pPr>
    </w:p>
    <w:p w:rsidR="00043569" w:rsidRPr="00ED0C6A" w:rsidRDefault="003A3FE4"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Z powyższych względów Trybunał jednomyślnie stwierdził naruszenie art. 2 </w:t>
      </w:r>
      <w:r w:rsidR="0070238D" w:rsidRPr="00ED0C6A">
        <w:rPr>
          <w:rFonts w:asciiTheme="minorHAnsi" w:hAnsiTheme="minorHAnsi"/>
          <w:sz w:val="24"/>
          <w:lang w:val="pl-PL"/>
        </w:rPr>
        <w:t>Konwencji</w:t>
      </w:r>
      <w:r w:rsidRPr="00ED0C6A">
        <w:rPr>
          <w:rFonts w:asciiTheme="minorHAnsi" w:hAnsiTheme="minorHAnsi"/>
          <w:sz w:val="24"/>
          <w:lang w:val="pl-PL"/>
        </w:rPr>
        <w:t xml:space="preserve"> (prawo do życia) w aspekcie zapobiegania zagrożeniom życia  </w:t>
      </w:r>
    </w:p>
    <w:p w:rsidR="003A3FE4" w:rsidRPr="00ED0C6A" w:rsidRDefault="003A3FE4" w:rsidP="008176C7">
      <w:pPr>
        <w:pStyle w:val="ClinContent"/>
        <w:spacing w:before="0"/>
        <w:rPr>
          <w:rFonts w:asciiTheme="minorHAnsi" w:hAnsiTheme="minorHAnsi"/>
          <w:sz w:val="24"/>
          <w:lang w:val="pl-PL"/>
        </w:rPr>
      </w:pPr>
    </w:p>
    <w:p w:rsidR="00755C41" w:rsidRPr="00ED0C6A" w:rsidRDefault="00043569" w:rsidP="008176C7">
      <w:pPr>
        <w:pStyle w:val="ClinContent"/>
        <w:spacing w:before="0"/>
        <w:rPr>
          <w:rFonts w:asciiTheme="minorHAnsi" w:hAnsiTheme="minorHAnsi"/>
          <w:i/>
          <w:sz w:val="24"/>
          <w:u w:val="single"/>
          <w:lang w:val="pl-PL"/>
        </w:rPr>
      </w:pPr>
      <w:r w:rsidRPr="00ED0C6A">
        <w:rPr>
          <w:rFonts w:asciiTheme="minorHAnsi" w:hAnsiTheme="minorHAnsi"/>
          <w:sz w:val="24"/>
          <w:lang w:val="pl-PL"/>
        </w:rPr>
        <w:t xml:space="preserve">(b) </w:t>
      </w:r>
      <w:r w:rsidRPr="00ED0C6A">
        <w:rPr>
          <w:rFonts w:asciiTheme="minorHAnsi" w:hAnsiTheme="minorHAnsi"/>
          <w:i/>
          <w:sz w:val="24"/>
          <w:u w:val="single"/>
          <w:lang w:val="pl-PL"/>
        </w:rPr>
        <w:t xml:space="preserve">Obowiązek proceduralny </w:t>
      </w:r>
      <w:r w:rsidR="00755C41" w:rsidRPr="00ED0C6A">
        <w:rPr>
          <w:rFonts w:asciiTheme="minorHAnsi" w:hAnsiTheme="minorHAnsi"/>
          <w:i/>
          <w:sz w:val="24"/>
          <w:u w:val="single"/>
          <w:lang w:val="pl-PL"/>
        </w:rPr>
        <w:t>na podstawie art. 2 Konwencji przeprowadzenia skutecznego śledztwa</w:t>
      </w:r>
    </w:p>
    <w:p w:rsidR="00755C41" w:rsidRPr="00ED0C6A" w:rsidRDefault="00755C41" w:rsidP="008176C7">
      <w:pPr>
        <w:pStyle w:val="ClinContent"/>
        <w:spacing w:before="0"/>
        <w:rPr>
          <w:rFonts w:asciiTheme="minorHAnsi" w:hAnsiTheme="minorHAnsi"/>
          <w:i/>
          <w:sz w:val="24"/>
          <w:lang w:val="pl-PL"/>
        </w:rPr>
      </w:pPr>
    </w:p>
    <w:p w:rsidR="00755C41" w:rsidRPr="00ED0C6A" w:rsidRDefault="00755C41" w:rsidP="008176C7">
      <w:pPr>
        <w:pStyle w:val="ClinContent"/>
        <w:spacing w:before="0"/>
        <w:rPr>
          <w:rFonts w:asciiTheme="minorHAnsi" w:hAnsiTheme="minorHAnsi"/>
          <w:sz w:val="24"/>
          <w:lang w:val="pl-PL"/>
        </w:rPr>
      </w:pPr>
      <w:r w:rsidRPr="00ED0C6A">
        <w:rPr>
          <w:rFonts w:asciiTheme="minorHAnsi" w:hAnsiTheme="minorHAnsi"/>
          <w:sz w:val="24"/>
          <w:lang w:val="pl-PL"/>
        </w:rPr>
        <w:t>Trybunał odnotował, że p</w:t>
      </w:r>
      <w:r w:rsidR="00043569" w:rsidRPr="00ED0C6A">
        <w:rPr>
          <w:rFonts w:asciiTheme="minorHAnsi" w:hAnsiTheme="minorHAnsi"/>
          <w:sz w:val="24"/>
          <w:lang w:val="pl-PL"/>
        </w:rPr>
        <w:t xml:space="preserve">rzyczyna śmierci większości ofiar została ustalona jedynie </w:t>
      </w:r>
      <w:r w:rsidR="00287068" w:rsidRPr="00ED0C6A">
        <w:rPr>
          <w:rFonts w:asciiTheme="minorHAnsi" w:hAnsiTheme="minorHAnsi"/>
          <w:sz w:val="24"/>
          <w:lang w:val="pl-PL"/>
        </w:rPr>
        <w:t>na</w:t>
      </w:r>
      <w:r w:rsidR="003F5966">
        <w:rPr>
          <w:rFonts w:asciiTheme="minorHAnsi" w:hAnsiTheme="minorHAnsi"/>
          <w:sz w:val="24"/>
          <w:lang w:val="pl-PL"/>
        </w:rPr>
        <w:t> </w:t>
      </w:r>
      <w:r w:rsidR="00287068" w:rsidRPr="00ED0C6A">
        <w:rPr>
          <w:rFonts w:asciiTheme="minorHAnsi" w:hAnsiTheme="minorHAnsi"/>
          <w:sz w:val="24"/>
          <w:lang w:val="pl-PL"/>
        </w:rPr>
        <w:t xml:space="preserve">podstawie </w:t>
      </w:r>
      <w:r w:rsidR="00043569" w:rsidRPr="00ED0C6A">
        <w:rPr>
          <w:rFonts w:asciiTheme="minorHAnsi" w:hAnsiTheme="minorHAnsi"/>
          <w:sz w:val="24"/>
          <w:lang w:val="pl-PL"/>
        </w:rPr>
        <w:t>zewnętrznych og</w:t>
      </w:r>
      <w:r w:rsidR="0003640A" w:rsidRPr="00ED0C6A">
        <w:rPr>
          <w:rFonts w:asciiTheme="minorHAnsi" w:hAnsiTheme="minorHAnsi"/>
          <w:sz w:val="24"/>
          <w:lang w:val="pl-PL"/>
        </w:rPr>
        <w:t>lędzin ciała. Nie przeprowadzono</w:t>
      </w:r>
      <w:r w:rsidR="00043569" w:rsidRPr="00ED0C6A">
        <w:rPr>
          <w:rFonts w:asciiTheme="minorHAnsi" w:hAnsiTheme="minorHAnsi"/>
          <w:sz w:val="24"/>
          <w:lang w:val="pl-PL"/>
        </w:rPr>
        <w:t xml:space="preserve"> dalszych badań, na przykład, by zlokalizować, wydobyć i porównać zewnętrzne przedmioty, takie jak fragmenty metalu, odłamki lub kule. </w:t>
      </w:r>
    </w:p>
    <w:p w:rsidR="00755C41" w:rsidRPr="00ED0C6A" w:rsidRDefault="00755C41" w:rsidP="008176C7">
      <w:pPr>
        <w:pStyle w:val="ClinContent"/>
        <w:spacing w:before="0"/>
        <w:rPr>
          <w:rFonts w:asciiTheme="minorHAnsi" w:hAnsiTheme="minorHAnsi"/>
          <w:sz w:val="24"/>
          <w:lang w:val="pl-PL"/>
        </w:rPr>
      </w:pPr>
    </w:p>
    <w:p w:rsidR="00755C41" w:rsidRPr="00ED0C6A" w:rsidRDefault="00287068" w:rsidP="008176C7">
      <w:pPr>
        <w:pStyle w:val="ClinContent"/>
        <w:spacing w:before="0"/>
        <w:rPr>
          <w:rFonts w:asciiTheme="minorHAnsi" w:hAnsiTheme="minorHAnsi"/>
          <w:sz w:val="24"/>
          <w:lang w:val="pl-PL"/>
        </w:rPr>
      </w:pPr>
      <w:r w:rsidRPr="00ED0C6A">
        <w:rPr>
          <w:rFonts w:asciiTheme="minorHAnsi" w:hAnsiTheme="minorHAnsi"/>
          <w:sz w:val="24"/>
          <w:lang w:val="pl-PL"/>
        </w:rPr>
        <w:t>K</w:t>
      </w:r>
      <w:r w:rsidR="00043569" w:rsidRPr="00ED0C6A">
        <w:rPr>
          <w:rFonts w:asciiTheme="minorHAnsi" w:hAnsiTheme="minorHAnsi"/>
          <w:sz w:val="24"/>
          <w:lang w:val="pl-PL"/>
        </w:rPr>
        <w:t xml:space="preserve">rewni osób, które straciły życie w szkole, </w:t>
      </w:r>
      <w:r w:rsidR="00755C41" w:rsidRPr="00ED0C6A">
        <w:rPr>
          <w:rFonts w:asciiTheme="minorHAnsi" w:hAnsiTheme="minorHAnsi"/>
          <w:sz w:val="24"/>
          <w:lang w:val="pl-PL"/>
        </w:rPr>
        <w:t xml:space="preserve">kilkakrotnie </w:t>
      </w:r>
      <w:r w:rsidR="00043569" w:rsidRPr="00ED0C6A">
        <w:rPr>
          <w:rFonts w:asciiTheme="minorHAnsi" w:hAnsiTheme="minorHAnsi"/>
          <w:sz w:val="24"/>
          <w:lang w:val="pl-PL"/>
        </w:rPr>
        <w:t>wnioskowali o przeprowadzenie ekshumacji ciał ofiar i wykonanie dodatkowych badań w celu wypracowania bardziej szczegółowych wniosków dotyczących przyczyn ich śmierci, żaden z takich wniosków nie</w:t>
      </w:r>
      <w:r w:rsidR="003F5966">
        <w:rPr>
          <w:rFonts w:asciiTheme="minorHAnsi" w:hAnsiTheme="minorHAnsi"/>
          <w:sz w:val="24"/>
          <w:lang w:val="pl-PL"/>
        </w:rPr>
        <w:t> </w:t>
      </w:r>
      <w:r w:rsidR="00043569" w:rsidRPr="00ED0C6A">
        <w:rPr>
          <w:rFonts w:asciiTheme="minorHAnsi" w:hAnsiTheme="minorHAnsi"/>
          <w:sz w:val="24"/>
          <w:lang w:val="pl-PL"/>
        </w:rPr>
        <w:t xml:space="preserve">został </w:t>
      </w:r>
      <w:r w:rsidRPr="00ED0C6A">
        <w:rPr>
          <w:rFonts w:asciiTheme="minorHAnsi" w:hAnsiTheme="minorHAnsi"/>
          <w:sz w:val="24"/>
          <w:lang w:val="pl-PL"/>
        </w:rPr>
        <w:t xml:space="preserve">jednak </w:t>
      </w:r>
      <w:r w:rsidR="00043569" w:rsidRPr="00ED0C6A">
        <w:rPr>
          <w:rFonts w:asciiTheme="minorHAnsi" w:hAnsiTheme="minorHAnsi"/>
          <w:sz w:val="24"/>
          <w:lang w:val="pl-PL"/>
        </w:rPr>
        <w:t xml:space="preserve">uwzględniony. </w:t>
      </w:r>
    </w:p>
    <w:p w:rsidR="00755C41" w:rsidRPr="00ED0C6A" w:rsidRDefault="00755C41" w:rsidP="008176C7">
      <w:pPr>
        <w:pStyle w:val="ClinContent"/>
        <w:spacing w:before="0"/>
        <w:rPr>
          <w:rFonts w:asciiTheme="minorHAnsi" w:hAnsiTheme="minorHAnsi"/>
          <w:sz w:val="24"/>
          <w:lang w:val="pl-PL"/>
        </w:rPr>
      </w:pPr>
    </w:p>
    <w:p w:rsidR="00043569"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Jedna trzecia ofiar zmarła z powodów, których nie można było ustalić w sposób pewny z</w:t>
      </w:r>
      <w:r w:rsidR="003F5966">
        <w:rPr>
          <w:rFonts w:asciiTheme="minorHAnsi" w:hAnsiTheme="minorHAnsi"/>
          <w:sz w:val="24"/>
          <w:lang w:val="pl-PL"/>
        </w:rPr>
        <w:t> </w:t>
      </w:r>
      <w:r w:rsidRPr="00ED0C6A">
        <w:rPr>
          <w:rFonts w:asciiTheme="minorHAnsi" w:hAnsiTheme="minorHAnsi"/>
          <w:sz w:val="24"/>
          <w:lang w:val="pl-PL"/>
        </w:rPr>
        <w:t xml:space="preserve">uwagi na rozległe oparzenia. Tak duża proporcja przypadków niewyjaśnionej śmierci wydaje się uderzająca. </w:t>
      </w:r>
      <w:r w:rsidR="00755C41" w:rsidRPr="00ED0C6A">
        <w:rPr>
          <w:rFonts w:asciiTheme="minorHAnsi" w:hAnsiTheme="minorHAnsi"/>
          <w:sz w:val="24"/>
          <w:lang w:val="pl-PL"/>
        </w:rPr>
        <w:t xml:space="preserve">Trybunał zauważył także, że </w:t>
      </w:r>
      <w:r w:rsidR="00287068" w:rsidRPr="00ED0C6A">
        <w:rPr>
          <w:rFonts w:asciiTheme="minorHAnsi" w:hAnsiTheme="minorHAnsi"/>
          <w:sz w:val="24"/>
          <w:lang w:val="pl-PL"/>
        </w:rPr>
        <w:t>położenie</w:t>
      </w:r>
      <w:r w:rsidRPr="00ED0C6A">
        <w:rPr>
          <w:rFonts w:asciiTheme="minorHAnsi" w:hAnsiTheme="minorHAnsi"/>
          <w:sz w:val="24"/>
          <w:lang w:val="pl-PL"/>
        </w:rPr>
        <w:t xml:space="preserve"> ciał zakładników w szkole nie</w:t>
      </w:r>
      <w:r w:rsidR="003F5966">
        <w:rPr>
          <w:rFonts w:asciiTheme="minorHAnsi" w:hAnsiTheme="minorHAnsi"/>
          <w:sz w:val="24"/>
          <w:lang w:val="pl-PL"/>
        </w:rPr>
        <w:t> </w:t>
      </w:r>
      <w:r w:rsidRPr="00ED0C6A">
        <w:rPr>
          <w:rFonts w:asciiTheme="minorHAnsi" w:hAnsiTheme="minorHAnsi"/>
          <w:sz w:val="24"/>
          <w:lang w:val="pl-PL"/>
        </w:rPr>
        <w:t>zostało oznaczone ani zarejestrowane w jakikolwiek precyzyjny sposób. Brak</w:t>
      </w:r>
      <w:r w:rsidR="003F5966">
        <w:rPr>
          <w:rFonts w:asciiTheme="minorHAnsi" w:hAnsiTheme="minorHAnsi"/>
          <w:sz w:val="24"/>
          <w:lang w:val="pl-PL"/>
        </w:rPr>
        <w:t> </w:t>
      </w:r>
      <w:r w:rsidRPr="00ED0C6A">
        <w:rPr>
          <w:rFonts w:asciiTheme="minorHAnsi" w:hAnsiTheme="minorHAnsi"/>
          <w:sz w:val="24"/>
          <w:lang w:val="pl-PL"/>
        </w:rPr>
        <w:t>tak</w:t>
      </w:r>
      <w:r w:rsidR="003F5966">
        <w:rPr>
          <w:rFonts w:asciiTheme="minorHAnsi" w:hAnsiTheme="minorHAnsi"/>
          <w:sz w:val="24"/>
          <w:lang w:val="pl-PL"/>
        </w:rPr>
        <w:t> </w:t>
      </w:r>
      <w:r w:rsidRPr="00ED0C6A">
        <w:rPr>
          <w:rFonts w:asciiTheme="minorHAnsi" w:hAnsiTheme="minorHAnsi"/>
          <w:sz w:val="24"/>
          <w:lang w:val="pl-PL"/>
        </w:rPr>
        <w:t xml:space="preserve">podstawowej informacji jak miejsce śmierci ofiar przyczynił się do niejasności </w:t>
      </w:r>
      <w:r w:rsidR="00287068" w:rsidRPr="00ED0C6A">
        <w:rPr>
          <w:rFonts w:asciiTheme="minorHAnsi" w:hAnsiTheme="minorHAnsi"/>
          <w:sz w:val="24"/>
          <w:lang w:val="pl-PL"/>
        </w:rPr>
        <w:t>co</w:t>
      </w:r>
      <w:r w:rsidR="003F5966">
        <w:rPr>
          <w:rFonts w:asciiTheme="minorHAnsi" w:hAnsiTheme="minorHAnsi"/>
          <w:sz w:val="24"/>
          <w:lang w:val="pl-PL"/>
        </w:rPr>
        <w:t> </w:t>
      </w:r>
      <w:r w:rsidR="00287068" w:rsidRPr="00ED0C6A">
        <w:rPr>
          <w:rFonts w:asciiTheme="minorHAnsi" w:hAnsiTheme="minorHAnsi"/>
          <w:sz w:val="24"/>
          <w:lang w:val="pl-PL"/>
        </w:rPr>
        <w:t>do</w:t>
      </w:r>
      <w:r w:rsidR="003F5966">
        <w:rPr>
          <w:rFonts w:asciiTheme="minorHAnsi" w:hAnsiTheme="minorHAnsi"/>
          <w:sz w:val="24"/>
          <w:lang w:val="pl-PL"/>
        </w:rPr>
        <w:t> </w:t>
      </w:r>
      <w:r w:rsidRPr="00ED0C6A">
        <w:rPr>
          <w:rFonts w:asciiTheme="minorHAnsi" w:hAnsiTheme="minorHAnsi"/>
          <w:sz w:val="24"/>
          <w:lang w:val="pl-PL"/>
        </w:rPr>
        <w:t>okoliczności, w których nastąpiła ich śmierć. Zindywidualizowany opis ich położenia lub</w:t>
      </w:r>
      <w:r w:rsidR="003F5966">
        <w:rPr>
          <w:rFonts w:asciiTheme="minorHAnsi" w:hAnsiTheme="minorHAnsi"/>
          <w:sz w:val="24"/>
          <w:lang w:val="pl-PL"/>
        </w:rPr>
        <w:t> </w:t>
      </w:r>
      <w:r w:rsidR="00287068" w:rsidRPr="00ED0C6A">
        <w:rPr>
          <w:rFonts w:asciiTheme="minorHAnsi" w:hAnsiTheme="minorHAnsi"/>
          <w:sz w:val="24"/>
          <w:lang w:val="pl-PL"/>
        </w:rPr>
        <w:t xml:space="preserve">dokładniejsze </w:t>
      </w:r>
      <w:r w:rsidRPr="00ED0C6A">
        <w:rPr>
          <w:rFonts w:asciiTheme="minorHAnsi" w:hAnsiTheme="minorHAnsi"/>
          <w:sz w:val="24"/>
          <w:lang w:val="pl-PL"/>
        </w:rPr>
        <w:t xml:space="preserve">zbadanie szczątków mogło </w:t>
      </w:r>
      <w:r w:rsidR="00755C41" w:rsidRPr="00ED0C6A">
        <w:rPr>
          <w:rFonts w:asciiTheme="minorHAnsi" w:hAnsiTheme="minorHAnsi"/>
          <w:sz w:val="24"/>
          <w:lang w:val="pl-PL"/>
        </w:rPr>
        <w:t xml:space="preserve">zaś </w:t>
      </w:r>
      <w:r w:rsidRPr="00ED0C6A">
        <w:rPr>
          <w:rFonts w:asciiTheme="minorHAnsi" w:hAnsiTheme="minorHAnsi"/>
          <w:sz w:val="24"/>
          <w:lang w:val="pl-PL"/>
        </w:rPr>
        <w:t xml:space="preserve">posłużyć za punkt wyjścia do wyciągnięcia wielu istotnych wniosków w trakcie śledztwa. </w:t>
      </w:r>
      <w:r w:rsidR="00755C41" w:rsidRPr="00ED0C6A">
        <w:rPr>
          <w:rFonts w:asciiTheme="minorHAnsi" w:hAnsiTheme="minorHAnsi"/>
          <w:sz w:val="24"/>
          <w:lang w:val="pl-PL"/>
        </w:rPr>
        <w:t xml:space="preserve">W opinii Trybunału </w:t>
      </w:r>
      <w:r w:rsidR="00287068" w:rsidRPr="00ED0C6A">
        <w:rPr>
          <w:rFonts w:asciiTheme="minorHAnsi" w:hAnsiTheme="minorHAnsi"/>
          <w:sz w:val="24"/>
          <w:lang w:val="pl-PL"/>
        </w:rPr>
        <w:t>brak</w:t>
      </w:r>
      <w:r w:rsidRPr="00ED0C6A">
        <w:rPr>
          <w:rFonts w:asciiTheme="minorHAnsi" w:hAnsiTheme="minorHAnsi"/>
          <w:sz w:val="24"/>
          <w:lang w:val="pl-PL"/>
        </w:rPr>
        <w:t xml:space="preserve"> </w:t>
      </w:r>
      <w:r w:rsidR="009B1FE7" w:rsidRPr="00ED0C6A">
        <w:rPr>
          <w:rFonts w:asciiTheme="minorHAnsi" w:hAnsiTheme="minorHAnsi"/>
          <w:sz w:val="24"/>
          <w:lang w:val="pl-PL"/>
        </w:rPr>
        <w:t xml:space="preserve">ustalenia </w:t>
      </w:r>
      <w:r w:rsidR="00287068" w:rsidRPr="00ED0C6A">
        <w:rPr>
          <w:rFonts w:asciiTheme="minorHAnsi" w:hAnsiTheme="minorHAnsi"/>
          <w:sz w:val="24"/>
          <w:lang w:val="pl-PL"/>
        </w:rPr>
        <w:t xml:space="preserve">informacji stanowiących podstawę </w:t>
      </w:r>
      <w:r w:rsidR="009B1FE7" w:rsidRPr="00ED0C6A">
        <w:rPr>
          <w:rFonts w:asciiTheme="minorHAnsi" w:hAnsiTheme="minorHAnsi"/>
          <w:sz w:val="24"/>
          <w:lang w:val="pl-PL"/>
        </w:rPr>
        <w:t xml:space="preserve">do </w:t>
      </w:r>
      <w:r w:rsidR="00287068" w:rsidRPr="00ED0C6A">
        <w:rPr>
          <w:rFonts w:asciiTheme="minorHAnsi" w:hAnsiTheme="minorHAnsi"/>
          <w:sz w:val="24"/>
          <w:lang w:val="pl-PL"/>
        </w:rPr>
        <w:t>dalszej</w:t>
      </w:r>
      <w:r w:rsidRPr="00ED0C6A">
        <w:rPr>
          <w:rFonts w:asciiTheme="minorHAnsi" w:hAnsiTheme="minorHAnsi"/>
          <w:sz w:val="24"/>
          <w:lang w:val="pl-PL"/>
        </w:rPr>
        <w:t xml:space="preserve"> analiz</w:t>
      </w:r>
      <w:r w:rsidR="00287068" w:rsidRPr="00ED0C6A">
        <w:rPr>
          <w:rFonts w:asciiTheme="minorHAnsi" w:hAnsiTheme="minorHAnsi"/>
          <w:sz w:val="24"/>
          <w:lang w:val="pl-PL"/>
        </w:rPr>
        <w:t>y</w:t>
      </w:r>
      <w:r w:rsidR="0003640A" w:rsidRPr="00ED0C6A">
        <w:rPr>
          <w:rFonts w:asciiTheme="minorHAnsi" w:hAnsiTheme="minorHAnsi"/>
          <w:sz w:val="24"/>
          <w:lang w:val="pl-PL"/>
        </w:rPr>
        <w:t xml:space="preserve"> </w:t>
      </w:r>
      <w:r w:rsidRPr="00ED0C6A">
        <w:rPr>
          <w:rFonts w:asciiTheme="minorHAnsi" w:hAnsiTheme="minorHAnsi"/>
          <w:sz w:val="24"/>
          <w:lang w:val="pl-PL"/>
        </w:rPr>
        <w:t xml:space="preserve">stanowiło poważne naruszenie wymogów skutecznego śledztwa.    </w:t>
      </w:r>
    </w:p>
    <w:p w:rsidR="00755C41" w:rsidRPr="00ED0C6A" w:rsidRDefault="00755C41" w:rsidP="008176C7">
      <w:pPr>
        <w:pStyle w:val="ClinContent"/>
        <w:spacing w:before="0"/>
        <w:rPr>
          <w:rFonts w:asciiTheme="minorHAnsi" w:hAnsiTheme="minorHAnsi"/>
          <w:sz w:val="24"/>
          <w:lang w:val="pl-PL"/>
        </w:rPr>
      </w:pPr>
    </w:p>
    <w:p w:rsidR="00755C41" w:rsidRPr="00ED0C6A" w:rsidRDefault="00755C41"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Trybunał wytknął ponadto, że </w:t>
      </w:r>
      <w:r w:rsidR="00043569" w:rsidRPr="00ED0C6A">
        <w:rPr>
          <w:rFonts w:asciiTheme="minorHAnsi" w:hAnsiTheme="minorHAnsi"/>
          <w:sz w:val="24"/>
          <w:lang w:val="pl-PL"/>
        </w:rPr>
        <w:t xml:space="preserve">nie </w:t>
      </w:r>
      <w:r w:rsidRPr="00ED0C6A">
        <w:rPr>
          <w:rFonts w:asciiTheme="minorHAnsi" w:hAnsiTheme="minorHAnsi"/>
          <w:sz w:val="24"/>
          <w:lang w:val="pl-PL"/>
        </w:rPr>
        <w:t xml:space="preserve">zdołano </w:t>
      </w:r>
      <w:r w:rsidR="00287068" w:rsidRPr="00ED0C6A">
        <w:rPr>
          <w:rFonts w:asciiTheme="minorHAnsi" w:hAnsiTheme="minorHAnsi"/>
          <w:sz w:val="24"/>
          <w:lang w:val="pl-PL"/>
        </w:rPr>
        <w:t xml:space="preserve">w ramach śledztwa </w:t>
      </w:r>
      <w:r w:rsidR="00043569" w:rsidRPr="00ED0C6A">
        <w:rPr>
          <w:rFonts w:asciiTheme="minorHAnsi" w:hAnsiTheme="minorHAnsi"/>
          <w:sz w:val="24"/>
          <w:lang w:val="pl-PL"/>
        </w:rPr>
        <w:t xml:space="preserve">odpowiednio zabezpieczyć, zebrać i zarejestrować dowodów w budynku szkolnym. Skutkowało to tym, że sporządzony raport był niekompletny w wielu istotnych aspektach. </w:t>
      </w:r>
    </w:p>
    <w:p w:rsidR="00755C41" w:rsidRPr="00ED0C6A" w:rsidRDefault="00755C41" w:rsidP="008176C7">
      <w:pPr>
        <w:pStyle w:val="ClinContent"/>
        <w:spacing w:before="0"/>
        <w:rPr>
          <w:rFonts w:asciiTheme="minorHAnsi" w:hAnsiTheme="minorHAnsi"/>
          <w:sz w:val="24"/>
          <w:lang w:val="pl-PL"/>
        </w:rPr>
      </w:pPr>
    </w:p>
    <w:p w:rsidR="00043569" w:rsidRPr="00ED0C6A" w:rsidRDefault="00755C41" w:rsidP="008176C7">
      <w:pPr>
        <w:pStyle w:val="ClinContent"/>
        <w:spacing w:before="0"/>
        <w:rPr>
          <w:rFonts w:asciiTheme="minorHAnsi" w:hAnsiTheme="minorHAnsi"/>
          <w:sz w:val="24"/>
          <w:lang w:val="pl-PL"/>
        </w:rPr>
      </w:pPr>
      <w:r w:rsidRPr="00ED0C6A">
        <w:rPr>
          <w:rFonts w:asciiTheme="minorHAnsi" w:hAnsiTheme="minorHAnsi"/>
          <w:sz w:val="24"/>
          <w:lang w:val="pl-PL"/>
        </w:rPr>
        <w:t>Ponadto, i</w:t>
      </w:r>
      <w:r w:rsidR="00043569" w:rsidRPr="00ED0C6A">
        <w:rPr>
          <w:rFonts w:asciiTheme="minorHAnsi" w:hAnsiTheme="minorHAnsi"/>
          <w:sz w:val="24"/>
          <w:lang w:val="pl-PL"/>
        </w:rPr>
        <w:t xml:space="preserve">stniał wiarygodny materiał dowodowy wskazujący na użycie przez funkcjonariuszy broni ogólnego rażenia w czasie pierwszych godzin szturmu. Dowody te nie zostały </w:t>
      </w:r>
      <w:r w:rsidRPr="00ED0C6A">
        <w:rPr>
          <w:rFonts w:asciiTheme="minorHAnsi" w:hAnsiTheme="minorHAnsi"/>
          <w:sz w:val="24"/>
          <w:lang w:val="pl-PL"/>
        </w:rPr>
        <w:t xml:space="preserve">jednak </w:t>
      </w:r>
      <w:r w:rsidR="00043569" w:rsidRPr="00ED0C6A">
        <w:rPr>
          <w:rFonts w:asciiTheme="minorHAnsi" w:hAnsiTheme="minorHAnsi"/>
          <w:sz w:val="24"/>
          <w:lang w:val="pl-PL"/>
        </w:rPr>
        <w:t>w</w:t>
      </w:r>
      <w:r w:rsidR="003F5966">
        <w:rPr>
          <w:rFonts w:asciiTheme="minorHAnsi" w:hAnsiTheme="minorHAnsi"/>
          <w:sz w:val="24"/>
          <w:lang w:val="pl-PL"/>
        </w:rPr>
        <w:t> </w:t>
      </w:r>
      <w:r w:rsidR="00043569" w:rsidRPr="00ED0C6A">
        <w:rPr>
          <w:rFonts w:asciiTheme="minorHAnsi" w:hAnsiTheme="minorHAnsi"/>
          <w:sz w:val="24"/>
          <w:lang w:val="pl-PL"/>
        </w:rPr>
        <w:t xml:space="preserve">pełni ocenione w trakcie śledztwa. Brak obiektywnej i bezstronnej informacji na temat </w:t>
      </w:r>
      <w:r w:rsidR="00287068" w:rsidRPr="00ED0C6A">
        <w:rPr>
          <w:rFonts w:asciiTheme="minorHAnsi" w:hAnsiTheme="minorHAnsi"/>
          <w:sz w:val="24"/>
          <w:lang w:val="pl-PL"/>
        </w:rPr>
        <w:t>użycia</w:t>
      </w:r>
      <w:r w:rsidR="00043569" w:rsidRPr="00ED0C6A">
        <w:rPr>
          <w:rFonts w:asciiTheme="minorHAnsi" w:hAnsiTheme="minorHAnsi"/>
          <w:sz w:val="24"/>
          <w:lang w:val="pl-PL"/>
        </w:rPr>
        <w:t xml:space="preserve"> takiej broni stanowił główne nie</w:t>
      </w:r>
      <w:r w:rsidR="00287068" w:rsidRPr="00ED0C6A">
        <w:rPr>
          <w:rFonts w:asciiTheme="minorHAnsi" w:hAnsiTheme="minorHAnsi"/>
          <w:sz w:val="24"/>
          <w:lang w:val="pl-PL"/>
        </w:rPr>
        <w:t>dociągnięcie śledztwa w wyjaśnie</w:t>
      </w:r>
      <w:r w:rsidR="00043569" w:rsidRPr="00ED0C6A">
        <w:rPr>
          <w:rFonts w:asciiTheme="minorHAnsi" w:hAnsiTheme="minorHAnsi"/>
          <w:sz w:val="24"/>
          <w:lang w:val="pl-PL"/>
        </w:rPr>
        <w:t>niu kluczowe</w:t>
      </w:r>
      <w:r w:rsidR="00287068" w:rsidRPr="00ED0C6A">
        <w:rPr>
          <w:rFonts w:asciiTheme="minorHAnsi" w:hAnsiTheme="minorHAnsi"/>
          <w:sz w:val="24"/>
          <w:lang w:val="pl-PL"/>
        </w:rPr>
        <w:t>go aspektu wydarzeń i w stworzeniu</w:t>
      </w:r>
      <w:r w:rsidR="00043569" w:rsidRPr="00ED0C6A">
        <w:rPr>
          <w:rFonts w:asciiTheme="minorHAnsi" w:hAnsiTheme="minorHAnsi"/>
          <w:sz w:val="24"/>
          <w:lang w:val="pl-PL"/>
        </w:rPr>
        <w:t xml:space="preserve"> podstawy do wyciągania wniosków na temat ogólnie działań władz i indywidulanej odpowiedzialności. Wniosek śledztwa, że nikt spośród zakładników nie został ranny lub zabity przez użycie śmiercionośnej siły przez</w:t>
      </w:r>
      <w:r w:rsidR="003F5966">
        <w:rPr>
          <w:rFonts w:asciiTheme="minorHAnsi" w:hAnsiTheme="minorHAnsi"/>
          <w:sz w:val="24"/>
          <w:lang w:val="pl-PL"/>
        </w:rPr>
        <w:t> </w:t>
      </w:r>
      <w:r w:rsidR="00043569" w:rsidRPr="00ED0C6A">
        <w:rPr>
          <w:rFonts w:asciiTheme="minorHAnsi" w:hAnsiTheme="minorHAnsi"/>
          <w:sz w:val="24"/>
          <w:lang w:val="pl-PL"/>
        </w:rPr>
        <w:t xml:space="preserve"> funkcjonariuszy</w:t>
      </w:r>
      <w:r w:rsidRPr="00ED0C6A">
        <w:rPr>
          <w:rFonts w:asciiTheme="minorHAnsi" w:hAnsiTheme="minorHAnsi"/>
          <w:sz w:val="24"/>
          <w:lang w:val="pl-PL"/>
        </w:rPr>
        <w:t>,</w:t>
      </w:r>
      <w:r w:rsidR="00043569" w:rsidRPr="00ED0C6A">
        <w:rPr>
          <w:rFonts w:asciiTheme="minorHAnsi" w:hAnsiTheme="minorHAnsi"/>
          <w:sz w:val="24"/>
          <w:lang w:val="pl-PL"/>
        </w:rPr>
        <w:t xml:space="preserve"> jest nie do utrzymania. </w:t>
      </w:r>
      <w:r w:rsidR="00287068" w:rsidRPr="00ED0C6A">
        <w:rPr>
          <w:rFonts w:asciiTheme="minorHAnsi" w:hAnsiTheme="minorHAnsi"/>
          <w:sz w:val="24"/>
          <w:lang w:val="pl-PL"/>
        </w:rPr>
        <w:t>W powiązaniu z niekompletnym materiałem dowodowym z zakresu medycyny sądowej na temat przyczyn śmierci i obrażeń, niedostatecznym zabezpieczeniem i zebraniem właściwych dowodów z miejsca wydarzeń, wszelkie wnioski dotyczące odpowiedzialności karnej funkcjonariuszy w tym zakresie pozbawione były obiektywnych podstaw, a zatem były nieodpowiednie.</w:t>
      </w:r>
    </w:p>
    <w:p w:rsidR="00755C41" w:rsidRPr="00ED0C6A" w:rsidRDefault="00755C41" w:rsidP="008176C7">
      <w:pPr>
        <w:pStyle w:val="ClinContent"/>
        <w:spacing w:before="0"/>
        <w:rPr>
          <w:rFonts w:asciiTheme="minorHAnsi" w:hAnsiTheme="minorHAnsi"/>
          <w:i/>
          <w:sz w:val="24"/>
          <w:lang w:val="pl-PL"/>
        </w:rPr>
      </w:pPr>
    </w:p>
    <w:p w:rsidR="00043569" w:rsidRPr="00ED0C6A" w:rsidRDefault="00755C41"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Z powyższych względów Trybunał jednomyślnie stwierdził naruszenie art. 2 Konwencji (prawo do życia) w jego aspekcie proceduralnym.  </w:t>
      </w:r>
    </w:p>
    <w:p w:rsidR="00755C41" w:rsidRPr="00ED0C6A" w:rsidRDefault="00755C41" w:rsidP="008176C7">
      <w:pPr>
        <w:pStyle w:val="ClinContent"/>
        <w:spacing w:before="0"/>
        <w:rPr>
          <w:rFonts w:asciiTheme="minorHAnsi" w:hAnsiTheme="minorHAnsi"/>
          <w:sz w:val="24"/>
          <w:lang w:val="pl-PL"/>
        </w:rPr>
      </w:pPr>
    </w:p>
    <w:p w:rsidR="00D018EB" w:rsidRPr="00ED0C6A" w:rsidRDefault="00043569" w:rsidP="008176C7">
      <w:pPr>
        <w:pStyle w:val="ClinContent"/>
        <w:spacing w:before="0"/>
        <w:rPr>
          <w:rFonts w:asciiTheme="minorHAnsi" w:hAnsiTheme="minorHAnsi"/>
          <w:i/>
          <w:sz w:val="24"/>
          <w:u w:val="single"/>
          <w:lang w:val="pl-PL"/>
        </w:rPr>
      </w:pPr>
      <w:r w:rsidRPr="00ED0C6A">
        <w:rPr>
          <w:rFonts w:asciiTheme="minorHAnsi" w:hAnsiTheme="minorHAnsi"/>
          <w:i/>
          <w:sz w:val="24"/>
          <w:u w:val="single"/>
          <w:lang w:val="pl-PL"/>
        </w:rPr>
        <w:t xml:space="preserve">(c) Planowanie i kontrola operacji </w:t>
      </w:r>
      <w:r w:rsidR="00893C31" w:rsidRPr="00ED0C6A">
        <w:rPr>
          <w:rFonts w:asciiTheme="minorHAnsi" w:hAnsiTheme="minorHAnsi"/>
          <w:i/>
          <w:sz w:val="24"/>
          <w:u w:val="single"/>
          <w:lang w:val="pl-PL"/>
        </w:rPr>
        <w:t>bezpieczeństwa wiążącej się z zagrożeniem życia</w:t>
      </w:r>
      <w:r w:rsidR="00E31064" w:rsidRPr="00ED0C6A">
        <w:rPr>
          <w:rFonts w:asciiTheme="minorHAnsi" w:hAnsiTheme="minorHAnsi"/>
          <w:i/>
          <w:sz w:val="24"/>
          <w:u w:val="single"/>
          <w:lang w:val="pl-PL"/>
        </w:rPr>
        <w:t xml:space="preserve"> w świetle art. 2 Konwencji</w:t>
      </w:r>
    </w:p>
    <w:p w:rsidR="00D018EB" w:rsidRPr="00ED0C6A" w:rsidRDefault="00D018EB" w:rsidP="008176C7">
      <w:pPr>
        <w:pStyle w:val="ClinContent"/>
        <w:spacing w:before="0"/>
        <w:rPr>
          <w:rFonts w:asciiTheme="minorHAnsi" w:hAnsiTheme="minorHAnsi"/>
          <w:sz w:val="24"/>
          <w:lang w:val="pl-PL"/>
        </w:rPr>
      </w:pPr>
    </w:p>
    <w:p w:rsidR="00BE4206" w:rsidRPr="00ED0C6A" w:rsidRDefault="00BE4206" w:rsidP="008176C7">
      <w:pPr>
        <w:pStyle w:val="ClinContent"/>
        <w:spacing w:before="0"/>
        <w:rPr>
          <w:rFonts w:asciiTheme="minorHAnsi" w:hAnsiTheme="minorHAnsi"/>
          <w:sz w:val="24"/>
          <w:lang w:val="pl-PL"/>
        </w:rPr>
      </w:pPr>
      <w:r w:rsidRPr="00ED0C6A">
        <w:rPr>
          <w:rFonts w:asciiTheme="minorHAnsi" w:hAnsiTheme="minorHAnsi"/>
          <w:sz w:val="24"/>
          <w:lang w:val="pl-PL"/>
        </w:rPr>
        <w:t>Trybunał uznał już, że b</w:t>
      </w:r>
      <w:r w:rsidR="00043569" w:rsidRPr="00ED0C6A">
        <w:rPr>
          <w:rFonts w:asciiTheme="minorHAnsi" w:hAnsiTheme="minorHAnsi"/>
          <w:sz w:val="24"/>
          <w:lang w:val="pl-PL"/>
        </w:rPr>
        <w:t xml:space="preserve">rak jednej koordynującej </w:t>
      </w:r>
      <w:r w:rsidR="00287068" w:rsidRPr="00ED0C6A">
        <w:rPr>
          <w:rFonts w:asciiTheme="minorHAnsi" w:hAnsiTheme="minorHAnsi"/>
          <w:sz w:val="24"/>
          <w:lang w:val="pl-PL"/>
        </w:rPr>
        <w:t>jednostki</w:t>
      </w:r>
      <w:r w:rsidR="00043569" w:rsidRPr="00ED0C6A">
        <w:rPr>
          <w:rFonts w:asciiTheme="minorHAnsi" w:hAnsiTheme="minorHAnsi"/>
          <w:sz w:val="24"/>
          <w:lang w:val="pl-PL"/>
        </w:rPr>
        <w:t xml:space="preserve"> mającej za zadanie centralne zarządzanie zagrożeniem, planowanie, przydzielanie środków i wymianę informacji z</w:t>
      </w:r>
      <w:r w:rsidR="003F5966">
        <w:rPr>
          <w:rFonts w:asciiTheme="minorHAnsi" w:hAnsiTheme="minorHAnsi"/>
          <w:sz w:val="24"/>
          <w:lang w:val="pl-PL"/>
        </w:rPr>
        <w:t> </w:t>
      </w:r>
      <w:r w:rsidR="00043569" w:rsidRPr="00ED0C6A">
        <w:rPr>
          <w:rFonts w:asciiTheme="minorHAnsi" w:hAnsiTheme="minorHAnsi"/>
          <w:sz w:val="24"/>
          <w:lang w:val="pl-PL"/>
        </w:rPr>
        <w:t>zespołami terenowymi, przyczynił się do braku podjęcia uzasadnionych kroków, które</w:t>
      </w:r>
      <w:r w:rsidR="003F5966">
        <w:rPr>
          <w:rFonts w:asciiTheme="minorHAnsi" w:hAnsiTheme="minorHAnsi"/>
          <w:sz w:val="24"/>
          <w:lang w:val="pl-PL"/>
        </w:rPr>
        <w:t> </w:t>
      </w:r>
      <w:r w:rsidR="00043569" w:rsidRPr="00ED0C6A">
        <w:rPr>
          <w:rFonts w:asciiTheme="minorHAnsi" w:hAnsiTheme="minorHAnsi"/>
          <w:sz w:val="24"/>
          <w:lang w:val="pl-PL"/>
        </w:rPr>
        <w:t>mogły były zapobiec lub zminimalizować zagrożenie</w:t>
      </w:r>
      <w:r w:rsidR="00287068" w:rsidRPr="00ED0C6A">
        <w:rPr>
          <w:rFonts w:asciiTheme="minorHAnsi" w:hAnsiTheme="minorHAnsi"/>
          <w:sz w:val="24"/>
          <w:lang w:val="pl-PL"/>
        </w:rPr>
        <w:t xml:space="preserve"> przed jego urzeczywistnieniem</w:t>
      </w:r>
      <w:r w:rsidR="00043569" w:rsidRPr="00ED0C6A">
        <w:rPr>
          <w:rFonts w:asciiTheme="minorHAnsi" w:hAnsiTheme="minorHAnsi"/>
          <w:sz w:val="24"/>
          <w:lang w:val="pl-PL"/>
        </w:rPr>
        <w:t xml:space="preserve">. </w:t>
      </w:r>
    </w:p>
    <w:p w:rsidR="00BE4206" w:rsidRPr="00ED0C6A" w:rsidRDefault="00BE4206" w:rsidP="008176C7">
      <w:pPr>
        <w:pStyle w:val="ClinContent"/>
        <w:spacing w:before="0"/>
        <w:rPr>
          <w:rFonts w:asciiTheme="minorHAnsi" w:hAnsiTheme="minorHAnsi"/>
          <w:sz w:val="24"/>
          <w:lang w:val="pl-PL"/>
        </w:rPr>
      </w:pPr>
    </w:p>
    <w:p w:rsidR="00BE4206"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Brak koordynacji pojawił się ponownie podczas kolejnych etapów </w:t>
      </w:r>
      <w:r w:rsidR="0003640A" w:rsidRPr="00ED0C6A">
        <w:rPr>
          <w:rFonts w:asciiTheme="minorHAnsi" w:hAnsiTheme="minorHAnsi"/>
          <w:sz w:val="24"/>
          <w:lang w:val="pl-PL"/>
        </w:rPr>
        <w:t>reakcji</w:t>
      </w:r>
      <w:r w:rsidRPr="00ED0C6A">
        <w:rPr>
          <w:rFonts w:asciiTheme="minorHAnsi" w:hAnsiTheme="minorHAnsi"/>
          <w:sz w:val="24"/>
          <w:lang w:val="pl-PL"/>
        </w:rPr>
        <w:t xml:space="preserve"> władz. Kierownictwo oraz skład jednostki, która był</w:t>
      </w:r>
      <w:r w:rsidR="00287068" w:rsidRPr="00ED0C6A">
        <w:rPr>
          <w:rFonts w:asciiTheme="minorHAnsi" w:hAnsiTheme="minorHAnsi"/>
          <w:sz w:val="24"/>
          <w:lang w:val="pl-PL"/>
        </w:rPr>
        <w:t>a odpowiedzialna za zarządzanie</w:t>
      </w:r>
      <w:r w:rsidRPr="00ED0C6A">
        <w:rPr>
          <w:rFonts w:asciiTheme="minorHAnsi" w:hAnsiTheme="minorHAnsi"/>
          <w:sz w:val="24"/>
          <w:lang w:val="pl-PL"/>
        </w:rPr>
        <w:t xml:space="preserve"> kryzysem, zostały oficjalnie określone po ok. 30 godzinach od jego rozpoczęcia. </w:t>
      </w:r>
      <w:r w:rsidR="00287068" w:rsidRPr="00ED0C6A">
        <w:rPr>
          <w:rFonts w:asciiTheme="minorHAnsi" w:hAnsiTheme="minorHAnsi"/>
          <w:sz w:val="24"/>
          <w:lang w:val="pl-PL"/>
        </w:rPr>
        <w:t>Nie wyjaśniono, dlaczego doszło do tak znaczącej zwłoki</w:t>
      </w:r>
      <w:r w:rsidRPr="00ED0C6A">
        <w:rPr>
          <w:rFonts w:asciiTheme="minorHAnsi" w:hAnsiTheme="minorHAnsi"/>
          <w:sz w:val="24"/>
          <w:lang w:val="pl-PL"/>
        </w:rPr>
        <w:t xml:space="preserve"> w powołaniu kluczowej</w:t>
      </w:r>
      <w:r w:rsidR="00287068" w:rsidRPr="00ED0C6A">
        <w:rPr>
          <w:rFonts w:asciiTheme="minorHAnsi" w:hAnsiTheme="minorHAnsi"/>
          <w:sz w:val="24"/>
          <w:lang w:val="pl-PL"/>
        </w:rPr>
        <w:t xml:space="preserve"> jednostki</w:t>
      </w:r>
      <w:r w:rsidRPr="00ED0C6A">
        <w:rPr>
          <w:rFonts w:asciiTheme="minorHAnsi" w:hAnsiTheme="minorHAnsi"/>
          <w:sz w:val="24"/>
          <w:lang w:val="pl-PL"/>
        </w:rPr>
        <w:t xml:space="preserve">, która miała przygotować oraz koordynować działania w reakcji na wzięcie zakładników. Nawet gdy </w:t>
      </w:r>
      <w:r w:rsidR="00287068" w:rsidRPr="00ED0C6A">
        <w:rPr>
          <w:rFonts w:asciiTheme="minorHAnsi" w:hAnsiTheme="minorHAnsi"/>
          <w:sz w:val="24"/>
          <w:lang w:val="pl-PL"/>
        </w:rPr>
        <w:t xml:space="preserve">jednostka </w:t>
      </w:r>
      <w:r w:rsidR="00BE4206" w:rsidRPr="00ED0C6A">
        <w:rPr>
          <w:rFonts w:asciiTheme="minorHAnsi" w:hAnsiTheme="minorHAnsi"/>
          <w:sz w:val="24"/>
          <w:lang w:val="pl-PL"/>
        </w:rPr>
        <w:t xml:space="preserve">ta </w:t>
      </w:r>
      <w:r w:rsidRPr="00ED0C6A">
        <w:rPr>
          <w:rFonts w:asciiTheme="minorHAnsi" w:hAnsiTheme="minorHAnsi"/>
          <w:sz w:val="24"/>
          <w:lang w:val="pl-PL"/>
        </w:rPr>
        <w:t xml:space="preserve">została już powołana, jej </w:t>
      </w:r>
      <w:r w:rsidR="00287068" w:rsidRPr="00ED0C6A">
        <w:rPr>
          <w:rFonts w:asciiTheme="minorHAnsi" w:hAnsiTheme="minorHAnsi"/>
          <w:sz w:val="24"/>
          <w:lang w:val="pl-PL"/>
        </w:rPr>
        <w:t xml:space="preserve">struktura </w:t>
      </w:r>
      <w:r w:rsidR="0085563A" w:rsidRPr="00ED0C6A">
        <w:rPr>
          <w:rFonts w:asciiTheme="minorHAnsi" w:hAnsiTheme="minorHAnsi"/>
          <w:sz w:val="24"/>
          <w:lang w:val="pl-PL"/>
        </w:rPr>
        <w:t>nie była przestrzegana</w:t>
      </w:r>
      <w:r w:rsidRPr="00ED0C6A">
        <w:rPr>
          <w:rFonts w:asciiTheme="minorHAnsi" w:hAnsiTheme="minorHAnsi"/>
          <w:sz w:val="24"/>
          <w:lang w:val="pl-PL"/>
        </w:rPr>
        <w:t xml:space="preserve">. </w:t>
      </w:r>
    </w:p>
    <w:p w:rsidR="00BE4206" w:rsidRPr="00ED0C6A" w:rsidRDefault="00BE4206" w:rsidP="008176C7">
      <w:pPr>
        <w:pStyle w:val="ClinContent"/>
        <w:spacing w:before="0"/>
        <w:rPr>
          <w:rFonts w:asciiTheme="minorHAnsi" w:hAnsiTheme="minorHAnsi"/>
          <w:sz w:val="24"/>
          <w:lang w:val="pl-PL"/>
        </w:rPr>
      </w:pPr>
    </w:p>
    <w:p w:rsidR="00043569"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Brak formalnego kierownictwa operacji skutkował poważnymi wadami w procesie decyzyjnym i koordynacji z innymi właściwymi </w:t>
      </w:r>
      <w:r w:rsidR="0003640A" w:rsidRPr="00ED0C6A">
        <w:rPr>
          <w:rFonts w:asciiTheme="minorHAnsi" w:hAnsiTheme="minorHAnsi"/>
          <w:sz w:val="24"/>
          <w:lang w:val="pl-PL"/>
        </w:rPr>
        <w:t>organami</w:t>
      </w:r>
      <w:r w:rsidRPr="00ED0C6A">
        <w:rPr>
          <w:rFonts w:asciiTheme="minorHAnsi" w:hAnsiTheme="minorHAnsi"/>
          <w:sz w:val="24"/>
          <w:lang w:val="pl-PL"/>
        </w:rPr>
        <w:t>. Plan operacji ratunkowej został przygotowany i przekazany do zainteresowanych służb dopiero dwa i pół dnia od rozpoczęci</w:t>
      </w:r>
      <w:r w:rsidR="00931948" w:rsidRPr="00ED0C6A">
        <w:rPr>
          <w:rFonts w:asciiTheme="minorHAnsi" w:hAnsiTheme="minorHAnsi"/>
          <w:sz w:val="24"/>
          <w:lang w:val="pl-PL"/>
        </w:rPr>
        <w:t>a</w:t>
      </w:r>
      <w:r w:rsidRPr="00ED0C6A">
        <w:rPr>
          <w:rFonts w:asciiTheme="minorHAnsi" w:hAnsiTheme="minorHAnsi"/>
          <w:sz w:val="24"/>
          <w:lang w:val="pl-PL"/>
        </w:rPr>
        <w:t xml:space="preserve"> kryzysu. Nie przewidziano odpowiednich możliwości </w:t>
      </w:r>
      <w:r w:rsidR="0085563A" w:rsidRPr="00ED0C6A">
        <w:rPr>
          <w:rFonts w:asciiTheme="minorHAnsi" w:hAnsiTheme="minorHAnsi"/>
          <w:sz w:val="24"/>
          <w:lang w:val="pl-PL"/>
        </w:rPr>
        <w:t xml:space="preserve">przeprowadzenia </w:t>
      </w:r>
      <w:r w:rsidRPr="00ED0C6A">
        <w:rPr>
          <w:rFonts w:asciiTheme="minorHAnsi" w:hAnsiTheme="minorHAnsi"/>
          <w:sz w:val="24"/>
          <w:lang w:val="pl-PL"/>
        </w:rPr>
        <w:t>badań</w:t>
      </w:r>
      <w:r w:rsidR="0085563A" w:rsidRPr="00ED0C6A">
        <w:rPr>
          <w:rFonts w:asciiTheme="minorHAnsi" w:hAnsiTheme="minorHAnsi"/>
          <w:sz w:val="24"/>
          <w:lang w:val="pl-PL"/>
        </w:rPr>
        <w:t xml:space="preserve"> z zakresu medycyny sądowej</w:t>
      </w:r>
      <w:r w:rsidRPr="00ED0C6A">
        <w:rPr>
          <w:rFonts w:asciiTheme="minorHAnsi" w:hAnsiTheme="minorHAnsi"/>
          <w:sz w:val="24"/>
          <w:lang w:val="pl-PL"/>
        </w:rPr>
        <w:t xml:space="preserve">, przechowywania ciał i sprzętu do przeprowadzania sekcji zwłok. Niejasne jest, kiedy i jak podejmowane i przekazywane były do głównych partnerów najważniejsze decyzje, ani kto je podejmował. </w:t>
      </w:r>
    </w:p>
    <w:p w:rsidR="00893C31" w:rsidRPr="00ED0C6A" w:rsidRDefault="00893C31" w:rsidP="008176C7">
      <w:pPr>
        <w:pStyle w:val="ClinContent"/>
        <w:spacing w:before="0"/>
        <w:rPr>
          <w:rFonts w:asciiTheme="minorHAnsi" w:hAnsiTheme="minorHAnsi"/>
          <w:sz w:val="24"/>
          <w:lang w:val="pl-PL"/>
        </w:rPr>
      </w:pPr>
    </w:p>
    <w:p w:rsidR="00043569" w:rsidRPr="00ED0C6A" w:rsidRDefault="00893C31"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Z powyższych względów Trybunał </w:t>
      </w:r>
      <w:r w:rsidR="00043569" w:rsidRPr="00ED0C6A">
        <w:rPr>
          <w:rFonts w:asciiTheme="minorHAnsi" w:hAnsiTheme="minorHAnsi"/>
          <w:sz w:val="24"/>
          <w:lang w:val="pl-PL"/>
        </w:rPr>
        <w:t>pięcioma głosami do dwóch</w:t>
      </w:r>
      <w:r w:rsidRPr="00ED0C6A">
        <w:rPr>
          <w:rFonts w:asciiTheme="minorHAnsi" w:hAnsiTheme="minorHAnsi"/>
          <w:sz w:val="24"/>
          <w:lang w:val="pl-PL"/>
        </w:rPr>
        <w:t xml:space="preserve"> stwierdził również naruszenie art. 2 Konwencji </w:t>
      </w:r>
      <w:r w:rsidR="00E61B9D" w:rsidRPr="00ED0C6A">
        <w:rPr>
          <w:rFonts w:asciiTheme="minorHAnsi" w:hAnsiTheme="minorHAnsi"/>
          <w:sz w:val="24"/>
          <w:lang w:val="pl-PL"/>
        </w:rPr>
        <w:t xml:space="preserve">(prawo do życia) </w:t>
      </w:r>
      <w:r w:rsidRPr="00ED0C6A">
        <w:rPr>
          <w:rFonts w:asciiTheme="minorHAnsi" w:hAnsiTheme="minorHAnsi"/>
          <w:sz w:val="24"/>
          <w:lang w:val="pl-PL"/>
        </w:rPr>
        <w:t>w aspekcie dotycząc</w:t>
      </w:r>
      <w:r w:rsidR="00D83C1A" w:rsidRPr="00ED0C6A">
        <w:rPr>
          <w:rFonts w:asciiTheme="minorHAnsi" w:hAnsiTheme="minorHAnsi"/>
          <w:sz w:val="24"/>
          <w:lang w:val="pl-PL"/>
        </w:rPr>
        <w:t>ym</w:t>
      </w:r>
      <w:r w:rsidRPr="00ED0C6A">
        <w:rPr>
          <w:rFonts w:asciiTheme="minorHAnsi" w:hAnsiTheme="minorHAnsi"/>
          <w:sz w:val="24"/>
          <w:lang w:val="pl-PL"/>
        </w:rPr>
        <w:t xml:space="preserve"> planowania i kontroli operacji </w:t>
      </w:r>
      <w:r w:rsidR="00E61B9D" w:rsidRPr="00ED0C6A">
        <w:rPr>
          <w:rFonts w:asciiTheme="minorHAnsi" w:hAnsiTheme="minorHAnsi"/>
          <w:sz w:val="24"/>
          <w:lang w:val="pl-PL"/>
        </w:rPr>
        <w:t>bezpieczeństwa</w:t>
      </w:r>
      <w:r w:rsidRPr="00ED0C6A">
        <w:rPr>
          <w:rFonts w:asciiTheme="minorHAnsi" w:hAnsiTheme="minorHAnsi"/>
          <w:sz w:val="24"/>
          <w:lang w:val="pl-PL"/>
        </w:rPr>
        <w:t xml:space="preserve">. </w:t>
      </w:r>
    </w:p>
    <w:p w:rsidR="00BE4206" w:rsidRPr="00ED0C6A" w:rsidRDefault="00BE4206" w:rsidP="008176C7">
      <w:pPr>
        <w:pStyle w:val="ClinContent"/>
        <w:spacing w:before="0"/>
        <w:rPr>
          <w:rFonts w:asciiTheme="minorHAnsi" w:hAnsiTheme="minorHAnsi"/>
          <w:sz w:val="24"/>
          <w:lang w:val="pl-PL"/>
        </w:rPr>
      </w:pPr>
    </w:p>
    <w:p w:rsidR="00E31064"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(d) </w:t>
      </w:r>
      <w:r w:rsidRPr="00ED0C6A">
        <w:rPr>
          <w:rFonts w:asciiTheme="minorHAnsi" w:hAnsiTheme="minorHAnsi"/>
          <w:i/>
          <w:sz w:val="24"/>
          <w:u w:val="single"/>
          <w:lang w:val="pl-PL"/>
        </w:rPr>
        <w:t>Użycie śmiercionośnej siły</w:t>
      </w:r>
      <w:r w:rsidR="00545987" w:rsidRPr="00ED0C6A">
        <w:rPr>
          <w:rFonts w:asciiTheme="minorHAnsi" w:hAnsiTheme="minorHAnsi"/>
          <w:i/>
          <w:sz w:val="24"/>
          <w:u w:val="single"/>
          <w:lang w:val="pl-PL"/>
        </w:rPr>
        <w:t xml:space="preserve"> w trakcie operacji bezpieczeństwa</w:t>
      </w:r>
      <w:r w:rsidRPr="00ED0C6A">
        <w:rPr>
          <w:rFonts w:asciiTheme="minorHAnsi" w:hAnsiTheme="minorHAnsi"/>
          <w:i/>
          <w:sz w:val="24"/>
          <w:u w:val="single"/>
          <w:lang w:val="pl-PL"/>
        </w:rPr>
        <w:t xml:space="preserve"> </w:t>
      </w:r>
      <w:r w:rsidR="00E31064" w:rsidRPr="00ED0C6A">
        <w:rPr>
          <w:rFonts w:asciiTheme="minorHAnsi" w:hAnsiTheme="minorHAnsi"/>
          <w:i/>
          <w:sz w:val="24"/>
          <w:u w:val="single"/>
          <w:lang w:val="pl-PL"/>
        </w:rPr>
        <w:t>w świetle art. 2 Konwencji</w:t>
      </w:r>
      <w:r w:rsidRPr="00ED0C6A">
        <w:rPr>
          <w:rFonts w:asciiTheme="minorHAnsi" w:hAnsiTheme="minorHAnsi"/>
          <w:sz w:val="24"/>
          <w:lang w:val="pl-PL"/>
        </w:rPr>
        <w:t xml:space="preserve"> </w:t>
      </w:r>
    </w:p>
    <w:p w:rsidR="00E31064" w:rsidRPr="00ED0C6A" w:rsidRDefault="00E31064" w:rsidP="008176C7">
      <w:pPr>
        <w:pStyle w:val="ClinContent"/>
        <w:spacing w:before="0"/>
        <w:rPr>
          <w:rFonts w:asciiTheme="minorHAnsi" w:hAnsiTheme="minorHAnsi"/>
          <w:sz w:val="24"/>
          <w:lang w:val="pl-PL"/>
        </w:rPr>
      </w:pPr>
    </w:p>
    <w:p w:rsidR="00FA275D"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Ogólnie rzecz biorąc, </w:t>
      </w:r>
      <w:r w:rsidR="0085563A" w:rsidRPr="00ED0C6A">
        <w:rPr>
          <w:rFonts w:asciiTheme="minorHAnsi" w:hAnsiTheme="minorHAnsi"/>
          <w:sz w:val="24"/>
          <w:lang w:val="pl-PL"/>
        </w:rPr>
        <w:t xml:space="preserve">zdaniem Trybunału </w:t>
      </w:r>
      <w:r w:rsidRPr="00ED0C6A">
        <w:rPr>
          <w:rFonts w:asciiTheme="minorHAnsi" w:hAnsiTheme="minorHAnsi"/>
          <w:sz w:val="24"/>
          <w:lang w:val="pl-PL"/>
        </w:rPr>
        <w:t>z dowodów</w:t>
      </w:r>
      <w:r w:rsidR="0085563A" w:rsidRPr="00ED0C6A">
        <w:rPr>
          <w:rFonts w:asciiTheme="minorHAnsi" w:hAnsiTheme="minorHAnsi"/>
          <w:sz w:val="24"/>
          <w:lang w:val="pl-PL"/>
        </w:rPr>
        <w:t xml:space="preserve"> </w:t>
      </w:r>
      <w:r w:rsidRPr="00ED0C6A">
        <w:rPr>
          <w:rFonts w:asciiTheme="minorHAnsi" w:hAnsiTheme="minorHAnsi"/>
          <w:sz w:val="24"/>
          <w:lang w:val="pl-PL"/>
        </w:rPr>
        <w:t xml:space="preserve">wynika </w:t>
      </w:r>
      <w:r w:rsidR="0085563A" w:rsidRPr="00ED0C6A">
        <w:rPr>
          <w:rFonts w:asciiTheme="minorHAnsi" w:hAnsiTheme="minorHAnsi"/>
          <w:i/>
          <w:sz w:val="24"/>
          <w:lang w:val="pl-PL"/>
        </w:rPr>
        <w:t xml:space="preserve">prima facie </w:t>
      </w:r>
      <w:r w:rsidRPr="00ED0C6A">
        <w:rPr>
          <w:rFonts w:asciiTheme="minorHAnsi" w:hAnsiTheme="minorHAnsi"/>
          <w:sz w:val="24"/>
          <w:lang w:val="pl-PL"/>
        </w:rPr>
        <w:t>twierdzenie, że</w:t>
      </w:r>
      <w:r w:rsidR="003F5966">
        <w:rPr>
          <w:rFonts w:asciiTheme="minorHAnsi" w:hAnsiTheme="minorHAnsi"/>
          <w:sz w:val="24"/>
          <w:lang w:val="pl-PL"/>
        </w:rPr>
        <w:t> </w:t>
      </w:r>
      <w:r w:rsidRPr="00ED0C6A">
        <w:rPr>
          <w:rFonts w:asciiTheme="minorHAnsi" w:hAnsiTheme="minorHAnsi"/>
          <w:sz w:val="24"/>
          <w:lang w:val="pl-PL"/>
        </w:rPr>
        <w:t>funkcjonariusze użyli broni ogólnego rażenia w chwili, gdy terroryści i zakładnicy byli</w:t>
      </w:r>
      <w:r w:rsidR="003F5966">
        <w:rPr>
          <w:rFonts w:asciiTheme="minorHAnsi" w:hAnsiTheme="minorHAnsi"/>
          <w:sz w:val="24"/>
          <w:lang w:val="pl-PL"/>
        </w:rPr>
        <w:t> </w:t>
      </w:r>
      <w:r w:rsidRPr="00ED0C6A">
        <w:rPr>
          <w:rFonts w:asciiTheme="minorHAnsi" w:hAnsiTheme="minorHAnsi"/>
          <w:sz w:val="24"/>
          <w:lang w:val="pl-PL"/>
        </w:rPr>
        <w:t xml:space="preserve">przemieszani. </w:t>
      </w:r>
      <w:r w:rsidR="0085563A" w:rsidRPr="00ED0C6A">
        <w:rPr>
          <w:rFonts w:asciiTheme="minorHAnsi" w:hAnsiTheme="minorHAnsi"/>
          <w:sz w:val="24"/>
          <w:lang w:val="pl-PL"/>
        </w:rPr>
        <w:t>Dowody te</w:t>
      </w:r>
      <w:r w:rsidRPr="00ED0C6A">
        <w:rPr>
          <w:rFonts w:asciiTheme="minorHAnsi" w:hAnsiTheme="minorHAnsi"/>
          <w:sz w:val="24"/>
          <w:lang w:val="pl-PL"/>
        </w:rPr>
        <w:t xml:space="preserve"> w połączeniu z brakiem</w:t>
      </w:r>
      <w:r w:rsidR="0003640A" w:rsidRPr="00ED0C6A">
        <w:rPr>
          <w:rFonts w:asciiTheme="minorHAnsi" w:hAnsiTheme="minorHAnsi"/>
          <w:sz w:val="24"/>
          <w:lang w:val="pl-PL"/>
        </w:rPr>
        <w:t xml:space="preserve"> </w:t>
      </w:r>
      <w:r w:rsidRPr="00ED0C6A">
        <w:rPr>
          <w:rFonts w:asciiTheme="minorHAnsi" w:hAnsiTheme="minorHAnsi"/>
          <w:sz w:val="24"/>
          <w:lang w:val="pl-PL"/>
        </w:rPr>
        <w:t xml:space="preserve">odpowiedniego rozpoznania przyczyn śmierci i okoliczności użycia broni </w:t>
      </w:r>
      <w:r w:rsidR="0085563A" w:rsidRPr="00ED0C6A">
        <w:rPr>
          <w:rFonts w:asciiTheme="minorHAnsi" w:hAnsiTheme="minorHAnsi"/>
          <w:sz w:val="24"/>
          <w:lang w:val="pl-PL"/>
        </w:rPr>
        <w:t>mogą prowadzić do pewnych domniemań</w:t>
      </w:r>
      <w:r w:rsidRPr="00ED0C6A">
        <w:rPr>
          <w:rFonts w:asciiTheme="minorHAnsi" w:hAnsiTheme="minorHAnsi"/>
          <w:sz w:val="24"/>
          <w:lang w:val="pl-PL"/>
        </w:rPr>
        <w:t xml:space="preserve">. </w:t>
      </w:r>
    </w:p>
    <w:p w:rsidR="00FA275D" w:rsidRPr="00ED0C6A" w:rsidRDefault="00FA275D" w:rsidP="008176C7">
      <w:pPr>
        <w:pStyle w:val="ClinContent"/>
        <w:spacing w:before="0"/>
        <w:rPr>
          <w:rFonts w:asciiTheme="minorHAnsi" w:hAnsiTheme="minorHAnsi"/>
          <w:sz w:val="24"/>
          <w:lang w:val="pl-PL"/>
        </w:rPr>
      </w:pPr>
    </w:p>
    <w:p w:rsidR="00FA275D"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Pomimo braku pewności w odniesieniu do poszczególnych osób, znane elementy sprawy pozwoliły na wyciągnięcie przez Trybunał wniosku, że użycie</w:t>
      </w:r>
      <w:r w:rsidR="0085563A" w:rsidRPr="00ED0C6A">
        <w:rPr>
          <w:rFonts w:asciiTheme="minorHAnsi" w:hAnsiTheme="minorHAnsi"/>
          <w:sz w:val="24"/>
          <w:lang w:val="pl-PL"/>
        </w:rPr>
        <w:t xml:space="preserve"> śmiercionośnej</w:t>
      </w:r>
      <w:r w:rsidRPr="00ED0C6A">
        <w:rPr>
          <w:rFonts w:asciiTheme="minorHAnsi" w:hAnsiTheme="minorHAnsi"/>
          <w:sz w:val="24"/>
          <w:lang w:val="pl-PL"/>
        </w:rPr>
        <w:t xml:space="preserve"> siły przez</w:t>
      </w:r>
      <w:r w:rsidR="003F5966">
        <w:rPr>
          <w:rFonts w:asciiTheme="minorHAnsi" w:hAnsiTheme="minorHAnsi"/>
          <w:sz w:val="24"/>
          <w:lang w:val="pl-PL"/>
        </w:rPr>
        <w:t> </w:t>
      </w:r>
      <w:r w:rsidRPr="00ED0C6A">
        <w:rPr>
          <w:rFonts w:asciiTheme="minorHAnsi" w:hAnsiTheme="minorHAnsi"/>
          <w:sz w:val="24"/>
          <w:lang w:val="pl-PL"/>
        </w:rPr>
        <w:t>funkcjonariuszy przyczyniło się, w pewnym stopniu, do ofiar wśród zakładników. Po</w:t>
      </w:r>
      <w:r w:rsidR="003F5966">
        <w:rPr>
          <w:rFonts w:asciiTheme="minorHAnsi" w:hAnsiTheme="minorHAnsi"/>
          <w:sz w:val="24"/>
          <w:lang w:val="pl-PL"/>
        </w:rPr>
        <w:t> </w:t>
      </w:r>
      <w:r w:rsidRPr="00ED0C6A">
        <w:rPr>
          <w:rFonts w:asciiTheme="minorHAnsi" w:hAnsiTheme="minorHAnsi"/>
          <w:sz w:val="24"/>
          <w:lang w:val="pl-PL"/>
        </w:rPr>
        <w:t xml:space="preserve">pierwszych eksplozjach w sali gimnastycznej i otwarciu przez terrorystów ognia </w:t>
      </w:r>
      <w:r w:rsidR="00FA275D" w:rsidRPr="00ED0C6A">
        <w:rPr>
          <w:rFonts w:asciiTheme="minorHAnsi" w:hAnsiTheme="minorHAnsi"/>
          <w:sz w:val="24"/>
          <w:lang w:val="pl-PL"/>
        </w:rPr>
        <w:t>do</w:t>
      </w:r>
      <w:r w:rsidR="003F5966">
        <w:rPr>
          <w:rFonts w:asciiTheme="minorHAnsi" w:hAnsiTheme="minorHAnsi"/>
          <w:sz w:val="24"/>
          <w:lang w:val="pl-PL"/>
        </w:rPr>
        <w:t> </w:t>
      </w:r>
      <w:r w:rsidRPr="00ED0C6A">
        <w:rPr>
          <w:rFonts w:asciiTheme="minorHAnsi" w:hAnsiTheme="minorHAnsi"/>
          <w:sz w:val="24"/>
          <w:lang w:val="pl-PL"/>
        </w:rPr>
        <w:t>uciekających zakładników, ryzyko strat ludzkich na masową skalę stało się rzeczywiste, a</w:t>
      </w:r>
      <w:r w:rsidR="003F5966">
        <w:rPr>
          <w:rFonts w:asciiTheme="minorHAnsi" w:hAnsiTheme="minorHAnsi"/>
          <w:sz w:val="24"/>
          <w:lang w:val="pl-PL"/>
        </w:rPr>
        <w:t> </w:t>
      </w:r>
      <w:r w:rsidRPr="00ED0C6A">
        <w:rPr>
          <w:rFonts w:asciiTheme="minorHAnsi" w:hAnsiTheme="minorHAnsi"/>
          <w:sz w:val="24"/>
          <w:lang w:val="pl-PL"/>
        </w:rPr>
        <w:t xml:space="preserve">władze nie miały innego wyjścia niż </w:t>
      </w:r>
      <w:r w:rsidR="00877C46" w:rsidRPr="00ED0C6A">
        <w:rPr>
          <w:rFonts w:asciiTheme="minorHAnsi" w:hAnsiTheme="minorHAnsi"/>
          <w:sz w:val="24"/>
          <w:lang w:val="pl-PL"/>
        </w:rPr>
        <w:t>przeprowadzić interwencję</w:t>
      </w:r>
      <w:r w:rsidR="0085563A" w:rsidRPr="00ED0C6A">
        <w:rPr>
          <w:rFonts w:asciiTheme="minorHAnsi" w:hAnsiTheme="minorHAnsi"/>
          <w:sz w:val="24"/>
          <w:lang w:val="pl-PL"/>
        </w:rPr>
        <w:t xml:space="preserve"> z użyciem siły</w:t>
      </w:r>
      <w:r w:rsidRPr="00ED0C6A">
        <w:rPr>
          <w:rFonts w:asciiTheme="minorHAnsi" w:hAnsiTheme="minorHAnsi"/>
          <w:sz w:val="24"/>
          <w:lang w:val="pl-PL"/>
        </w:rPr>
        <w:t xml:space="preserve">. </w:t>
      </w:r>
      <w:r w:rsidR="00FA275D" w:rsidRPr="00ED0C6A">
        <w:rPr>
          <w:rFonts w:asciiTheme="minorHAnsi" w:hAnsiTheme="minorHAnsi"/>
          <w:sz w:val="24"/>
          <w:lang w:val="pl-PL"/>
        </w:rPr>
        <w:t>W</w:t>
      </w:r>
      <w:r w:rsidR="003F5966">
        <w:rPr>
          <w:rFonts w:asciiTheme="minorHAnsi" w:hAnsiTheme="minorHAnsi"/>
          <w:sz w:val="24"/>
          <w:lang w:val="pl-PL"/>
        </w:rPr>
        <w:t> </w:t>
      </w:r>
      <w:r w:rsidR="00FA275D" w:rsidRPr="00ED0C6A">
        <w:rPr>
          <w:rFonts w:asciiTheme="minorHAnsi" w:hAnsiTheme="minorHAnsi"/>
          <w:sz w:val="24"/>
          <w:lang w:val="pl-PL"/>
        </w:rPr>
        <w:t>opinii</w:t>
      </w:r>
      <w:r w:rsidR="003F5966">
        <w:rPr>
          <w:rFonts w:asciiTheme="minorHAnsi" w:hAnsiTheme="minorHAnsi"/>
          <w:sz w:val="24"/>
          <w:lang w:val="pl-PL"/>
        </w:rPr>
        <w:t> </w:t>
      </w:r>
      <w:r w:rsidR="00FA275D" w:rsidRPr="00ED0C6A">
        <w:rPr>
          <w:rFonts w:asciiTheme="minorHAnsi" w:hAnsiTheme="minorHAnsi"/>
          <w:sz w:val="24"/>
          <w:lang w:val="pl-PL"/>
        </w:rPr>
        <w:t>Trybunału d</w:t>
      </w:r>
      <w:r w:rsidRPr="00ED0C6A">
        <w:rPr>
          <w:rFonts w:asciiTheme="minorHAnsi" w:hAnsiTheme="minorHAnsi"/>
          <w:sz w:val="24"/>
          <w:lang w:val="pl-PL"/>
        </w:rPr>
        <w:t>ecyzja o posłużeniu się siłą przez funkcjonariuszy była w</w:t>
      </w:r>
      <w:r w:rsidR="003F5966">
        <w:rPr>
          <w:rFonts w:asciiTheme="minorHAnsi" w:hAnsiTheme="minorHAnsi"/>
          <w:sz w:val="24"/>
          <w:lang w:val="pl-PL"/>
        </w:rPr>
        <w:t> </w:t>
      </w:r>
      <w:r w:rsidRPr="00ED0C6A">
        <w:rPr>
          <w:rFonts w:asciiTheme="minorHAnsi" w:hAnsiTheme="minorHAnsi"/>
          <w:sz w:val="24"/>
          <w:lang w:val="pl-PL"/>
        </w:rPr>
        <w:t>tych</w:t>
      </w:r>
      <w:r w:rsidR="003F5966">
        <w:rPr>
          <w:rFonts w:asciiTheme="minorHAnsi" w:hAnsiTheme="minorHAnsi"/>
          <w:sz w:val="24"/>
          <w:lang w:val="pl-PL"/>
        </w:rPr>
        <w:t> </w:t>
      </w:r>
      <w:r w:rsidRPr="00ED0C6A">
        <w:rPr>
          <w:rFonts w:asciiTheme="minorHAnsi" w:hAnsiTheme="minorHAnsi"/>
          <w:sz w:val="24"/>
          <w:lang w:val="pl-PL"/>
        </w:rPr>
        <w:t>okolicznościach</w:t>
      </w:r>
      <w:r w:rsidR="00FA275D" w:rsidRPr="00ED0C6A">
        <w:rPr>
          <w:rFonts w:asciiTheme="minorHAnsi" w:hAnsiTheme="minorHAnsi"/>
          <w:sz w:val="24"/>
          <w:lang w:val="pl-PL"/>
        </w:rPr>
        <w:t xml:space="preserve"> </w:t>
      </w:r>
      <w:r w:rsidR="0085563A" w:rsidRPr="00ED0C6A">
        <w:rPr>
          <w:rFonts w:asciiTheme="minorHAnsi" w:hAnsiTheme="minorHAnsi"/>
          <w:sz w:val="24"/>
          <w:lang w:val="pl-PL"/>
        </w:rPr>
        <w:t xml:space="preserve">uzasadniona </w:t>
      </w:r>
      <w:r w:rsidR="00FA275D" w:rsidRPr="00ED0C6A">
        <w:rPr>
          <w:rFonts w:asciiTheme="minorHAnsi" w:hAnsiTheme="minorHAnsi"/>
          <w:sz w:val="24"/>
          <w:lang w:val="pl-PL"/>
        </w:rPr>
        <w:t>w oparciu o art. 2 ust. 2 lit. a Konwencji</w:t>
      </w:r>
      <w:r w:rsidRPr="00ED0C6A">
        <w:rPr>
          <w:rFonts w:asciiTheme="minorHAnsi" w:hAnsiTheme="minorHAnsi"/>
          <w:sz w:val="24"/>
          <w:lang w:val="pl-PL"/>
        </w:rPr>
        <w:t xml:space="preserve">. </w:t>
      </w:r>
    </w:p>
    <w:p w:rsidR="00043569"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043569" w:rsidRPr="00ED0C6A" w:rsidRDefault="00A70EBC" w:rsidP="008176C7">
      <w:pPr>
        <w:pStyle w:val="ClinContent"/>
        <w:spacing w:before="0"/>
        <w:rPr>
          <w:rFonts w:asciiTheme="minorHAnsi" w:hAnsiTheme="minorHAnsi"/>
          <w:sz w:val="24"/>
          <w:lang w:val="pl-PL"/>
        </w:rPr>
      </w:pPr>
      <w:r w:rsidRPr="00ED0C6A">
        <w:rPr>
          <w:rFonts w:asciiTheme="minorHAnsi" w:hAnsiTheme="minorHAnsi"/>
          <w:sz w:val="24"/>
          <w:lang w:val="pl-PL"/>
        </w:rPr>
        <w:t>Trybunał podkreślił, że d</w:t>
      </w:r>
      <w:r w:rsidR="00043569" w:rsidRPr="00ED0C6A">
        <w:rPr>
          <w:rFonts w:asciiTheme="minorHAnsi" w:hAnsiTheme="minorHAnsi"/>
          <w:sz w:val="24"/>
          <w:lang w:val="pl-PL"/>
        </w:rPr>
        <w:t xml:space="preserve">owództwo operacyjne powinno </w:t>
      </w:r>
      <w:r w:rsidR="0085563A" w:rsidRPr="00ED0C6A">
        <w:rPr>
          <w:rFonts w:asciiTheme="minorHAnsi" w:hAnsiTheme="minorHAnsi"/>
          <w:sz w:val="24"/>
          <w:lang w:val="pl-PL"/>
        </w:rPr>
        <w:t xml:space="preserve">być w stanie podejmować </w:t>
      </w:r>
      <w:r w:rsidR="00043569" w:rsidRPr="00ED0C6A">
        <w:rPr>
          <w:rFonts w:asciiTheme="minorHAnsi" w:hAnsiTheme="minorHAnsi"/>
          <w:sz w:val="24"/>
          <w:lang w:val="pl-PL"/>
        </w:rPr>
        <w:t>szybkie i</w:t>
      </w:r>
      <w:r w:rsidR="003F5966">
        <w:rPr>
          <w:rFonts w:asciiTheme="minorHAnsi" w:hAnsiTheme="minorHAnsi"/>
          <w:sz w:val="24"/>
          <w:lang w:val="pl-PL"/>
        </w:rPr>
        <w:t> </w:t>
      </w:r>
      <w:r w:rsidR="00043569" w:rsidRPr="00ED0C6A">
        <w:rPr>
          <w:rFonts w:asciiTheme="minorHAnsi" w:hAnsiTheme="minorHAnsi"/>
          <w:sz w:val="24"/>
          <w:lang w:val="pl-PL"/>
        </w:rPr>
        <w:t xml:space="preserve">trudne decyzje </w:t>
      </w:r>
      <w:r w:rsidR="00877C46" w:rsidRPr="00ED0C6A">
        <w:rPr>
          <w:rFonts w:asciiTheme="minorHAnsi" w:hAnsiTheme="minorHAnsi"/>
          <w:sz w:val="24"/>
          <w:lang w:val="pl-PL"/>
        </w:rPr>
        <w:t xml:space="preserve">co do </w:t>
      </w:r>
      <w:r w:rsidR="00043569" w:rsidRPr="00ED0C6A">
        <w:rPr>
          <w:rFonts w:asciiTheme="minorHAnsi" w:hAnsiTheme="minorHAnsi"/>
          <w:sz w:val="24"/>
          <w:lang w:val="pl-PL"/>
        </w:rPr>
        <w:t xml:space="preserve">zastosowania środków i metod w celu </w:t>
      </w:r>
      <w:r w:rsidR="0085563A" w:rsidRPr="00ED0C6A">
        <w:rPr>
          <w:rFonts w:asciiTheme="minorHAnsi" w:hAnsiTheme="minorHAnsi"/>
          <w:sz w:val="24"/>
          <w:lang w:val="pl-PL"/>
        </w:rPr>
        <w:t xml:space="preserve">jak najszybszego </w:t>
      </w:r>
      <w:r w:rsidR="00043569" w:rsidRPr="00ED0C6A">
        <w:rPr>
          <w:rFonts w:asciiTheme="minorHAnsi" w:hAnsiTheme="minorHAnsi"/>
          <w:sz w:val="24"/>
          <w:lang w:val="pl-PL"/>
        </w:rPr>
        <w:t xml:space="preserve">wyeliminowania zagrożenia stwarzanego przez terrorystów. Oprócz zagrożenia stwarzanego przez terrorystów dowódcy musieli </w:t>
      </w:r>
      <w:r w:rsidRPr="00ED0C6A">
        <w:rPr>
          <w:rFonts w:asciiTheme="minorHAnsi" w:hAnsiTheme="minorHAnsi"/>
          <w:sz w:val="24"/>
          <w:lang w:val="pl-PL"/>
        </w:rPr>
        <w:t xml:space="preserve">jednak </w:t>
      </w:r>
      <w:r w:rsidR="00043569" w:rsidRPr="00ED0C6A">
        <w:rPr>
          <w:rFonts w:asciiTheme="minorHAnsi" w:hAnsiTheme="minorHAnsi"/>
          <w:sz w:val="24"/>
          <w:lang w:val="pl-PL"/>
        </w:rPr>
        <w:t xml:space="preserve">uwzględnić </w:t>
      </w:r>
      <w:r w:rsidR="0085563A" w:rsidRPr="00ED0C6A">
        <w:rPr>
          <w:rFonts w:asciiTheme="minorHAnsi" w:hAnsiTheme="minorHAnsi"/>
          <w:sz w:val="24"/>
          <w:lang w:val="pl-PL"/>
        </w:rPr>
        <w:t xml:space="preserve">również </w:t>
      </w:r>
      <w:r w:rsidR="00043569" w:rsidRPr="00ED0C6A">
        <w:rPr>
          <w:rFonts w:asciiTheme="minorHAnsi" w:hAnsiTheme="minorHAnsi"/>
          <w:sz w:val="24"/>
          <w:lang w:val="pl-PL"/>
        </w:rPr>
        <w:t xml:space="preserve">życie ponad 1000 osób trzymanych jako zakładnicy, w tym setek dzieci. </w:t>
      </w:r>
      <w:r w:rsidRPr="00ED0C6A">
        <w:rPr>
          <w:rFonts w:asciiTheme="minorHAnsi" w:hAnsiTheme="minorHAnsi"/>
          <w:sz w:val="24"/>
          <w:lang w:val="pl-PL"/>
        </w:rPr>
        <w:t>Zdaniem Trybunału, p</w:t>
      </w:r>
      <w:r w:rsidR="00043569" w:rsidRPr="00ED0C6A">
        <w:rPr>
          <w:rFonts w:asciiTheme="minorHAnsi" w:hAnsiTheme="minorHAnsi"/>
          <w:sz w:val="24"/>
          <w:lang w:val="pl-PL"/>
        </w:rPr>
        <w:t xml:space="preserve">oważne </w:t>
      </w:r>
      <w:r w:rsidR="0085563A" w:rsidRPr="00ED0C6A">
        <w:rPr>
          <w:rFonts w:asciiTheme="minorHAnsi" w:hAnsiTheme="minorHAnsi"/>
          <w:sz w:val="24"/>
          <w:lang w:val="pl-PL"/>
        </w:rPr>
        <w:t xml:space="preserve">ryzyko </w:t>
      </w:r>
      <w:r w:rsidR="00043569" w:rsidRPr="00ED0C6A">
        <w:rPr>
          <w:rFonts w:asciiTheme="minorHAnsi" w:hAnsiTheme="minorHAnsi"/>
          <w:sz w:val="24"/>
          <w:lang w:val="pl-PL"/>
        </w:rPr>
        <w:t xml:space="preserve">związane z użyciem </w:t>
      </w:r>
      <w:r w:rsidR="0085563A" w:rsidRPr="00ED0C6A">
        <w:rPr>
          <w:rFonts w:asciiTheme="minorHAnsi" w:hAnsiTheme="minorHAnsi"/>
          <w:sz w:val="24"/>
          <w:lang w:val="pl-PL"/>
        </w:rPr>
        <w:t xml:space="preserve">w takich okolicznościach </w:t>
      </w:r>
      <w:r w:rsidR="00043569" w:rsidRPr="00ED0C6A">
        <w:rPr>
          <w:rFonts w:asciiTheme="minorHAnsi" w:hAnsiTheme="minorHAnsi"/>
          <w:sz w:val="24"/>
          <w:lang w:val="pl-PL"/>
        </w:rPr>
        <w:t>broni o ogólnym rażeniu powinno było być</w:t>
      </w:r>
      <w:r w:rsidR="003F5966">
        <w:rPr>
          <w:rFonts w:asciiTheme="minorHAnsi" w:hAnsiTheme="minorHAnsi"/>
          <w:sz w:val="24"/>
          <w:lang w:val="pl-PL"/>
        </w:rPr>
        <w:t> </w:t>
      </w:r>
      <w:r w:rsidR="00043569" w:rsidRPr="00ED0C6A">
        <w:rPr>
          <w:rFonts w:asciiTheme="minorHAnsi" w:hAnsiTheme="minorHAnsi"/>
          <w:sz w:val="24"/>
          <w:lang w:val="pl-PL"/>
        </w:rPr>
        <w:t xml:space="preserve">oczywiste dla każdej osoby podejmującej takie decyzje. Wszystkie istotne czynniki powinny były zostać </w:t>
      </w:r>
      <w:r w:rsidR="0085563A" w:rsidRPr="00ED0C6A">
        <w:rPr>
          <w:rFonts w:asciiTheme="minorHAnsi" w:hAnsiTheme="minorHAnsi"/>
          <w:sz w:val="24"/>
          <w:lang w:val="pl-PL"/>
        </w:rPr>
        <w:t>roz</w:t>
      </w:r>
      <w:r w:rsidR="00043569" w:rsidRPr="00ED0C6A">
        <w:rPr>
          <w:rFonts w:asciiTheme="minorHAnsi" w:hAnsiTheme="minorHAnsi"/>
          <w:sz w:val="24"/>
          <w:lang w:val="pl-PL"/>
        </w:rPr>
        <w:t>ważone i starannie przeanalizowane z</w:t>
      </w:r>
      <w:r w:rsidR="0085563A" w:rsidRPr="00ED0C6A">
        <w:rPr>
          <w:rFonts w:asciiTheme="minorHAnsi" w:hAnsiTheme="minorHAnsi"/>
          <w:sz w:val="24"/>
          <w:lang w:val="pl-PL"/>
        </w:rPr>
        <w:t xml:space="preserve"> wyprzedzeniem</w:t>
      </w:r>
      <w:r w:rsidR="00043569" w:rsidRPr="00ED0C6A">
        <w:rPr>
          <w:rFonts w:asciiTheme="minorHAnsi" w:hAnsiTheme="minorHAnsi"/>
          <w:sz w:val="24"/>
          <w:lang w:val="pl-PL"/>
        </w:rPr>
        <w:t xml:space="preserve">, a użycie takiej broni, jeśli </w:t>
      </w:r>
      <w:r w:rsidR="0085563A" w:rsidRPr="00ED0C6A">
        <w:rPr>
          <w:rFonts w:asciiTheme="minorHAnsi" w:hAnsiTheme="minorHAnsi"/>
          <w:sz w:val="24"/>
          <w:lang w:val="pl-PL"/>
        </w:rPr>
        <w:t xml:space="preserve">byłoby </w:t>
      </w:r>
      <w:r w:rsidR="00043569" w:rsidRPr="00ED0C6A">
        <w:rPr>
          <w:rFonts w:asciiTheme="minorHAnsi" w:hAnsiTheme="minorHAnsi"/>
          <w:sz w:val="24"/>
          <w:lang w:val="pl-PL"/>
        </w:rPr>
        <w:t>niemożliwe do uniknięcia w tych okolicznościach, powinno było podlegać ścisłemu nadzorowi i kontroli na wszystkich etapach, tak by zminimalizować zagrożenie dla</w:t>
      </w:r>
      <w:r w:rsidR="003F5966">
        <w:rPr>
          <w:rFonts w:asciiTheme="minorHAnsi" w:hAnsiTheme="minorHAnsi"/>
          <w:sz w:val="24"/>
          <w:lang w:val="pl-PL"/>
        </w:rPr>
        <w:t> </w:t>
      </w:r>
      <w:r w:rsidR="00043569" w:rsidRPr="00ED0C6A">
        <w:rPr>
          <w:rFonts w:asciiTheme="minorHAnsi" w:hAnsiTheme="minorHAnsi"/>
          <w:sz w:val="24"/>
          <w:lang w:val="pl-PL"/>
        </w:rPr>
        <w:t>zakładników. Siły bezpieczeństwa wykorzystały szero</w:t>
      </w:r>
      <w:r w:rsidR="00877C46" w:rsidRPr="00ED0C6A">
        <w:rPr>
          <w:rFonts w:asciiTheme="minorHAnsi" w:hAnsiTheme="minorHAnsi"/>
          <w:sz w:val="24"/>
          <w:lang w:val="pl-PL"/>
        </w:rPr>
        <w:t>ki arsenał broni, a część z niej</w:t>
      </w:r>
      <w:r w:rsidR="00043569" w:rsidRPr="00ED0C6A">
        <w:rPr>
          <w:rFonts w:asciiTheme="minorHAnsi" w:hAnsiTheme="minorHAnsi"/>
          <w:sz w:val="24"/>
          <w:lang w:val="pl-PL"/>
        </w:rPr>
        <w:t xml:space="preserve"> była niezwykle silna i zdolna </w:t>
      </w:r>
      <w:r w:rsidR="0085563A" w:rsidRPr="00ED0C6A">
        <w:rPr>
          <w:rFonts w:asciiTheme="minorHAnsi" w:hAnsiTheme="minorHAnsi"/>
          <w:sz w:val="24"/>
          <w:lang w:val="pl-PL"/>
        </w:rPr>
        <w:t>spowodować</w:t>
      </w:r>
      <w:r w:rsidR="00043569" w:rsidRPr="00ED0C6A">
        <w:rPr>
          <w:rFonts w:asciiTheme="minorHAnsi" w:hAnsiTheme="minorHAnsi"/>
          <w:sz w:val="24"/>
          <w:lang w:val="pl-PL"/>
        </w:rPr>
        <w:t xml:space="preserve"> dotkliwe obrażenia bez rozróżnienia zarówno </w:t>
      </w:r>
      <w:r w:rsidR="0085563A" w:rsidRPr="00ED0C6A">
        <w:rPr>
          <w:rFonts w:asciiTheme="minorHAnsi" w:hAnsiTheme="minorHAnsi"/>
          <w:sz w:val="24"/>
          <w:lang w:val="pl-PL"/>
        </w:rPr>
        <w:t>u</w:t>
      </w:r>
      <w:r w:rsidR="003F5966">
        <w:rPr>
          <w:rFonts w:asciiTheme="minorHAnsi" w:hAnsiTheme="minorHAnsi"/>
          <w:sz w:val="24"/>
          <w:lang w:val="pl-PL"/>
        </w:rPr>
        <w:t> </w:t>
      </w:r>
      <w:r w:rsidR="0085563A" w:rsidRPr="00ED0C6A">
        <w:rPr>
          <w:rFonts w:asciiTheme="minorHAnsi" w:hAnsiTheme="minorHAnsi"/>
          <w:sz w:val="24"/>
          <w:lang w:val="pl-PL"/>
        </w:rPr>
        <w:t>terrorystów</w:t>
      </w:r>
      <w:r w:rsidR="00877C46" w:rsidRPr="00ED0C6A">
        <w:rPr>
          <w:rFonts w:asciiTheme="minorHAnsi" w:hAnsiTheme="minorHAnsi"/>
          <w:sz w:val="24"/>
          <w:lang w:val="pl-PL"/>
        </w:rPr>
        <w:t>, jak i zakładnik</w:t>
      </w:r>
      <w:r w:rsidR="0085563A" w:rsidRPr="00ED0C6A">
        <w:rPr>
          <w:rFonts w:asciiTheme="minorHAnsi" w:hAnsiTheme="minorHAnsi"/>
          <w:sz w:val="24"/>
          <w:lang w:val="pl-PL"/>
        </w:rPr>
        <w:t>ów</w:t>
      </w:r>
      <w:r w:rsidR="00043569" w:rsidRPr="00ED0C6A">
        <w:rPr>
          <w:rFonts w:asciiTheme="minorHAnsi" w:hAnsiTheme="minorHAnsi"/>
          <w:sz w:val="24"/>
          <w:lang w:val="pl-PL"/>
        </w:rPr>
        <w:t xml:space="preserve">.     </w:t>
      </w:r>
    </w:p>
    <w:p w:rsidR="00A70EBC" w:rsidRPr="00ED0C6A" w:rsidRDefault="00A70EBC" w:rsidP="008176C7">
      <w:pPr>
        <w:pStyle w:val="ClinContent"/>
        <w:spacing w:before="0"/>
        <w:rPr>
          <w:rFonts w:asciiTheme="minorHAnsi" w:hAnsiTheme="minorHAnsi"/>
          <w:sz w:val="24"/>
          <w:lang w:val="pl-PL"/>
        </w:rPr>
      </w:pPr>
    </w:p>
    <w:p w:rsidR="00043569"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Głównym celem operacji powinna być ochrona życia osób przed bezprawną przemocą. Masowe użycie broni o ogólnym rażeniu stało w rażącej sprzeczności z tym celem i nie może być uznane za zgodne ze standardem staranności będącym warunkiem tego typu operacji </w:t>
      </w:r>
      <w:r w:rsidR="00A70EBC" w:rsidRPr="00ED0C6A">
        <w:rPr>
          <w:rFonts w:asciiTheme="minorHAnsi" w:hAnsiTheme="minorHAnsi"/>
          <w:sz w:val="24"/>
          <w:lang w:val="pl-PL"/>
        </w:rPr>
        <w:t xml:space="preserve">wiążącej się z </w:t>
      </w:r>
      <w:r w:rsidRPr="00ED0C6A">
        <w:rPr>
          <w:rFonts w:asciiTheme="minorHAnsi" w:hAnsiTheme="minorHAnsi"/>
          <w:sz w:val="24"/>
          <w:lang w:val="pl-PL"/>
        </w:rPr>
        <w:t>użycie</w:t>
      </w:r>
      <w:r w:rsidR="00A70EBC" w:rsidRPr="00ED0C6A">
        <w:rPr>
          <w:rFonts w:asciiTheme="minorHAnsi" w:hAnsiTheme="minorHAnsi"/>
          <w:sz w:val="24"/>
          <w:lang w:val="pl-PL"/>
        </w:rPr>
        <w:t>m</w:t>
      </w:r>
      <w:r w:rsidRPr="00ED0C6A">
        <w:rPr>
          <w:rFonts w:asciiTheme="minorHAnsi" w:hAnsiTheme="minorHAnsi"/>
          <w:sz w:val="24"/>
          <w:lang w:val="pl-PL"/>
        </w:rPr>
        <w:t xml:space="preserve"> śmiercionośnej siły przez funkcjonariuszy. Takie użycie materiałów wybuchowych i broni o ogólnym rażeniu, z którym wiązało się zagrożenie dla życia ludzkiego, nie może być uznane za absolutnie konieczne w tych okolicznościach. </w:t>
      </w:r>
    </w:p>
    <w:p w:rsidR="00080BDD" w:rsidRPr="00ED0C6A" w:rsidRDefault="00080BDD" w:rsidP="008176C7">
      <w:pPr>
        <w:pStyle w:val="ClinContent"/>
        <w:spacing w:before="0"/>
        <w:rPr>
          <w:rFonts w:asciiTheme="minorHAnsi" w:hAnsiTheme="minorHAnsi"/>
          <w:sz w:val="24"/>
          <w:lang w:val="pl-PL"/>
        </w:rPr>
      </w:pPr>
    </w:p>
    <w:p w:rsidR="00043569"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Ponadto, krajowe ramy prawne nie określały najistotniejszych zasad i ograniczeń w</w:t>
      </w:r>
      <w:r w:rsidR="003F5966">
        <w:rPr>
          <w:rFonts w:asciiTheme="minorHAnsi" w:hAnsiTheme="minorHAnsi"/>
          <w:sz w:val="24"/>
          <w:lang w:val="pl-PL"/>
        </w:rPr>
        <w:t> </w:t>
      </w:r>
      <w:r w:rsidRPr="00ED0C6A">
        <w:rPr>
          <w:rFonts w:asciiTheme="minorHAnsi" w:hAnsiTheme="minorHAnsi"/>
          <w:sz w:val="24"/>
          <w:lang w:val="pl-PL"/>
        </w:rPr>
        <w:t>przedmiocie użycia siły w ramach zgodnych z prawem operacji antyterrorystycznych, w</w:t>
      </w:r>
      <w:r w:rsidR="003F5966">
        <w:rPr>
          <w:rFonts w:asciiTheme="minorHAnsi" w:hAnsiTheme="minorHAnsi"/>
          <w:sz w:val="24"/>
          <w:lang w:val="pl-PL"/>
        </w:rPr>
        <w:t> </w:t>
      </w:r>
      <w:r w:rsidRPr="00ED0C6A">
        <w:rPr>
          <w:rFonts w:asciiTheme="minorHAnsi" w:hAnsiTheme="minorHAnsi"/>
          <w:sz w:val="24"/>
          <w:lang w:val="pl-PL"/>
        </w:rPr>
        <w:t>tym prawnego obowiązku ochrony życia każdej osoby, czego wymaga Konwencja. W</w:t>
      </w:r>
      <w:r w:rsidR="003F5966">
        <w:rPr>
          <w:rFonts w:asciiTheme="minorHAnsi" w:hAnsiTheme="minorHAnsi"/>
          <w:sz w:val="24"/>
          <w:lang w:val="pl-PL"/>
        </w:rPr>
        <w:t> </w:t>
      </w:r>
      <w:r w:rsidRPr="00ED0C6A">
        <w:rPr>
          <w:rFonts w:asciiTheme="minorHAnsi" w:hAnsiTheme="minorHAnsi"/>
          <w:sz w:val="24"/>
          <w:lang w:val="pl-PL"/>
        </w:rPr>
        <w:t>połączeniu z szerokim immunitetem w odniesieniu do wszelkich szkód wyrządzonych w</w:t>
      </w:r>
      <w:r w:rsidR="003F5966">
        <w:rPr>
          <w:rFonts w:asciiTheme="minorHAnsi" w:hAnsiTheme="minorHAnsi"/>
          <w:sz w:val="24"/>
          <w:lang w:val="pl-PL"/>
        </w:rPr>
        <w:t> </w:t>
      </w:r>
      <w:r w:rsidRPr="00ED0C6A">
        <w:rPr>
          <w:rFonts w:asciiTheme="minorHAnsi" w:hAnsiTheme="minorHAnsi"/>
          <w:sz w:val="24"/>
          <w:lang w:val="pl-PL"/>
        </w:rPr>
        <w:t>trakcie operacji antyterrorystycznych</w:t>
      </w:r>
      <w:r w:rsidR="00D83C1A" w:rsidRPr="00ED0C6A">
        <w:rPr>
          <w:rFonts w:asciiTheme="minorHAnsi" w:hAnsiTheme="minorHAnsi"/>
          <w:sz w:val="24"/>
          <w:lang w:val="pl-PL"/>
        </w:rPr>
        <w:t xml:space="preserve"> </w:t>
      </w:r>
      <w:r w:rsidRPr="00ED0C6A">
        <w:rPr>
          <w:rFonts w:asciiTheme="minorHAnsi" w:hAnsiTheme="minorHAnsi"/>
          <w:sz w:val="24"/>
          <w:lang w:val="pl-PL"/>
        </w:rPr>
        <w:t>sytuacja ta skutkowała powstaniem groźnej luki w</w:t>
      </w:r>
      <w:r w:rsidR="003F5966">
        <w:rPr>
          <w:rFonts w:asciiTheme="minorHAnsi" w:hAnsiTheme="minorHAnsi"/>
          <w:sz w:val="24"/>
          <w:lang w:val="pl-PL"/>
        </w:rPr>
        <w:t> </w:t>
      </w:r>
      <w:r w:rsidRPr="00ED0C6A">
        <w:rPr>
          <w:rFonts w:asciiTheme="minorHAnsi" w:hAnsiTheme="minorHAnsi"/>
          <w:sz w:val="24"/>
          <w:lang w:val="pl-PL"/>
        </w:rPr>
        <w:t xml:space="preserve">uregulowaniach dotyczących sytuacji możliwego pozbawienia życia. Rosja nie ustanowiła więc ram </w:t>
      </w:r>
      <w:r w:rsidR="0085563A" w:rsidRPr="00ED0C6A">
        <w:rPr>
          <w:rFonts w:asciiTheme="minorHAnsi" w:hAnsiTheme="minorHAnsi"/>
          <w:sz w:val="24"/>
          <w:lang w:val="pl-PL"/>
        </w:rPr>
        <w:t xml:space="preserve">systemu </w:t>
      </w:r>
      <w:r w:rsidRPr="00ED0C6A">
        <w:rPr>
          <w:rFonts w:asciiTheme="minorHAnsi" w:hAnsiTheme="minorHAnsi"/>
          <w:sz w:val="24"/>
          <w:lang w:val="pl-PL"/>
        </w:rPr>
        <w:t>odpowiednich i skutecznych zabezpieczeń przed arbitralnością i</w:t>
      </w:r>
      <w:r w:rsidR="003F5966">
        <w:rPr>
          <w:rFonts w:asciiTheme="minorHAnsi" w:hAnsiTheme="minorHAnsi"/>
          <w:sz w:val="24"/>
          <w:lang w:val="pl-PL"/>
        </w:rPr>
        <w:t> </w:t>
      </w:r>
      <w:r w:rsidRPr="00ED0C6A">
        <w:rPr>
          <w:rFonts w:asciiTheme="minorHAnsi" w:hAnsiTheme="minorHAnsi"/>
          <w:sz w:val="24"/>
          <w:lang w:val="pl-PL"/>
        </w:rPr>
        <w:t xml:space="preserve">nadużyciem siły.    </w:t>
      </w:r>
    </w:p>
    <w:p w:rsidR="00080BDD" w:rsidRPr="00ED0C6A" w:rsidRDefault="00080BDD" w:rsidP="008176C7">
      <w:pPr>
        <w:pStyle w:val="ClinContent"/>
        <w:spacing w:before="0"/>
        <w:rPr>
          <w:rFonts w:asciiTheme="minorHAnsi" w:hAnsiTheme="minorHAnsi"/>
          <w:i/>
          <w:sz w:val="24"/>
          <w:lang w:val="pl-PL"/>
        </w:rPr>
      </w:pPr>
    </w:p>
    <w:p w:rsidR="00043569" w:rsidRPr="00ED0C6A" w:rsidRDefault="00080BDD" w:rsidP="008176C7">
      <w:pPr>
        <w:pStyle w:val="ClinContent"/>
        <w:spacing w:before="0"/>
        <w:rPr>
          <w:rFonts w:asciiTheme="minorHAnsi" w:hAnsiTheme="minorHAnsi"/>
          <w:sz w:val="24"/>
          <w:lang w:val="pl-PL"/>
        </w:rPr>
      </w:pPr>
      <w:r w:rsidRPr="00ED0C6A">
        <w:rPr>
          <w:rFonts w:asciiTheme="minorHAnsi" w:hAnsiTheme="minorHAnsi"/>
          <w:sz w:val="24"/>
          <w:lang w:val="pl-PL"/>
        </w:rPr>
        <w:t>Z powyższych względów Trybunał uznał</w:t>
      </w:r>
      <w:r w:rsidR="00321B58" w:rsidRPr="00ED0C6A">
        <w:rPr>
          <w:rFonts w:asciiTheme="minorHAnsi" w:hAnsiTheme="minorHAnsi"/>
          <w:sz w:val="24"/>
          <w:lang w:val="pl-PL"/>
        </w:rPr>
        <w:t xml:space="preserve"> pięcioma głosami do dwóch</w:t>
      </w:r>
      <w:r w:rsidRPr="00ED0C6A">
        <w:rPr>
          <w:rFonts w:asciiTheme="minorHAnsi" w:hAnsiTheme="minorHAnsi"/>
          <w:sz w:val="24"/>
          <w:lang w:val="pl-PL"/>
        </w:rPr>
        <w:t xml:space="preserve">, że </w:t>
      </w:r>
      <w:r w:rsidR="002D3762" w:rsidRPr="00ED0C6A">
        <w:rPr>
          <w:rFonts w:asciiTheme="minorHAnsi" w:hAnsiTheme="minorHAnsi"/>
          <w:sz w:val="24"/>
          <w:lang w:val="pl-PL"/>
        </w:rPr>
        <w:t xml:space="preserve">masowe </w:t>
      </w:r>
      <w:r w:rsidRPr="00ED0C6A">
        <w:rPr>
          <w:rFonts w:asciiTheme="minorHAnsi" w:hAnsiTheme="minorHAnsi"/>
          <w:sz w:val="24"/>
          <w:lang w:val="pl-PL"/>
        </w:rPr>
        <w:t xml:space="preserve">użycie śmiercionośnej siły </w:t>
      </w:r>
      <w:r w:rsidR="002D3762" w:rsidRPr="00ED0C6A">
        <w:rPr>
          <w:rFonts w:asciiTheme="minorHAnsi" w:hAnsiTheme="minorHAnsi"/>
          <w:sz w:val="24"/>
          <w:lang w:val="pl-PL"/>
        </w:rPr>
        <w:t xml:space="preserve">przez funkcjonariuszy </w:t>
      </w:r>
      <w:r w:rsidRPr="00ED0C6A">
        <w:rPr>
          <w:rFonts w:asciiTheme="minorHAnsi" w:hAnsiTheme="minorHAnsi"/>
          <w:sz w:val="24"/>
          <w:lang w:val="pl-PL"/>
        </w:rPr>
        <w:t xml:space="preserve">w obecnej sprawie </w:t>
      </w:r>
      <w:r w:rsidR="002D3762" w:rsidRPr="00ED0C6A">
        <w:rPr>
          <w:rFonts w:asciiTheme="minorHAnsi" w:hAnsiTheme="minorHAnsi"/>
          <w:sz w:val="24"/>
          <w:lang w:val="pl-PL"/>
        </w:rPr>
        <w:t>naruszyło</w:t>
      </w:r>
      <w:r w:rsidRPr="00ED0C6A">
        <w:rPr>
          <w:rFonts w:asciiTheme="minorHAnsi" w:hAnsiTheme="minorHAnsi"/>
          <w:sz w:val="24"/>
          <w:lang w:val="pl-PL"/>
        </w:rPr>
        <w:t xml:space="preserve"> art. 2 Konwencji (prawo do życia)</w:t>
      </w:r>
      <w:r w:rsidR="00321B58" w:rsidRPr="00ED0C6A">
        <w:rPr>
          <w:rFonts w:asciiTheme="minorHAnsi" w:hAnsiTheme="minorHAnsi"/>
          <w:sz w:val="24"/>
          <w:lang w:val="pl-PL"/>
        </w:rPr>
        <w:t>.</w:t>
      </w:r>
      <w:r w:rsidRPr="00ED0C6A">
        <w:rPr>
          <w:rFonts w:asciiTheme="minorHAnsi" w:hAnsiTheme="minorHAnsi"/>
          <w:sz w:val="24"/>
          <w:lang w:val="pl-PL"/>
        </w:rPr>
        <w:t xml:space="preserve"> </w:t>
      </w:r>
      <w:r w:rsidR="00321B58" w:rsidRPr="00ED0C6A">
        <w:rPr>
          <w:rFonts w:asciiTheme="minorHAnsi" w:hAnsiTheme="minorHAnsi"/>
          <w:sz w:val="24"/>
          <w:lang w:val="pl-PL"/>
        </w:rPr>
        <w:t xml:space="preserve"> </w:t>
      </w:r>
    </w:p>
    <w:p w:rsidR="00321B58" w:rsidRPr="00ED0C6A" w:rsidRDefault="00321B58" w:rsidP="008176C7">
      <w:pPr>
        <w:pStyle w:val="ClinContent"/>
        <w:spacing w:before="0"/>
        <w:rPr>
          <w:rFonts w:asciiTheme="minorHAnsi" w:hAnsiTheme="minorHAnsi"/>
          <w:sz w:val="24"/>
          <w:lang w:val="pl-PL"/>
        </w:rPr>
      </w:pPr>
    </w:p>
    <w:p w:rsidR="00043569" w:rsidRPr="00ED0C6A" w:rsidRDefault="004405D2"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Badając skargi na podstawie </w:t>
      </w:r>
      <w:r w:rsidRPr="00ED0C6A">
        <w:rPr>
          <w:rFonts w:asciiTheme="minorHAnsi" w:hAnsiTheme="minorHAnsi"/>
          <w:sz w:val="24"/>
          <w:u w:val="single"/>
          <w:lang w:val="pl-PL"/>
        </w:rPr>
        <w:t>a</w:t>
      </w:r>
      <w:r w:rsidR="00043569" w:rsidRPr="00ED0C6A">
        <w:rPr>
          <w:rFonts w:asciiTheme="minorHAnsi" w:hAnsiTheme="minorHAnsi"/>
          <w:sz w:val="24"/>
          <w:u w:val="single"/>
          <w:lang w:val="pl-PL"/>
        </w:rPr>
        <w:t>rt. 13</w:t>
      </w:r>
      <w:r w:rsidRPr="00ED0C6A">
        <w:rPr>
          <w:rFonts w:asciiTheme="minorHAnsi" w:hAnsiTheme="minorHAnsi"/>
          <w:sz w:val="24"/>
          <w:u w:val="single"/>
          <w:lang w:val="pl-PL"/>
        </w:rPr>
        <w:t xml:space="preserve"> Konwencji (prawo do skutecznego środka odwoławczego)</w:t>
      </w:r>
      <w:r w:rsidRPr="00ED0C6A">
        <w:rPr>
          <w:rFonts w:asciiTheme="minorHAnsi" w:hAnsiTheme="minorHAnsi"/>
          <w:sz w:val="24"/>
          <w:lang w:val="pl-PL"/>
        </w:rPr>
        <w:t>, Trybunał przypomniał, że w</w:t>
      </w:r>
      <w:r w:rsidR="00043569" w:rsidRPr="00ED0C6A">
        <w:rPr>
          <w:rFonts w:asciiTheme="minorHAnsi" w:hAnsiTheme="minorHAnsi"/>
          <w:sz w:val="24"/>
          <w:lang w:val="pl-PL"/>
        </w:rPr>
        <w:t>szyscy skarżący otrzymali odszkodowanie od</w:t>
      </w:r>
      <w:r w:rsidR="003F5966">
        <w:rPr>
          <w:rFonts w:asciiTheme="minorHAnsi" w:hAnsiTheme="minorHAnsi"/>
          <w:sz w:val="24"/>
          <w:lang w:val="pl-PL"/>
        </w:rPr>
        <w:t> </w:t>
      </w:r>
      <w:r w:rsidR="00721A8D" w:rsidRPr="00ED0C6A">
        <w:rPr>
          <w:rFonts w:asciiTheme="minorHAnsi" w:hAnsiTheme="minorHAnsi"/>
          <w:sz w:val="24"/>
          <w:lang w:val="pl-PL"/>
        </w:rPr>
        <w:t xml:space="preserve">Państwa </w:t>
      </w:r>
      <w:r w:rsidR="00043569" w:rsidRPr="00ED0C6A">
        <w:rPr>
          <w:rFonts w:asciiTheme="minorHAnsi" w:hAnsiTheme="minorHAnsi"/>
          <w:sz w:val="24"/>
          <w:lang w:val="pl-PL"/>
        </w:rPr>
        <w:t xml:space="preserve">jako ofiary ataku terrorystycznego. Decyzja władz, by przyznawać odszkodowanie w oparciu o stopień odniesionej szkody, niezależnie od wyniku śledztwa, wydaje się </w:t>
      </w:r>
      <w:r w:rsidR="0085563A" w:rsidRPr="00ED0C6A">
        <w:rPr>
          <w:rFonts w:asciiTheme="minorHAnsi" w:hAnsiTheme="minorHAnsi"/>
          <w:sz w:val="24"/>
          <w:lang w:val="pl-PL"/>
        </w:rPr>
        <w:t>brać pod uwagę interesy ofiar</w:t>
      </w:r>
      <w:r w:rsidR="00043569" w:rsidRPr="00ED0C6A">
        <w:rPr>
          <w:rFonts w:asciiTheme="minorHAnsi" w:hAnsiTheme="minorHAnsi"/>
          <w:sz w:val="24"/>
          <w:lang w:val="pl-PL"/>
        </w:rPr>
        <w:t xml:space="preserve">, </w:t>
      </w:r>
      <w:r w:rsidR="0085563A" w:rsidRPr="00ED0C6A">
        <w:rPr>
          <w:rFonts w:asciiTheme="minorHAnsi" w:hAnsiTheme="minorHAnsi"/>
          <w:sz w:val="24"/>
          <w:lang w:val="pl-PL"/>
        </w:rPr>
        <w:t xml:space="preserve">jest </w:t>
      </w:r>
      <w:r w:rsidR="00043569" w:rsidRPr="00ED0C6A">
        <w:rPr>
          <w:rFonts w:asciiTheme="minorHAnsi" w:hAnsiTheme="minorHAnsi"/>
          <w:sz w:val="24"/>
          <w:lang w:val="pl-PL"/>
        </w:rPr>
        <w:t xml:space="preserve">zatem uzasadniona. Podjęto wysiłki, by uczcić żałobę i pomóc całej społeczności Biesłanu w odbudowaniu się po tych </w:t>
      </w:r>
      <w:r w:rsidR="00A12E98" w:rsidRPr="00ED0C6A">
        <w:rPr>
          <w:rFonts w:asciiTheme="minorHAnsi" w:hAnsiTheme="minorHAnsi"/>
          <w:sz w:val="24"/>
          <w:lang w:val="pl-PL"/>
        </w:rPr>
        <w:t xml:space="preserve">tragicznych </w:t>
      </w:r>
      <w:r w:rsidR="00043569" w:rsidRPr="00ED0C6A">
        <w:rPr>
          <w:rFonts w:asciiTheme="minorHAnsi" w:hAnsiTheme="minorHAnsi"/>
          <w:sz w:val="24"/>
          <w:lang w:val="pl-PL"/>
        </w:rPr>
        <w:t xml:space="preserve">wydarzeniach. </w:t>
      </w:r>
      <w:r w:rsidR="00A12E98" w:rsidRPr="00ED0C6A">
        <w:rPr>
          <w:rFonts w:asciiTheme="minorHAnsi" w:hAnsiTheme="minorHAnsi"/>
          <w:sz w:val="24"/>
          <w:lang w:val="pl-PL"/>
        </w:rPr>
        <w:t>Działania</w:t>
      </w:r>
      <w:r w:rsidR="00043569" w:rsidRPr="00ED0C6A">
        <w:rPr>
          <w:rFonts w:asciiTheme="minorHAnsi" w:hAnsiTheme="minorHAnsi"/>
          <w:sz w:val="24"/>
          <w:lang w:val="pl-PL"/>
        </w:rPr>
        <w:t xml:space="preserve"> te należy postrzegać jako część środków generalnych mających służyć wszystkim, którzy zostali dotknięci tymi wydarzeniami. </w:t>
      </w:r>
    </w:p>
    <w:p w:rsidR="004405D2" w:rsidRPr="00ED0C6A" w:rsidRDefault="004405D2" w:rsidP="008176C7">
      <w:pPr>
        <w:pStyle w:val="ClinContent"/>
        <w:spacing w:before="0"/>
        <w:rPr>
          <w:rFonts w:asciiTheme="minorHAnsi" w:hAnsiTheme="minorHAnsi"/>
          <w:sz w:val="24"/>
          <w:lang w:val="pl-PL"/>
        </w:rPr>
      </w:pPr>
    </w:p>
    <w:p w:rsidR="004405D2" w:rsidRPr="00ED0C6A" w:rsidRDefault="00043569" w:rsidP="008176C7">
      <w:pPr>
        <w:pStyle w:val="ClinContent"/>
        <w:spacing w:before="0"/>
        <w:rPr>
          <w:rFonts w:asciiTheme="minorHAnsi" w:hAnsiTheme="minorHAnsi"/>
          <w:sz w:val="24"/>
          <w:lang w:val="pl-PL"/>
        </w:rPr>
      </w:pPr>
      <w:r w:rsidRPr="00ED0C6A">
        <w:rPr>
          <w:rFonts w:asciiTheme="minorHAnsi" w:hAnsiTheme="minorHAnsi"/>
          <w:sz w:val="24"/>
          <w:lang w:val="pl-PL"/>
        </w:rPr>
        <w:t>Poza mechanizm</w:t>
      </w:r>
      <w:r w:rsidR="00A12E98" w:rsidRPr="00ED0C6A">
        <w:rPr>
          <w:rFonts w:asciiTheme="minorHAnsi" w:hAnsiTheme="minorHAnsi"/>
          <w:sz w:val="24"/>
          <w:lang w:val="pl-PL"/>
        </w:rPr>
        <w:t>ami</w:t>
      </w:r>
      <w:r w:rsidRPr="00ED0C6A">
        <w:rPr>
          <w:rFonts w:asciiTheme="minorHAnsi" w:hAnsiTheme="minorHAnsi"/>
          <w:sz w:val="24"/>
          <w:lang w:val="pl-PL"/>
        </w:rPr>
        <w:t xml:space="preserve"> kompensacyjnym</w:t>
      </w:r>
      <w:r w:rsidR="00A12E98" w:rsidRPr="00ED0C6A">
        <w:rPr>
          <w:rFonts w:asciiTheme="minorHAnsi" w:hAnsiTheme="minorHAnsi"/>
          <w:sz w:val="24"/>
          <w:lang w:val="pl-PL"/>
        </w:rPr>
        <w:t>i</w:t>
      </w:r>
      <w:r w:rsidRPr="00ED0C6A">
        <w:rPr>
          <w:rFonts w:asciiTheme="minorHAnsi" w:hAnsiTheme="minorHAnsi"/>
          <w:sz w:val="24"/>
          <w:lang w:val="pl-PL"/>
        </w:rPr>
        <w:t xml:space="preserve">, szczególne znaczenie </w:t>
      </w:r>
      <w:r w:rsidR="004405D2" w:rsidRPr="00ED0C6A">
        <w:rPr>
          <w:rFonts w:asciiTheme="minorHAnsi" w:hAnsiTheme="minorHAnsi"/>
          <w:sz w:val="24"/>
          <w:lang w:val="pl-PL"/>
        </w:rPr>
        <w:t xml:space="preserve">dla Trybunału </w:t>
      </w:r>
      <w:r w:rsidRPr="00ED0C6A">
        <w:rPr>
          <w:rFonts w:asciiTheme="minorHAnsi" w:hAnsiTheme="minorHAnsi"/>
          <w:sz w:val="24"/>
          <w:lang w:val="pl-PL"/>
        </w:rPr>
        <w:t>miał dostęp do</w:t>
      </w:r>
      <w:r w:rsidR="003F5966">
        <w:rPr>
          <w:rFonts w:asciiTheme="minorHAnsi" w:hAnsiTheme="minorHAnsi"/>
          <w:sz w:val="24"/>
          <w:lang w:val="pl-PL"/>
        </w:rPr>
        <w:t> </w:t>
      </w:r>
      <w:r w:rsidRPr="00ED0C6A">
        <w:rPr>
          <w:rFonts w:asciiTheme="minorHAnsi" w:hAnsiTheme="minorHAnsi"/>
          <w:sz w:val="24"/>
          <w:lang w:val="pl-PL"/>
        </w:rPr>
        <w:t xml:space="preserve">informacji dla ofiar zarzucanych naruszeń, </w:t>
      </w:r>
      <w:r w:rsidR="00A12E98" w:rsidRPr="00ED0C6A">
        <w:rPr>
          <w:rFonts w:asciiTheme="minorHAnsi" w:hAnsiTheme="minorHAnsi"/>
          <w:sz w:val="24"/>
          <w:lang w:val="pl-PL"/>
        </w:rPr>
        <w:t xml:space="preserve">a przez to ustalenie prawdy, </w:t>
      </w:r>
      <w:r w:rsidRPr="00ED0C6A">
        <w:rPr>
          <w:rFonts w:asciiTheme="minorHAnsi" w:hAnsiTheme="minorHAnsi"/>
          <w:sz w:val="24"/>
          <w:lang w:val="pl-PL"/>
        </w:rPr>
        <w:t>jak</w:t>
      </w:r>
      <w:r w:rsidR="003F5966">
        <w:rPr>
          <w:rFonts w:asciiTheme="minorHAnsi" w:hAnsiTheme="minorHAnsi"/>
          <w:sz w:val="24"/>
          <w:lang w:val="pl-PL"/>
        </w:rPr>
        <w:t> </w:t>
      </w:r>
      <w:r w:rsidRPr="00ED0C6A">
        <w:rPr>
          <w:rFonts w:asciiTheme="minorHAnsi" w:hAnsiTheme="minorHAnsi"/>
          <w:sz w:val="24"/>
          <w:lang w:val="pl-PL"/>
        </w:rPr>
        <w:t>też</w:t>
      </w:r>
      <w:r w:rsidR="003F5966">
        <w:rPr>
          <w:rFonts w:asciiTheme="minorHAnsi" w:hAnsiTheme="minorHAnsi"/>
          <w:sz w:val="24"/>
          <w:lang w:val="pl-PL"/>
        </w:rPr>
        <w:t> </w:t>
      </w:r>
      <w:r w:rsidRPr="00ED0C6A">
        <w:rPr>
          <w:rFonts w:asciiTheme="minorHAnsi" w:hAnsiTheme="minorHAnsi"/>
          <w:sz w:val="24"/>
          <w:lang w:val="pl-PL"/>
        </w:rPr>
        <w:t xml:space="preserve">zapewnienie sprawiedliwości i zapobieżenie bezkarności sprawców. </w:t>
      </w:r>
      <w:r w:rsidR="004405D2" w:rsidRPr="00ED0C6A">
        <w:rPr>
          <w:rFonts w:asciiTheme="minorHAnsi" w:hAnsiTheme="minorHAnsi"/>
          <w:sz w:val="24"/>
          <w:lang w:val="pl-PL"/>
        </w:rPr>
        <w:t>Zauważył, że</w:t>
      </w:r>
      <w:r w:rsidR="003F5966">
        <w:rPr>
          <w:rFonts w:asciiTheme="minorHAnsi" w:hAnsiTheme="minorHAnsi"/>
          <w:sz w:val="24"/>
          <w:lang w:val="pl-PL"/>
        </w:rPr>
        <w:t> </w:t>
      </w:r>
      <w:r w:rsidR="004405D2" w:rsidRPr="00ED0C6A">
        <w:rPr>
          <w:rFonts w:asciiTheme="minorHAnsi" w:hAnsiTheme="minorHAnsi"/>
          <w:sz w:val="24"/>
          <w:lang w:val="pl-PL"/>
        </w:rPr>
        <w:t>o</w:t>
      </w:r>
      <w:r w:rsidRPr="00ED0C6A">
        <w:rPr>
          <w:rFonts w:asciiTheme="minorHAnsi" w:hAnsiTheme="minorHAnsi"/>
          <w:sz w:val="24"/>
          <w:lang w:val="pl-PL"/>
        </w:rPr>
        <w:t>prócz śledztwa w sprawie ataku terrorystycznego, prowadzonych było szereg innych postępowań. Proces jed</w:t>
      </w:r>
      <w:r w:rsidR="00A12E98" w:rsidRPr="00ED0C6A">
        <w:rPr>
          <w:rFonts w:asciiTheme="minorHAnsi" w:hAnsiTheme="minorHAnsi"/>
          <w:sz w:val="24"/>
          <w:lang w:val="pl-PL"/>
        </w:rPr>
        <w:t>y</w:t>
      </w:r>
      <w:r w:rsidRPr="00ED0C6A">
        <w:rPr>
          <w:rFonts w:asciiTheme="minorHAnsi" w:hAnsiTheme="minorHAnsi"/>
          <w:sz w:val="24"/>
          <w:lang w:val="pl-PL"/>
        </w:rPr>
        <w:t xml:space="preserve">nego </w:t>
      </w:r>
      <w:r w:rsidR="00A12E98" w:rsidRPr="00ED0C6A">
        <w:rPr>
          <w:rFonts w:asciiTheme="minorHAnsi" w:hAnsiTheme="minorHAnsi"/>
          <w:sz w:val="24"/>
          <w:lang w:val="pl-PL"/>
        </w:rPr>
        <w:t xml:space="preserve">terrorysty, który przeżył, </w:t>
      </w:r>
      <w:r w:rsidRPr="00ED0C6A">
        <w:rPr>
          <w:rFonts w:asciiTheme="minorHAnsi" w:hAnsiTheme="minorHAnsi"/>
          <w:sz w:val="24"/>
          <w:lang w:val="pl-PL"/>
        </w:rPr>
        <w:t>doprowadził do jego skazania i</w:t>
      </w:r>
      <w:r w:rsidR="003F5966">
        <w:rPr>
          <w:rFonts w:asciiTheme="minorHAnsi" w:hAnsiTheme="minorHAnsi"/>
          <w:sz w:val="24"/>
          <w:lang w:val="pl-PL"/>
        </w:rPr>
        <w:t> </w:t>
      </w:r>
      <w:r w:rsidRPr="00ED0C6A">
        <w:rPr>
          <w:rFonts w:asciiTheme="minorHAnsi" w:hAnsiTheme="minorHAnsi"/>
          <w:sz w:val="24"/>
          <w:lang w:val="pl-PL"/>
        </w:rPr>
        <w:t>do</w:t>
      </w:r>
      <w:r w:rsidR="004405D2" w:rsidRPr="00ED0C6A">
        <w:rPr>
          <w:rFonts w:asciiTheme="minorHAnsi" w:hAnsiTheme="minorHAnsi"/>
          <w:sz w:val="24"/>
          <w:lang w:val="pl-PL"/>
        </w:rPr>
        <w:t>żywotniego pozbawienia wolności.</w:t>
      </w:r>
      <w:r w:rsidRPr="00ED0C6A">
        <w:rPr>
          <w:rFonts w:asciiTheme="minorHAnsi" w:hAnsiTheme="minorHAnsi"/>
          <w:sz w:val="24"/>
          <w:lang w:val="pl-PL"/>
        </w:rPr>
        <w:t xml:space="preserve"> </w:t>
      </w:r>
      <w:r w:rsidR="004405D2" w:rsidRPr="00ED0C6A">
        <w:rPr>
          <w:rFonts w:asciiTheme="minorHAnsi" w:hAnsiTheme="minorHAnsi"/>
          <w:sz w:val="24"/>
          <w:lang w:val="pl-PL"/>
        </w:rPr>
        <w:t>D</w:t>
      </w:r>
      <w:r w:rsidRPr="00ED0C6A">
        <w:rPr>
          <w:rFonts w:asciiTheme="minorHAnsi" w:hAnsiTheme="minorHAnsi"/>
          <w:sz w:val="24"/>
          <w:lang w:val="pl-PL"/>
        </w:rPr>
        <w:t>wa postępowania karne wobec policjantów skutkowały postawieniem im zarzutów i osąd</w:t>
      </w:r>
      <w:r w:rsidR="004405D2" w:rsidRPr="00ED0C6A">
        <w:rPr>
          <w:rFonts w:asciiTheme="minorHAnsi" w:hAnsiTheme="minorHAnsi"/>
          <w:sz w:val="24"/>
          <w:lang w:val="pl-PL"/>
        </w:rPr>
        <w:t>zeniem.</w:t>
      </w:r>
    </w:p>
    <w:p w:rsidR="000373E9" w:rsidRPr="00ED0C6A" w:rsidRDefault="000373E9" w:rsidP="008176C7">
      <w:pPr>
        <w:pStyle w:val="ClinContent"/>
        <w:spacing w:before="0"/>
        <w:rPr>
          <w:rFonts w:asciiTheme="minorHAnsi" w:hAnsiTheme="minorHAnsi"/>
          <w:sz w:val="24"/>
          <w:lang w:val="pl-PL"/>
        </w:rPr>
      </w:pPr>
    </w:p>
    <w:p w:rsidR="00043569" w:rsidRPr="00ED0C6A" w:rsidRDefault="004405D2" w:rsidP="008176C7">
      <w:pPr>
        <w:pStyle w:val="ClinContent"/>
        <w:spacing w:before="0"/>
        <w:rPr>
          <w:rFonts w:asciiTheme="minorHAnsi" w:hAnsiTheme="minorHAnsi"/>
          <w:sz w:val="24"/>
          <w:lang w:val="pl-PL"/>
        </w:rPr>
      </w:pPr>
      <w:r w:rsidRPr="00ED0C6A">
        <w:rPr>
          <w:rFonts w:asciiTheme="minorHAnsi" w:hAnsiTheme="minorHAnsi"/>
          <w:sz w:val="24"/>
          <w:lang w:val="pl-PL"/>
        </w:rPr>
        <w:t>Ponadto,</w:t>
      </w:r>
      <w:r w:rsidR="00043569" w:rsidRPr="00ED0C6A">
        <w:rPr>
          <w:rFonts w:asciiTheme="minorHAnsi" w:hAnsiTheme="minorHAnsi"/>
          <w:sz w:val="24"/>
          <w:lang w:val="pl-PL"/>
        </w:rPr>
        <w:t xml:space="preserve"> członkowie komisji parlamentarnych Parlamentu Osetii Północnej i Dumy Państwowej przeprowadzili szerokie i szczegółowe badanie wydarzeń. Przygotowane </w:t>
      </w:r>
      <w:r w:rsidR="00A12E98" w:rsidRPr="00ED0C6A">
        <w:rPr>
          <w:rFonts w:asciiTheme="minorHAnsi" w:hAnsiTheme="minorHAnsi"/>
          <w:sz w:val="24"/>
          <w:lang w:val="pl-PL"/>
        </w:rPr>
        <w:t>przez</w:t>
      </w:r>
      <w:r w:rsidR="003F5966">
        <w:rPr>
          <w:rFonts w:asciiTheme="minorHAnsi" w:hAnsiTheme="minorHAnsi"/>
          <w:sz w:val="24"/>
          <w:lang w:val="pl-PL"/>
        </w:rPr>
        <w:t> </w:t>
      </w:r>
      <w:r w:rsidR="00A12E98" w:rsidRPr="00ED0C6A">
        <w:rPr>
          <w:rFonts w:asciiTheme="minorHAnsi" w:hAnsiTheme="minorHAnsi"/>
          <w:sz w:val="24"/>
          <w:lang w:val="pl-PL"/>
        </w:rPr>
        <w:t xml:space="preserve">nich </w:t>
      </w:r>
      <w:r w:rsidR="00043569" w:rsidRPr="00ED0C6A">
        <w:rPr>
          <w:rFonts w:asciiTheme="minorHAnsi" w:hAnsiTheme="minorHAnsi"/>
          <w:sz w:val="24"/>
          <w:lang w:val="pl-PL"/>
        </w:rPr>
        <w:t>raporty odgrywały istotną rolę w zebraniu, zorganizowaniu i analizowaniu rozproszonej informacji na temat okoliczności użycia śmiercionośnej broni przez</w:t>
      </w:r>
      <w:r w:rsidR="003F5966">
        <w:rPr>
          <w:rFonts w:asciiTheme="minorHAnsi" w:hAnsiTheme="minorHAnsi"/>
          <w:sz w:val="24"/>
          <w:lang w:val="pl-PL"/>
        </w:rPr>
        <w:t> </w:t>
      </w:r>
      <w:r w:rsidR="00043569" w:rsidRPr="00ED0C6A">
        <w:rPr>
          <w:rFonts w:asciiTheme="minorHAnsi" w:hAnsiTheme="minorHAnsi"/>
          <w:sz w:val="24"/>
          <w:lang w:val="pl-PL"/>
        </w:rPr>
        <w:t xml:space="preserve">funkcjonariuszy i zapewniły dostęp skarżących oraz </w:t>
      </w:r>
      <w:r w:rsidR="00A12E98" w:rsidRPr="00ED0C6A">
        <w:rPr>
          <w:rFonts w:asciiTheme="minorHAnsi" w:hAnsiTheme="minorHAnsi"/>
          <w:sz w:val="24"/>
          <w:lang w:val="pl-PL"/>
        </w:rPr>
        <w:t>szerokiej</w:t>
      </w:r>
      <w:r w:rsidR="00043569" w:rsidRPr="00ED0C6A">
        <w:rPr>
          <w:rFonts w:asciiTheme="minorHAnsi" w:hAnsiTheme="minorHAnsi"/>
          <w:sz w:val="24"/>
          <w:lang w:val="pl-PL"/>
        </w:rPr>
        <w:t xml:space="preserve"> opinii publicznej do</w:t>
      </w:r>
      <w:r w:rsidR="003F5966">
        <w:rPr>
          <w:rFonts w:asciiTheme="minorHAnsi" w:hAnsiTheme="minorHAnsi"/>
          <w:sz w:val="24"/>
          <w:lang w:val="pl-PL"/>
        </w:rPr>
        <w:t> </w:t>
      </w:r>
      <w:r w:rsidR="00043569" w:rsidRPr="00ED0C6A">
        <w:rPr>
          <w:rFonts w:asciiTheme="minorHAnsi" w:hAnsiTheme="minorHAnsi"/>
          <w:sz w:val="24"/>
          <w:lang w:val="pl-PL"/>
        </w:rPr>
        <w:t>wiedzy na temat aspektów poważnych naruszeń praw człowieka, które w przeciwnym razie pozostałyby niedostępne. W tym sensie, ich praca może być uznana za aspekt skutecznych środków odwoławczych mających na celu zebranie wiedzy niezbędnej do</w:t>
      </w:r>
      <w:r w:rsidR="003F5966">
        <w:rPr>
          <w:rFonts w:asciiTheme="minorHAnsi" w:hAnsiTheme="minorHAnsi"/>
          <w:sz w:val="24"/>
          <w:lang w:val="pl-PL"/>
        </w:rPr>
        <w:t> </w:t>
      </w:r>
      <w:r w:rsidR="00043569" w:rsidRPr="00ED0C6A">
        <w:rPr>
          <w:rFonts w:asciiTheme="minorHAnsi" w:hAnsiTheme="minorHAnsi"/>
          <w:sz w:val="24"/>
          <w:lang w:val="pl-PL"/>
        </w:rPr>
        <w:t xml:space="preserve">wyjaśnienia faktów, odrębnych od obowiązków proceduralnych Państwa na podstawie art. 2 i 3 Konwencji.  </w:t>
      </w:r>
    </w:p>
    <w:p w:rsidR="004405D2" w:rsidRPr="00ED0C6A" w:rsidRDefault="004405D2" w:rsidP="008176C7">
      <w:pPr>
        <w:pStyle w:val="ClinContent"/>
        <w:spacing w:before="0"/>
        <w:rPr>
          <w:rFonts w:asciiTheme="minorHAnsi" w:hAnsiTheme="minorHAnsi"/>
          <w:i/>
          <w:sz w:val="24"/>
          <w:lang w:val="pl-PL"/>
        </w:rPr>
      </w:pPr>
    </w:p>
    <w:p w:rsidR="00043569" w:rsidRPr="00ED0C6A" w:rsidRDefault="004405D2" w:rsidP="008176C7">
      <w:pPr>
        <w:pStyle w:val="ClinContent"/>
        <w:spacing w:before="0"/>
        <w:rPr>
          <w:rFonts w:asciiTheme="minorHAnsi" w:hAnsiTheme="minorHAnsi"/>
          <w:sz w:val="24"/>
          <w:lang w:val="pl-PL"/>
        </w:rPr>
      </w:pPr>
      <w:r w:rsidRPr="00ED0C6A">
        <w:rPr>
          <w:rFonts w:asciiTheme="minorHAnsi" w:hAnsiTheme="minorHAnsi"/>
          <w:sz w:val="24"/>
          <w:lang w:val="pl-PL"/>
        </w:rPr>
        <w:t>W świetle powyższego Trybunał sześcioma głosami do jednego orzekł, że nie doszło do</w:t>
      </w:r>
      <w:r w:rsidR="003F5966">
        <w:rPr>
          <w:rFonts w:asciiTheme="minorHAnsi" w:hAnsiTheme="minorHAnsi"/>
          <w:sz w:val="24"/>
          <w:lang w:val="pl-PL"/>
        </w:rPr>
        <w:t> </w:t>
      </w:r>
      <w:r w:rsidRPr="00ED0C6A">
        <w:rPr>
          <w:rFonts w:asciiTheme="minorHAnsi" w:hAnsiTheme="minorHAnsi"/>
          <w:sz w:val="24"/>
          <w:lang w:val="pl-PL"/>
        </w:rPr>
        <w:t xml:space="preserve">naruszenia art 13 Konwencji (prawo do skutecznych środków odwoławczych).  </w:t>
      </w:r>
    </w:p>
    <w:p w:rsidR="004405D2" w:rsidRPr="00ED0C6A" w:rsidRDefault="004405D2" w:rsidP="008176C7">
      <w:pPr>
        <w:pStyle w:val="ClinContent"/>
        <w:spacing w:before="0"/>
        <w:rPr>
          <w:rFonts w:asciiTheme="minorHAnsi" w:hAnsiTheme="minorHAnsi"/>
          <w:sz w:val="24"/>
          <w:lang w:val="pl-PL"/>
        </w:rPr>
      </w:pPr>
    </w:p>
    <w:p w:rsidR="00CA58C1" w:rsidRPr="00ED0C6A" w:rsidRDefault="004405D2" w:rsidP="008176C7">
      <w:pPr>
        <w:pStyle w:val="ClinContent"/>
        <w:spacing w:before="0"/>
        <w:rPr>
          <w:rFonts w:asciiTheme="minorHAnsi" w:hAnsiTheme="minorHAnsi"/>
          <w:sz w:val="24"/>
          <w:lang w:val="pl-PL"/>
        </w:rPr>
      </w:pPr>
      <w:r w:rsidRPr="00ED0C6A">
        <w:rPr>
          <w:rFonts w:asciiTheme="minorHAnsi" w:hAnsiTheme="minorHAnsi"/>
          <w:sz w:val="24"/>
          <w:lang w:val="pl-PL"/>
        </w:rPr>
        <w:t>Na podstawie a</w:t>
      </w:r>
      <w:r w:rsidR="00043569" w:rsidRPr="00ED0C6A">
        <w:rPr>
          <w:rFonts w:asciiTheme="minorHAnsi" w:hAnsiTheme="minorHAnsi"/>
          <w:sz w:val="24"/>
          <w:lang w:val="pl-PL"/>
        </w:rPr>
        <w:t>rt. 46</w:t>
      </w:r>
      <w:r w:rsidRPr="00ED0C6A">
        <w:rPr>
          <w:rFonts w:asciiTheme="minorHAnsi" w:hAnsiTheme="minorHAnsi"/>
          <w:sz w:val="24"/>
          <w:lang w:val="pl-PL"/>
        </w:rPr>
        <w:t xml:space="preserve"> Konwencji (moc obowiązująca oraz wykonanie wyroków)</w:t>
      </w:r>
      <w:r w:rsidR="00043569" w:rsidRPr="00ED0C6A">
        <w:rPr>
          <w:rFonts w:asciiTheme="minorHAnsi" w:hAnsiTheme="minorHAnsi"/>
          <w:sz w:val="24"/>
          <w:lang w:val="pl-PL"/>
        </w:rPr>
        <w:t xml:space="preserve"> Trybunał wskazał różne środki zarówno generalne, jak i indywidualne, jakie </w:t>
      </w:r>
      <w:r w:rsidRPr="00ED0C6A">
        <w:rPr>
          <w:rFonts w:asciiTheme="minorHAnsi" w:hAnsiTheme="minorHAnsi"/>
          <w:sz w:val="24"/>
          <w:lang w:val="pl-PL"/>
        </w:rPr>
        <w:t>pozwane Państwo powinno</w:t>
      </w:r>
      <w:r w:rsidR="00043569" w:rsidRPr="00ED0C6A">
        <w:rPr>
          <w:rFonts w:asciiTheme="minorHAnsi" w:hAnsiTheme="minorHAnsi"/>
          <w:sz w:val="24"/>
          <w:lang w:val="pl-PL"/>
        </w:rPr>
        <w:t xml:space="preserve"> podjąć, w tym dalsze </w:t>
      </w:r>
      <w:r w:rsidR="00A12E98" w:rsidRPr="00ED0C6A">
        <w:rPr>
          <w:rFonts w:asciiTheme="minorHAnsi" w:hAnsiTheme="minorHAnsi"/>
          <w:sz w:val="24"/>
          <w:lang w:val="pl-PL"/>
        </w:rPr>
        <w:t>poza</w:t>
      </w:r>
      <w:r w:rsidR="00043569" w:rsidRPr="00ED0C6A">
        <w:rPr>
          <w:rFonts w:asciiTheme="minorHAnsi" w:hAnsiTheme="minorHAnsi"/>
          <w:sz w:val="24"/>
          <w:lang w:val="pl-PL"/>
        </w:rPr>
        <w:t xml:space="preserve">sądowe </w:t>
      </w:r>
      <w:r w:rsidR="00A12E98" w:rsidRPr="00ED0C6A">
        <w:rPr>
          <w:rFonts w:asciiTheme="minorHAnsi" w:hAnsiTheme="minorHAnsi"/>
          <w:sz w:val="24"/>
          <w:lang w:val="pl-PL"/>
        </w:rPr>
        <w:t xml:space="preserve">metody </w:t>
      </w:r>
      <w:r w:rsidR="00043569" w:rsidRPr="00ED0C6A">
        <w:rPr>
          <w:rFonts w:asciiTheme="minorHAnsi" w:hAnsiTheme="minorHAnsi"/>
          <w:sz w:val="24"/>
          <w:lang w:val="pl-PL"/>
        </w:rPr>
        <w:t>zbierania informacji i ustalania prawdy, publiczne przyznanie i potępienie naruszeń prawa do życia w trakcie operacji bezpieczeństwa</w:t>
      </w:r>
      <w:r w:rsidR="00A12E98" w:rsidRPr="00ED0C6A">
        <w:rPr>
          <w:rFonts w:asciiTheme="minorHAnsi" w:hAnsiTheme="minorHAnsi"/>
          <w:sz w:val="24"/>
          <w:lang w:val="pl-PL"/>
        </w:rPr>
        <w:t>,</w:t>
      </w:r>
      <w:r w:rsidR="00043569" w:rsidRPr="00ED0C6A">
        <w:rPr>
          <w:rFonts w:asciiTheme="minorHAnsi" w:hAnsiTheme="minorHAnsi"/>
          <w:sz w:val="24"/>
          <w:lang w:val="pl-PL"/>
        </w:rPr>
        <w:t xml:space="preserve"> większe upowszechnienie informacji oraz lepsze szkolenie policji, personelu sił wojskowych i </w:t>
      </w:r>
      <w:r w:rsidR="00A12E98" w:rsidRPr="00ED0C6A">
        <w:rPr>
          <w:rFonts w:asciiTheme="minorHAnsi" w:hAnsiTheme="minorHAnsi"/>
          <w:sz w:val="24"/>
          <w:lang w:val="pl-PL"/>
        </w:rPr>
        <w:t xml:space="preserve">sił </w:t>
      </w:r>
      <w:r w:rsidR="00043569" w:rsidRPr="00ED0C6A">
        <w:rPr>
          <w:rFonts w:asciiTheme="minorHAnsi" w:hAnsiTheme="minorHAnsi"/>
          <w:sz w:val="24"/>
          <w:lang w:val="pl-PL"/>
        </w:rPr>
        <w:t xml:space="preserve">bezpieczeństwa w celu zapewnienia ścisłego przestrzegania właściwych międzynarodowych standardów prawnych. </w:t>
      </w:r>
    </w:p>
    <w:p w:rsidR="00CA58C1" w:rsidRPr="00ED0C6A" w:rsidRDefault="00CA58C1" w:rsidP="008176C7">
      <w:pPr>
        <w:pStyle w:val="ClinContent"/>
        <w:spacing w:before="0"/>
        <w:rPr>
          <w:rFonts w:asciiTheme="minorHAnsi" w:hAnsiTheme="minorHAnsi"/>
          <w:sz w:val="24"/>
          <w:lang w:val="pl-PL"/>
        </w:rPr>
      </w:pPr>
    </w:p>
    <w:p w:rsidR="001D02FC" w:rsidRPr="00ED0C6A" w:rsidRDefault="00CA58C1" w:rsidP="008176C7">
      <w:pPr>
        <w:pStyle w:val="ClinContent"/>
        <w:spacing w:before="0"/>
        <w:rPr>
          <w:rFonts w:asciiTheme="minorHAnsi" w:hAnsiTheme="minorHAnsi"/>
          <w:sz w:val="24"/>
          <w:lang w:val="pl-PL"/>
        </w:rPr>
      </w:pPr>
      <w:r w:rsidRPr="00ED0C6A">
        <w:rPr>
          <w:rFonts w:asciiTheme="minorHAnsi" w:hAnsiTheme="minorHAnsi"/>
          <w:sz w:val="24"/>
          <w:lang w:val="pl-PL"/>
        </w:rPr>
        <w:t>Trybunał wskazał także na konieczność zapobieżenia</w:t>
      </w:r>
      <w:r w:rsidR="00043569" w:rsidRPr="00ED0C6A">
        <w:rPr>
          <w:rFonts w:asciiTheme="minorHAnsi" w:hAnsiTheme="minorHAnsi"/>
          <w:sz w:val="24"/>
          <w:lang w:val="pl-PL"/>
        </w:rPr>
        <w:t xml:space="preserve"> podobnym naruszeniom </w:t>
      </w:r>
      <w:r w:rsidR="00A12E98" w:rsidRPr="00ED0C6A">
        <w:rPr>
          <w:rFonts w:asciiTheme="minorHAnsi" w:hAnsiTheme="minorHAnsi"/>
          <w:sz w:val="24"/>
          <w:lang w:val="pl-PL"/>
        </w:rPr>
        <w:t>w przyszłości</w:t>
      </w:r>
      <w:r w:rsidR="00043569" w:rsidRPr="00ED0C6A">
        <w:rPr>
          <w:rFonts w:asciiTheme="minorHAnsi" w:hAnsiTheme="minorHAnsi"/>
          <w:sz w:val="24"/>
          <w:lang w:val="pl-PL"/>
        </w:rPr>
        <w:t xml:space="preserve"> za pomocą odpowiednich ram prawnych</w:t>
      </w:r>
      <w:r w:rsidR="00A12E98" w:rsidRPr="00ED0C6A">
        <w:rPr>
          <w:rFonts w:asciiTheme="minorHAnsi" w:hAnsiTheme="minorHAnsi"/>
          <w:sz w:val="24"/>
          <w:lang w:val="pl-PL"/>
        </w:rPr>
        <w:t xml:space="preserve"> odzwierciedlających</w:t>
      </w:r>
      <w:r w:rsidR="001D02FC" w:rsidRPr="00ED0C6A">
        <w:rPr>
          <w:rFonts w:asciiTheme="minorHAnsi" w:hAnsiTheme="minorHAnsi"/>
          <w:sz w:val="24"/>
          <w:lang w:val="pl-PL"/>
        </w:rPr>
        <w:t xml:space="preserve"> standardy międzynarodowe w</w:t>
      </w:r>
      <w:r w:rsidR="003F5966">
        <w:rPr>
          <w:rFonts w:asciiTheme="minorHAnsi" w:hAnsiTheme="minorHAnsi"/>
          <w:sz w:val="24"/>
          <w:lang w:val="pl-PL"/>
        </w:rPr>
        <w:t> </w:t>
      </w:r>
      <w:r w:rsidR="001D02FC" w:rsidRPr="00ED0C6A">
        <w:rPr>
          <w:rFonts w:asciiTheme="minorHAnsi" w:hAnsiTheme="minorHAnsi"/>
          <w:sz w:val="24"/>
          <w:lang w:val="pl-PL"/>
        </w:rPr>
        <w:t>tym obszarze. Konieczne jest zwłaszcza zapewnienie o</w:t>
      </w:r>
      <w:r w:rsidR="00043569" w:rsidRPr="00ED0C6A">
        <w:rPr>
          <w:rFonts w:asciiTheme="minorHAnsi" w:hAnsiTheme="minorHAnsi"/>
          <w:sz w:val="24"/>
          <w:lang w:val="pl-PL"/>
        </w:rPr>
        <w:t>dpowiednich krajowych instrumentów prawnych odnoszących się do operacji bezpieczeństwa na masową skalę oraz</w:t>
      </w:r>
      <w:r w:rsidR="003F5966">
        <w:rPr>
          <w:rFonts w:asciiTheme="minorHAnsi" w:hAnsiTheme="minorHAnsi"/>
          <w:sz w:val="24"/>
          <w:lang w:val="pl-PL"/>
        </w:rPr>
        <w:t> </w:t>
      </w:r>
      <w:r w:rsidR="00043569" w:rsidRPr="00ED0C6A">
        <w:rPr>
          <w:rFonts w:asciiTheme="minorHAnsi" w:hAnsiTheme="minorHAnsi"/>
          <w:sz w:val="24"/>
          <w:lang w:val="pl-PL"/>
        </w:rPr>
        <w:t>mechanizmów regulujących współpracę między władzami wojskowymi, bezpieczeństwa i cy</w:t>
      </w:r>
      <w:r w:rsidRPr="00ED0C6A">
        <w:rPr>
          <w:rFonts w:asciiTheme="minorHAnsi" w:hAnsiTheme="minorHAnsi"/>
          <w:sz w:val="24"/>
          <w:lang w:val="pl-PL"/>
        </w:rPr>
        <w:t xml:space="preserve">wilnymi w takich okolicznościach. Należy także </w:t>
      </w:r>
      <w:r w:rsidR="00A12E98" w:rsidRPr="00ED0C6A">
        <w:rPr>
          <w:rFonts w:asciiTheme="minorHAnsi" w:hAnsiTheme="minorHAnsi"/>
          <w:sz w:val="24"/>
          <w:lang w:val="pl-PL"/>
        </w:rPr>
        <w:t>wprowadzić jednoznaczne regulacje</w:t>
      </w:r>
      <w:r w:rsidRPr="00ED0C6A">
        <w:rPr>
          <w:rFonts w:asciiTheme="minorHAnsi" w:hAnsiTheme="minorHAnsi"/>
          <w:sz w:val="24"/>
          <w:lang w:val="pl-PL"/>
        </w:rPr>
        <w:t xml:space="preserve"> dotyczące</w:t>
      </w:r>
      <w:r w:rsidR="00043569" w:rsidRPr="00ED0C6A">
        <w:rPr>
          <w:rFonts w:asciiTheme="minorHAnsi" w:hAnsiTheme="minorHAnsi"/>
          <w:sz w:val="24"/>
          <w:lang w:val="pl-PL"/>
        </w:rPr>
        <w:t xml:space="preserve"> zasad i ograniczeń użycia śmiercionośnej siły w czasie operacji bezp</w:t>
      </w:r>
      <w:r w:rsidRPr="00ED0C6A">
        <w:rPr>
          <w:rFonts w:asciiTheme="minorHAnsi" w:hAnsiTheme="minorHAnsi"/>
          <w:sz w:val="24"/>
          <w:lang w:val="pl-PL"/>
        </w:rPr>
        <w:t>ieczeństw</w:t>
      </w:r>
      <w:r w:rsidR="001D02FC" w:rsidRPr="00ED0C6A">
        <w:rPr>
          <w:rFonts w:asciiTheme="minorHAnsi" w:hAnsiTheme="minorHAnsi"/>
          <w:sz w:val="24"/>
          <w:lang w:val="pl-PL"/>
        </w:rPr>
        <w:t>a.</w:t>
      </w:r>
    </w:p>
    <w:p w:rsidR="001D02FC" w:rsidRPr="00ED0C6A" w:rsidRDefault="001D02FC" w:rsidP="008176C7">
      <w:pPr>
        <w:pStyle w:val="ClinContent"/>
        <w:spacing w:before="0"/>
        <w:rPr>
          <w:rFonts w:asciiTheme="minorHAnsi" w:hAnsiTheme="minorHAnsi"/>
          <w:sz w:val="24"/>
          <w:lang w:val="pl-PL"/>
        </w:rPr>
      </w:pPr>
    </w:p>
    <w:p w:rsidR="00043569" w:rsidRPr="00ED0C6A" w:rsidRDefault="001D02FC" w:rsidP="008176C7">
      <w:pPr>
        <w:pStyle w:val="ClinContent"/>
        <w:spacing w:before="0"/>
        <w:rPr>
          <w:rFonts w:asciiTheme="minorHAnsi" w:hAnsiTheme="minorHAnsi"/>
          <w:sz w:val="24"/>
          <w:lang w:val="pl-PL"/>
        </w:rPr>
      </w:pPr>
      <w:r w:rsidRPr="00ED0C6A">
        <w:rPr>
          <w:rFonts w:asciiTheme="minorHAnsi" w:hAnsiTheme="minorHAnsi"/>
          <w:sz w:val="24"/>
          <w:lang w:val="pl-PL"/>
        </w:rPr>
        <w:t>Trybunał zasądził</w:t>
      </w:r>
      <w:r w:rsidR="00043569" w:rsidRPr="00ED0C6A">
        <w:rPr>
          <w:rFonts w:asciiTheme="minorHAnsi" w:hAnsiTheme="minorHAnsi"/>
          <w:sz w:val="24"/>
          <w:lang w:val="pl-PL"/>
        </w:rPr>
        <w:t xml:space="preserve"> kwot</w:t>
      </w:r>
      <w:r w:rsidRPr="00ED0C6A">
        <w:rPr>
          <w:rFonts w:asciiTheme="minorHAnsi" w:hAnsiTheme="minorHAnsi"/>
          <w:sz w:val="24"/>
          <w:lang w:val="pl-PL"/>
        </w:rPr>
        <w:t>y</w:t>
      </w:r>
      <w:r w:rsidR="00043569" w:rsidRPr="00ED0C6A">
        <w:rPr>
          <w:rFonts w:asciiTheme="minorHAnsi" w:hAnsiTheme="minorHAnsi"/>
          <w:sz w:val="24"/>
          <w:lang w:val="pl-PL"/>
        </w:rPr>
        <w:t xml:space="preserve"> od 3 000 EUR do 50 000 EUR </w:t>
      </w:r>
      <w:r w:rsidR="00ED0C6A" w:rsidRPr="00ED0C6A">
        <w:rPr>
          <w:rFonts w:asciiTheme="minorHAnsi" w:hAnsiTheme="minorHAnsi"/>
          <w:sz w:val="24"/>
          <w:lang w:val="pl-PL"/>
        </w:rPr>
        <w:t>dla</w:t>
      </w:r>
      <w:r w:rsidR="00043569" w:rsidRPr="00ED0C6A">
        <w:rPr>
          <w:rFonts w:asciiTheme="minorHAnsi" w:hAnsiTheme="minorHAnsi"/>
          <w:sz w:val="24"/>
          <w:lang w:val="pl-PL"/>
        </w:rPr>
        <w:t xml:space="preserve"> każdego skarżącego tytułem szkody niemajątkowej</w:t>
      </w:r>
      <w:r w:rsidRPr="00ED0C6A">
        <w:rPr>
          <w:rFonts w:asciiTheme="minorHAnsi" w:hAnsiTheme="minorHAnsi"/>
          <w:sz w:val="24"/>
          <w:lang w:val="pl-PL"/>
        </w:rPr>
        <w:t>, oddalił natomiast</w:t>
      </w:r>
      <w:r w:rsidR="00043569" w:rsidRPr="00ED0C6A">
        <w:rPr>
          <w:rFonts w:asciiTheme="minorHAnsi" w:hAnsiTheme="minorHAnsi"/>
          <w:sz w:val="24"/>
          <w:lang w:val="pl-PL"/>
        </w:rPr>
        <w:t xml:space="preserve"> roszczenia z tytułu szkody majątkowej.  </w:t>
      </w:r>
    </w:p>
    <w:p w:rsidR="00043569" w:rsidRPr="00ED0C6A" w:rsidRDefault="00E00B06" w:rsidP="008176C7">
      <w:pPr>
        <w:pStyle w:val="ClinContent"/>
        <w:spacing w:before="0"/>
        <w:rPr>
          <w:rFonts w:asciiTheme="minorHAnsi" w:hAnsiTheme="minorHAnsi"/>
          <w:sz w:val="24"/>
          <w:lang w:val="pl-PL"/>
        </w:rPr>
      </w:pPr>
      <w:r w:rsidRPr="00ED0C6A">
        <w:rPr>
          <w:rFonts w:asciiTheme="minorHAnsi" w:hAnsiTheme="minorHAnsi"/>
          <w:sz w:val="24"/>
          <w:lang w:val="pl-PL"/>
        </w:rPr>
        <w:t xml:space="preserve"> </w:t>
      </w:r>
    </w:p>
    <w:p w:rsidR="004619CE" w:rsidRPr="00ED0C6A" w:rsidRDefault="000373E9" w:rsidP="008176C7">
      <w:pPr>
        <w:pStyle w:val="ClinContent"/>
        <w:spacing w:before="0"/>
        <w:rPr>
          <w:rFonts w:asciiTheme="minorHAnsi" w:hAnsiTheme="minorHAnsi"/>
          <w:sz w:val="24"/>
          <w:lang w:val="pl-PL"/>
        </w:rPr>
      </w:pPr>
      <w:r w:rsidRPr="00ED0C6A">
        <w:rPr>
          <w:rFonts w:asciiTheme="minorHAnsi" w:hAnsiTheme="minorHAnsi"/>
          <w:sz w:val="24"/>
          <w:u w:val="single"/>
          <w:lang w:val="pl-PL"/>
        </w:rPr>
        <w:t>Znaczenie wyroku dla Polski</w:t>
      </w:r>
      <w:r w:rsidRPr="00ED0C6A">
        <w:rPr>
          <w:rFonts w:asciiTheme="minorHAnsi" w:hAnsiTheme="minorHAnsi"/>
          <w:sz w:val="24"/>
          <w:lang w:val="pl-PL"/>
        </w:rPr>
        <w:t xml:space="preserve"> – wyrok szczególnie istotny </w:t>
      </w:r>
      <w:r w:rsidR="00BB25A4" w:rsidRPr="00ED0C6A">
        <w:rPr>
          <w:rFonts w:asciiTheme="minorHAnsi" w:hAnsiTheme="minorHAnsi"/>
          <w:sz w:val="24"/>
          <w:lang w:val="pl-PL"/>
        </w:rPr>
        <w:t>dla</w:t>
      </w:r>
      <w:r w:rsidRPr="00ED0C6A">
        <w:rPr>
          <w:rFonts w:asciiTheme="minorHAnsi" w:hAnsiTheme="minorHAnsi"/>
          <w:sz w:val="24"/>
          <w:lang w:val="pl-PL"/>
        </w:rPr>
        <w:t xml:space="preserve"> zdefiniowania pozytywnych obowiązków </w:t>
      </w:r>
      <w:r w:rsidR="00721A8D" w:rsidRPr="00ED0C6A">
        <w:rPr>
          <w:rFonts w:asciiTheme="minorHAnsi" w:hAnsiTheme="minorHAnsi"/>
          <w:sz w:val="24"/>
          <w:lang w:val="pl-PL"/>
        </w:rPr>
        <w:t>Państw</w:t>
      </w:r>
      <w:r w:rsidR="00D83C1A" w:rsidRPr="00ED0C6A">
        <w:rPr>
          <w:rFonts w:asciiTheme="minorHAnsi" w:hAnsiTheme="minorHAnsi"/>
          <w:sz w:val="24"/>
          <w:lang w:val="pl-PL"/>
        </w:rPr>
        <w:t>a w zakresie</w:t>
      </w:r>
      <w:r w:rsidR="00721A8D" w:rsidRPr="00ED0C6A">
        <w:rPr>
          <w:rFonts w:asciiTheme="minorHAnsi" w:hAnsiTheme="minorHAnsi"/>
          <w:sz w:val="24"/>
          <w:lang w:val="pl-PL"/>
        </w:rPr>
        <w:t xml:space="preserve"> </w:t>
      </w:r>
      <w:r w:rsidRPr="00ED0C6A">
        <w:rPr>
          <w:rFonts w:asciiTheme="minorHAnsi" w:hAnsiTheme="minorHAnsi"/>
          <w:sz w:val="24"/>
          <w:lang w:val="pl-PL"/>
        </w:rPr>
        <w:t xml:space="preserve">zapobiegania aktom o charakterze terrorystycznym zagrażającym życiu ludzi, a także właściwego planowania, zarządzania i kontroli operacji prewencyjnych oraz operacji bezpieczeństwa w reakcji na wzięcie zakładników. Akcentuje obowiązki zapewnienia odpowiedniej koordynacji działania różnych organów: bezpieczeństwa, wojskowych i cywilnych w trakcie takich operacji. W odniesieniu do operacji </w:t>
      </w:r>
      <w:r w:rsidR="00BB25A4" w:rsidRPr="00ED0C6A">
        <w:rPr>
          <w:rFonts w:asciiTheme="minorHAnsi" w:hAnsiTheme="minorHAnsi"/>
          <w:sz w:val="24"/>
          <w:lang w:val="pl-PL"/>
        </w:rPr>
        <w:t xml:space="preserve">prowadzonych </w:t>
      </w:r>
      <w:r w:rsidRPr="00ED0C6A">
        <w:rPr>
          <w:rFonts w:asciiTheme="minorHAnsi" w:hAnsiTheme="minorHAnsi"/>
          <w:sz w:val="24"/>
          <w:lang w:val="pl-PL"/>
        </w:rPr>
        <w:t>w odpowiedzi na akty terroryzmu, wskazuje też na potrzebę takiego zaplanowania i organizacji operacji bezpieczeństwa, by zminimalizowane zostało</w:t>
      </w:r>
      <w:r w:rsidR="00BB25A4" w:rsidRPr="00ED0C6A">
        <w:rPr>
          <w:rFonts w:asciiTheme="minorHAnsi" w:hAnsiTheme="minorHAnsi"/>
          <w:sz w:val="24"/>
          <w:lang w:val="pl-PL"/>
        </w:rPr>
        <w:t>,</w:t>
      </w:r>
      <w:r w:rsidRPr="00ED0C6A">
        <w:rPr>
          <w:rFonts w:asciiTheme="minorHAnsi" w:hAnsiTheme="minorHAnsi"/>
          <w:sz w:val="24"/>
          <w:lang w:val="pl-PL"/>
        </w:rPr>
        <w:t xml:space="preserve"> w możliwie najpełniejszym stopniu</w:t>
      </w:r>
      <w:r w:rsidR="00BB25A4" w:rsidRPr="00ED0C6A">
        <w:rPr>
          <w:rFonts w:asciiTheme="minorHAnsi" w:hAnsiTheme="minorHAnsi"/>
          <w:sz w:val="24"/>
          <w:lang w:val="pl-PL"/>
        </w:rPr>
        <w:t>,</w:t>
      </w:r>
      <w:r w:rsidRPr="00ED0C6A">
        <w:rPr>
          <w:rFonts w:asciiTheme="minorHAnsi" w:hAnsiTheme="minorHAnsi"/>
          <w:sz w:val="24"/>
          <w:lang w:val="pl-PL"/>
        </w:rPr>
        <w:t xml:space="preserve"> zagrożeni</w:t>
      </w:r>
      <w:r w:rsidR="00BB25A4" w:rsidRPr="00ED0C6A">
        <w:rPr>
          <w:rFonts w:asciiTheme="minorHAnsi" w:hAnsiTheme="minorHAnsi"/>
          <w:sz w:val="24"/>
          <w:lang w:val="pl-PL"/>
        </w:rPr>
        <w:t>e</w:t>
      </w:r>
      <w:r w:rsidRPr="00ED0C6A">
        <w:rPr>
          <w:rFonts w:asciiTheme="minorHAnsi" w:hAnsiTheme="minorHAnsi"/>
          <w:sz w:val="24"/>
          <w:lang w:val="pl-PL"/>
        </w:rPr>
        <w:t xml:space="preserve"> życia ofiar aktu terroryzmu i przypomina, że głównym celem, jakim powinny się kierować organy bezpieczeństwa, jest ochrona życia tych ofiar. W</w:t>
      </w:r>
      <w:r w:rsidR="003F5966">
        <w:rPr>
          <w:rFonts w:asciiTheme="minorHAnsi" w:hAnsiTheme="minorHAnsi"/>
          <w:sz w:val="24"/>
          <w:lang w:val="pl-PL"/>
        </w:rPr>
        <w:t> </w:t>
      </w:r>
      <w:r w:rsidRPr="00ED0C6A">
        <w:rPr>
          <w:rFonts w:asciiTheme="minorHAnsi" w:hAnsiTheme="minorHAnsi"/>
          <w:sz w:val="24"/>
          <w:lang w:val="pl-PL"/>
        </w:rPr>
        <w:t xml:space="preserve">ramach środków generalnych zobowiązuje </w:t>
      </w:r>
      <w:r w:rsidR="00721A8D" w:rsidRPr="00ED0C6A">
        <w:rPr>
          <w:rFonts w:asciiTheme="minorHAnsi" w:hAnsiTheme="minorHAnsi"/>
          <w:sz w:val="24"/>
          <w:lang w:val="pl-PL"/>
        </w:rPr>
        <w:t xml:space="preserve">Państwo </w:t>
      </w:r>
      <w:r w:rsidRPr="00ED0C6A">
        <w:rPr>
          <w:rFonts w:asciiTheme="minorHAnsi" w:hAnsiTheme="minorHAnsi"/>
          <w:sz w:val="24"/>
          <w:lang w:val="pl-PL"/>
        </w:rPr>
        <w:t>do wdrożenia odpowiednich uregulowań i mechanizmów planowania i współpracy organów w takich przypadkach, a</w:t>
      </w:r>
      <w:r w:rsidR="003F5966">
        <w:rPr>
          <w:rFonts w:asciiTheme="minorHAnsi" w:hAnsiTheme="minorHAnsi"/>
          <w:sz w:val="24"/>
          <w:lang w:val="pl-PL"/>
        </w:rPr>
        <w:t> </w:t>
      </w:r>
      <w:r w:rsidRPr="00ED0C6A">
        <w:rPr>
          <w:rFonts w:asciiTheme="minorHAnsi" w:hAnsiTheme="minorHAnsi"/>
          <w:sz w:val="24"/>
          <w:lang w:val="pl-PL"/>
        </w:rPr>
        <w:t>także jasnego uregulowania zasad użycia śmiercionośnej siły przez funkcjonariuszy. Podkreśla także znaczenie skutecznego śledztwa w taki</w:t>
      </w:r>
      <w:r w:rsidR="00BB25A4" w:rsidRPr="00ED0C6A">
        <w:rPr>
          <w:rFonts w:asciiTheme="minorHAnsi" w:hAnsiTheme="minorHAnsi"/>
          <w:sz w:val="24"/>
          <w:lang w:val="pl-PL"/>
        </w:rPr>
        <w:t>ch przypadkach</w:t>
      </w:r>
      <w:r w:rsidRPr="00ED0C6A">
        <w:rPr>
          <w:rFonts w:asciiTheme="minorHAnsi" w:hAnsiTheme="minorHAnsi"/>
          <w:sz w:val="24"/>
          <w:lang w:val="pl-PL"/>
        </w:rPr>
        <w:t xml:space="preserve">, w tym poprzez </w:t>
      </w:r>
      <w:r w:rsidR="00BB25A4" w:rsidRPr="00ED0C6A">
        <w:rPr>
          <w:rFonts w:asciiTheme="minorHAnsi" w:hAnsiTheme="minorHAnsi"/>
          <w:sz w:val="24"/>
          <w:lang w:val="pl-PL"/>
        </w:rPr>
        <w:t>zabezpieczenie</w:t>
      </w:r>
      <w:r w:rsidRPr="00ED0C6A">
        <w:rPr>
          <w:rFonts w:asciiTheme="minorHAnsi" w:hAnsiTheme="minorHAnsi"/>
          <w:sz w:val="24"/>
          <w:lang w:val="pl-PL"/>
        </w:rPr>
        <w:t xml:space="preserve"> dowodów na miejscu, umożliwiających ocenę także prawidłowości działania funkcjonariuszy, poprzez wykorzystanie stosownych dowodów kryminalistycznych</w:t>
      </w:r>
      <w:r w:rsidR="004619CE" w:rsidRPr="00ED0C6A">
        <w:rPr>
          <w:rFonts w:asciiTheme="minorHAnsi" w:hAnsiTheme="minorHAnsi"/>
          <w:sz w:val="24"/>
          <w:lang w:val="pl-PL"/>
        </w:rPr>
        <w:t xml:space="preserve"> w</w:t>
      </w:r>
      <w:r w:rsidR="003F5966">
        <w:rPr>
          <w:rFonts w:asciiTheme="minorHAnsi" w:hAnsiTheme="minorHAnsi"/>
          <w:sz w:val="24"/>
          <w:lang w:val="pl-PL"/>
        </w:rPr>
        <w:t> </w:t>
      </w:r>
      <w:r w:rsidR="004619CE" w:rsidRPr="00ED0C6A">
        <w:rPr>
          <w:rFonts w:asciiTheme="minorHAnsi" w:hAnsiTheme="minorHAnsi"/>
          <w:sz w:val="24"/>
          <w:lang w:val="pl-PL"/>
        </w:rPr>
        <w:t>celu</w:t>
      </w:r>
      <w:r w:rsidR="003F5966">
        <w:rPr>
          <w:rFonts w:asciiTheme="minorHAnsi" w:hAnsiTheme="minorHAnsi"/>
          <w:sz w:val="24"/>
          <w:lang w:val="pl-PL"/>
        </w:rPr>
        <w:t> </w:t>
      </w:r>
      <w:r w:rsidR="004619CE" w:rsidRPr="00ED0C6A">
        <w:rPr>
          <w:rFonts w:asciiTheme="minorHAnsi" w:hAnsiTheme="minorHAnsi"/>
          <w:sz w:val="24"/>
          <w:lang w:val="pl-PL"/>
        </w:rPr>
        <w:t>ustalenia dokładnych przyczyn śmierci wszystkich ofiar, a także gwarancje praw ofiar i</w:t>
      </w:r>
      <w:r w:rsidR="003F5966">
        <w:rPr>
          <w:rFonts w:asciiTheme="minorHAnsi" w:hAnsiTheme="minorHAnsi"/>
          <w:sz w:val="24"/>
          <w:lang w:val="pl-PL"/>
        </w:rPr>
        <w:t> </w:t>
      </w:r>
      <w:r w:rsidR="004619CE" w:rsidRPr="00ED0C6A">
        <w:rPr>
          <w:rFonts w:asciiTheme="minorHAnsi" w:hAnsiTheme="minorHAnsi"/>
          <w:sz w:val="24"/>
          <w:lang w:val="pl-PL"/>
        </w:rPr>
        <w:t>ich krewnych występujących w postępowaniu</w:t>
      </w:r>
      <w:r w:rsidRPr="00ED0C6A">
        <w:rPr>
          <w:rFonts w:asciiTheme="minorHAnsi" w:hAnsiTheme="minorHAnsi"/>
          <w:sz w:val="24"/>
          <w:lang w:val="pl-PL"/>
        </w:rPr>
        <w:t>.</w:t>
      </w:r>
      <w:r w:rsidR="004619CE" w:rsidRPr="00ED0C6A">
        <w:rPr>
          <w:rFonts w:asciiTheme="minorHAnsi" w:hAnsiTheme="minorHAnsi"/>
          <w:sz w:val="24"/>
          <w:lang w:val="pl-PL"/>
        </w:rPr>
        <w:t xml:space="preserve"> Podkreśla też znaczenie odszkodowania dla</w:t>
      </w:r>
      <w:r w:rsidR="003F5966">
        <w:rPr>
          <w:rFonts w:asciiTheme="minorHAnsi" w:hAnsiTheme="minorHAnsi"/>
          <w:sz w:val="24"/>
          <w:lang w:val="pl-PL"/>
        </w:rPr>
        <w:t> </w:t>
      </w:r>
      <w:r w:rsidR="004619CE" w:rsidRPr="00ED0C6A">
        <w:rPr>
          <w:rFonts w:asciiTheme="minorHAnsi" w:hAnsiTheme="minorHAnsi"/>
          <w:sz w:val="24"/>
          <w:lang w:val="pl-PL"/>
        </w:rPr>
        <w:t xml:space="preserve">ofiar, a także wsparcia dla społeczności dotkniętej atakiem. Wreszcie, </w:t>
      </w:r>
      <w:r w:rsidR="000B0097" w:rsidRPr="00ED0C6A">
        <w:rPr>
          <w:rFonts w:asciiTheme="minorHAnsi" w:hAnsiTheme="minorHAnsi"/>
          <w:sz w:val="24"/>
          <w:lang w:val="pl-PL"/>
        </w:rPr>
        <w:t xml:space="preserve">oprócz roli prokuratury i sądów </w:t>
      </w:r>
      <w:r w:rsidR="004619CE" w:rsidRPr="00ED0C6A">
        <w:rPr>
          <w:rFonts w:asciiTheme="minorHAnsi" w:hAnsiTheme="minorHAnsi"/>
          <w:sz w:val="24"/>
          <w:lang w:val="pl-PL"/>
        </w:rPr>
        <w:t xml:space="preserve">wyrok wskazuje na pozytywne znaczenie </w:t>
      </w:r>
      <w:r w:rsidR="004E7618" w:rsidRPr="00ED0C6A">
        <w:rPr>
          <w:rFonts w:asciiTheme="minorHAnsi" w:hAnsiTheme="minorHAnsi"/>
          <w:sz w:val="24"/>
          <w:lang w:val="pl-PL"/>
        </w:rPr>
        <w:t xml:space="preserve">również </w:t>
      </w:r>
      <w:r w:rsidR="004619CE" w:rsidRPr="00ED0C6A">
        <w:rPr>
          <w:rFonts w:asciiTheme="minorHAnsi" w:hAnsiTheme="minorHAnsi"/>
          <w:sz w:val="24"/>
          <w:lang w:val="pl-PL"/>
        </w:rPr>
        <w:t xml:space="preserve">prac komisji parlamentarnych w celu ustalenia prawdziwego przebiegu wydarzeń. </w:t>
      </w:r>
    </w:p>
    <w:p w:rsidR="004619CE" w:rsidRPr="00ED0C6A" w:rsidRDefault="004619CE" w:rsidP="008176C7">
      <w:pPr>
        <w:pStyle w:val="ClinContent"/>
        <w:spacing w:before="0"/>
        <w:rPr>
          <w:rFonts w:asciiTheme="minorHAnsi" w:hAnsiTheme="minorHAnsi"/>
          <w:sz w:val="24"/>
          <w:lang w:val="pl-PL"/>
        </w:rPr>
      </w:pPr>
    </w:p>
    <w:p w:rsidR="000373E9" w:rsidRPr="00BD537A" w:rsidRDefault="004619CE" w:rsidP="008176C7">
      <w:pPr>
        <w:pStyle w:val="ClinContent"/>
        <w:spacing w:before="0"/>
        <w:rPr>
          <w:rFonts w:asciiTheme="minorHAnsi" w:hAnsiTheme="minorHAnsi"/>
          <w:sz w:val="24"/>
          <w:lang w:val="pl-PL"/>
        </w:rPr>
      </w:pPr>
      <w:r w:rsidRPr="00ED0C6A">
        <w:rPr>
          <w:rFonts w:asciiTheme="minorHAnsi" w:hAnsiTheme="minorHAnsi"/>
          <w:sz w:val="24"/>
          <w:lang w:val="pl-PL"/>
        </w:rPr>
        <w:t>Wyrok m</w:t>
      </w:r>
      <w:r w:rsidR="004F181F" w:rsidRPr="00ED0C6A">
        <w:rPr>
          <w:rFonts w:asciiTheme="minorHAnsi" w:hAnsiTheme="minorHAnsi"/>
          <w:sz w:val="24"/>
          <w:lang w:val="pl-PL"/>
        </w:rPr>
        <w:t>oże mieć</w:t>
      </w:r>
      <w:r w:rsidRPr="00ED0C6A">
        <w:rPr>
          <w:rFonts w:asciiTheme="minorHAnsi" w:hAnsiTheme="minorHAnsi"/>
          <w:sz w:val="24"/>
          <w:lang w:val="pl-PL"/>
        </w:rPr>
        <w:t xml:space="preserve"> szczególne znaczenie dla organów bezpieczeństwa, sił zbrojnych, obrony cywilnej, prokuratury, sądów i Parlamentu RP. M</w:t>
      </w:r>
      <w:r w:rsidR="004F181F" w:rsidRPr="00ED0C6A">
        <w:rPr>
          <w:rFonts w:asciiTheme="minorHAnsi" w:hAnsiTheme="minorHAnsi"/>
          <w:sz w:val="24"/>
          <w:lang w:val="pl-PL"/>
        </w:rPr>
        <w:t>oże</w:t>
      </w:r>
      <w:r w:rsidRPr="00ED0C6A">
        <w:rPr>
          <w:rFonts w:asciiTheme="minorHAnsi" w:hAnsiTheme="minorHAnsi"/>
          <w:sz w:val="24"/>
          <w:lang w:val="pl-PL"/>
        </w:rPr>
        <w:t xml:space="preserve"> </w:t>
      </w:r>
      <w:r w:rsidR="004F181F" w:rsidRPr="00ED0C6A">
        <w:rPr>
          <w:rFonts w:asciiTheme="minorHAnsi" w:hAnsiTheme="minorHAnsi"/>
          <w:sz w:val="24"/>
          <w:lang w:val="pl-PL"/>
        </w:rPr>
        <w:t xml:space="preserve">mieć </w:t>
      </w:r>
      <w:r w:rsidRPr="00ED0C6A">
        <w:rPr>
          <w:rFonts w:asciiTheme="minorHAnsi" w:hAnsiTheme="minorHAnsi"/>
          <w:sz w:val="24"/>
          <w:lang w:val="pl-PL"/>
        </w:rPr>
        <w:t>także znaczenie dla organów właściwych ds. uregulowań prawnych i kontroli prawa w zakresie operacji bezpieczeństwa i</w:t>
      </w:r>
      <w:r w:rsidR="003F5966">
        <w:rPr>
          <w:rFonts w:asciiTheme="minorHAnsi" w:hAnsiTheme="minorHAnsi"/>
          <w:sz w:val="24"/>
          <w:lang w:val="pl-PL"/>
        </w:rPr>
        <w:t> </w:t>
      </w:r>
      <w:r w:rsidRPr="00ED0C6A">
        <w:rPr>
          <w:rFonts w:asciiTheme="minorHAnsi" w:hAnsiTheme="minorHAnsi"/>
          <w:sz w:val="24"/>
          <w:lang w:val="pl-PL"/>
        </w:rPr>
        <w:t>użycia śmiercionośnej siły w celu ochrony życia ludzkiego.</w:t>
      </w:r>
      <w:r w:rsidRPr="00BD537A">
        <w:rPr>
          <w:rFonts w:asciiTheme="minorHAnsi" w:hAnsiTheme="minorHAnsi"/>
          <w:sz w:val="24"/>
          <w:lang w:val="pl-PL"/>
        </w:rPr>
        <w:t xml:space="preserve">  </w:t>
      </w:r>
    </w:p>
    <w:p w:rsidR="000373E9" w:rsidRPr="00BD537A" w:rsidRDefault="000373E9" w:rsidP="008176C7">
      <w:pPr>
        <w:pStyle w:val="ClinContent"/>
        <w:spacing w:before="0"/>
        <w:rPr>
          <w:rFonts w:asciiTheme="minorHAnsi" w:hAnsiTheme="minorHAnsi" w:cs="Verdana"/>
          <w:bCs/>
          <w:sz w:val="24"/>
          <w:lang w:val="pl-PL"/>
        </w:rPr>
      </w:pPr>
    </w:p>
    <w:sectPr w:rsidR="000373E9" w:rsidRPr="00BD537A" w:rsidSect="005643B9">
      <w:footerReference w:type="default" r:id="rId10"/>
      <w:headerReference w:type="firs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B71" w:rsidRDefault="00335B71" w:rsidP="00327846">
      <w:pPr>
        <w:spacing w:after="0" w:line="240" w:lineRule="auto"/>
      </w:pPr>
      <w:r>
        <w:separator/>
      </w:r>
    </w:p>
  </w:endnote>
  <w:endnote w:type="continuationSeparator" w:id="0">
    <w:p w:rsidR="00335B71" w:rsidRDefault="00335B71" w:rsidP="00327846">
      <w:pPr>
        <w:spacing w:after="0" w:line="240" w:lineRule="auto"/>
      </w:pPr>
      <w:r>
        <w:continuationSeparator/>
      </w:r>
    </w:p>
  </w:endnote>
  <w:endnote w:type="continuationNotice" w:id="1">
    <w:p w:rsidR="00335B71" w:rsidRDefault="00335B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839942"/>
      <w:docPartObj>
        <w:docPartGallery w:val="Page Numbers (Bottom of Page)"/>
        <w:docPartUnique/>
      </w:docPartObj>
    </w:sdtPr>
    <w:sdtContent>
      <w:p w:rsidR="00335B71" w:rsidRDefault="00335B71">
        <w:pPr>
          <w:pStyle w:val="Stopka"/>
          <w:jc w:val="right"/>
        </w:pPr>
        <w:r>
          <w:fldChar w:fldCharType="begin"/>
        </w:r>
        <w:r>
          <w:instrText>PAGE   \* MERGEFORMAT</w:instrText>
        </w:r>
        <w:r>
          <w:fldChar w:fldCharType="separate"/>
        </w:r>
        <w:r w:rsidR="005F3505" w:rsidRPr="005F3505">
          <w:rPr>
            <w:noProof/>
            <w:lang w:val="pl-PL"/>
          </w:rPr>
          <w:t>3</w:t>
        </w:r>
        <w:r>
          <w:fldChar w:fldCharType="end"/>
        </w:r>
      </w:p>
    </w:sdtContent>
  </w:sdt>
  <w:p w:rsidR="00335B71" w:rsidRDefault="00335B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B71" w:rsidRDefault="00335B71" w:rsidP="00327846">
      <w:pPr>
        <w:spacing w:after="0" w:line="240" w:lineRule="auto"/>
      </w:pPr>
      <w:r>
        <w:separator/>
      </w:r>
    </w:p>
  </w:footnote>
  <w:footnote w:type="continuationSeparator" w:id="0">
    <w:p w:rsidR="00335B71" w:rsidRDefault="00335B71" w:rsidP="00327846">
      <w:pPr>
        <w:spacing w:after="0" w:line="240" w:lineRule="auto"/>
      </w:pPr>
      <w:r>
        <w:continuationSeparator/>
      </w:r>
    </w:p>
  </w:footnote>
  <w:footnote w:type="continuationNotice" w:id="1">
    <w:p w:rsidR="00335B71" w:rsidRDefault="00335B71">
      <w:pPr>
        <w:spacing w:after="0" w:line="240" w:lineRule="auto"/>
      </w:pPr>
    </w:p>
  </w:footnote>
  <w:footnote w:id="2">
    <w:p w:rsidR="00335B71" w:rsidRDefault="00335B71" w:rsidP="00A81794">
      <w:pPr>
        <w:pStyle w:val="Tekstprzypisudolnego"/>
        <w:spacing w:after="60"/>
        <w:jc w:val="both"/>
        <w:rPr>
          <w:rFonts w:asciiTheme="minorHAnsi" w:hAnsiTheme="minorHAnsi"/>
          <w:lang w:val="pl-PL"/>
        </w:rPr>
      </w:pPr>
      <w:r>
        <w:rPr>
          <w:rStyle w:val="Odwoanieprzypisudolnego"/>
          <w:rFonts w:asciiTheme="minorHAnsi" w:hAnsiTheme="minorHAnsi"/>
        </w:rPr>
        <w:footnoteRef/>
      </w:r>
      <w:r>
        <w:rPr>
          <w:rFonts w:asciiTheme="minorHAnsi" w:hAnsiTheme="minorHAnsi"/>
          <w:lang w:val="pl-PL"/>
        </w:rPr>
        <w:t xml:space="preserve"> Konwencja o ochronie praw człowieka i podstawowych wolności, sporządzona w Rzymie dnia 4 listopada 1950 r. (Dz. U. z 1993 r. Nr 61, poz. 284, z późn. zm.)</w:t>
      </w:r>
    </w:p>
  </w:footnote>
  <w:footnote w:id="3">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Konkluzje XIX-1 z dnia 24 października 2008 r. dotyczące przestrzegania przez Grecję art. 1 ust. 2 Europejskiej Karty Społecznej (prawo do pracy: skuteczna ochrona prawa pracownika do zarabiania na życie poprzez pracę swobodnie wybraną).</w:t>
      </w:r>
    </w:p>
  </w:footnote>
  <w:footnote w:id="4">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Pr>
        <w:footnoteRef/>
      </w:r>
      <w:r w:rsidRPr="00CF5CB9">
        <w:rPr>
          <w:lang w:val="pl-PL"/>
        </w:rPr>
        <w:t xml:space="preserve"> </w:t>
      </w:r>
      <w:proofErr w:type="spellStart"/>
      <w:r w:rsidRPr="00CF5CB9">
        <w:rPr>
          <w:rFonts w:asciiTheme="minorHAnsi" w:hAnsiTheme="minorHAnsi"/>
          <w:i/>
          <w:lang w:val="pl-PL"/>
        </w:rPr>
        <w:t>Bayatyan</w:t>
      </w:r>
      <w:proofErr w:type="spellEnd"/>
      <w:r w:rsidRPr="00CF5CB9">
        <w:rPr>
          <w:rFonts w:asciiTheme="minorHAnsi" w:hAnsiTheme="minorHAnsi"/>
          <w:i/>
          <w:lang w:val="pl-PL"/>
        </w:rPr>
        <w:t xml:space="preserve"> p. Armenii</w:t>
      </w:r>
      <w:r w:rsidRPr="00CF5CB9">
        <w:rPr>
          <w:rFonts w:asciiTheme="minorHAnsi" w:hAnsiTheme="minorHAnsi"/>
          <w:lang w:val="pl-PL"/>
        </w:rPr>
        <w:t xml:space="preserve"> [Wielka Izba], skarga nr 23459/03,  wyrok z 7 lipca 2011 r., patrz tłumaczenie na język polski:</w:t>
      </w:r>
    </w:p>
    <w:p w:rsidR="00335B71" w:rsidRPr="00CF5CB9" w:rsidRDefault="00335B71" w:rsidP="00D0275F">
      <w:pPr>
        <w:pStyle w:val="Tekstprzypisudolnego"/>
        <w:spacing w:after="60"/>
        <w:jc w:val="both"/>
        <w:rPr>
          <w:lang w:val="pl-PL"/>
        </w:rPr>
      </w:pPr>
      <w:hyperlink r:id="rId1" w:history="1">
        <w:r w:rsidRPr="00CF5CB9">
          <w:rPr>
            <w:rStyle w:val="Hipercze"/>
            <w:u w:val="none"/>
            <w:lang w:val="pl-PL"/>
          </w:rPr>
          <w:t>https://bip.ms.gov.pl/pl/prawa-czlowieka/europejski-trybunal-praw-czlowieka/orzecznictwo-europejskiego-trybunalu-praw-czlowieka/download,528,0.html</w:t>
        </w:r>
      </w:hyperlink>
      <w:r w:rsidRPr="00CF5CB9">
        <w:rPr>
          <w:lang w:val="pl-PL"/>
        </w:rPr>
        <w:t xml:space="preserve"> </w:t>
      </w:r>
    </w:p>
  </w:footnote>
  <w:footnote w:id="5">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w:t>
      </w:r>
      <w:hyperlink r:id="rId2" w:history="1">
        <w:r w:rsidRPr="00CF5CB9">
          <w:rPr>
            <w:rStyle w:val="Hipercze"/>
            <w:rFonts w:asciiTheme="minorHAnsi" w:hAnsiTheme="minorHAnsi"/>
            <w:u w:val="none"/>
            <w:lang w:val="pl-PL"/>
          </w:rPr>
          <w:t>http://eur-lex.europa.eu/legal-content/PL/TXT/HTML/?uri=CELEX:31995L0046&amp;from=PL</w:t>
        </w:r>
      </w:hyperlink>
      <w:r w:rsidRPr="00CF5CB9">
        <w:rPr>
          <w:rFonts w:asciiTheme="minorHAnsi" w:hAnsiTheme="minorHAnsi"/>
          <w:lang w:val="pl-PL"/>
        </w:rPr>
        <w:t xml:space="preserve"> </w:t>
      </w:r>
    </w:p>
  </w:footnote>
  <w:footnote w:id="6">
    <w:p w:rsidR="00335B71" w:rsidRPr="00CF5CB9" w:rsidRDefault="00335B71" w:rsidP="00D0275F">
      <w:pPr>
        <w:spacing w:after="60"/>
        <w:jc w:val="both"/>
        <w:rPr>
          <w:sz w:val="20"/>
          <w:szCs w:val="20"/>
          <w:lang w:val="pl-PL"/>
        </w:rPr>
      </w:pPr>
      <w:r w:rsidRPr="00CF5CB9">
        <w:rPr>
          <w:rStyle w:val="Odwoanieprzypisudolnego"/>
          <w:sz w:val="20"/>
          <w:szCs w:val="20"/>
        </w:rPr>
        <w:footnoteRef/>
      </w:r>
      <w:r w:rsidRPr="00CF5CB9">
        <w:rPr>
          <w:sz w:val="20"/>
          <w:szCs w:val="20"/>
          <w:lang w:val="pl-PL"/>
        </w:rPr>
        <w:t xml:space="preserve"> Polskie tłumaczenie Rekomendacji – patrz </w:t>
      </w:r>
      <w:hyperlink r:id="rId3" w:history="1">
        <w:r w:rsidRPr="00CF5CB9">
          <w:rPr>
            <w:rStyle w:val="Hipercze"/>
            <w:sz w:val="20"/>
            <w:szCs w:val="20"/>
            <w:u w:val="none"/>
            <w:lang w:val="pl-PL"/>
          </w:rPr>
          <w:t>http://www.giodo.gov.pl/230/id_art/8618/j/pl</w:t>
        </w:r>
      </w:hyperlink>
    </w:p>
  </w:footnote>
  <w:footnote w:id="7">
    <w:p w:rsidR="00335B71" w:rsidRPr="00CF5CB9" w:rsidRDefault="00335B71" w:rsidP="00D0275F">
      <w:pPr>
        <w:pStyle w:val="Tekstprzypisudolnego"/>
        <w:spacing w:after="60"/>
        <w:jc w:val="both"/>
        <w:rPr>
          <w:lang w:val="pl-PL"/>
        </w:rPr>
      </w:pPr>
      <w:r w:rsidRPr="00CF5CB9">
        <w:rPr>
          <w:rStyle w:val="Odwoanieprzypisudolnego"/>
        </w:rPr>
        <w:footnoteRef/>
      </w:r>
      <w:r w:rsidRPr="00CF5CB9">
        <w:rPr>
          <w:lang w:val="pl-PL"/>
        </w:rPr>
        <w:t xml:space="preserve"> Zobacz, na temat ogólnie kwestii wyroków pilotażowych, </w:t>
      </w:r>
      <w:r w:rsidRPr="00CF5CB9">
        <w:rPr>
          <w:i/>
          <w:lang w:val="pl-PL"/>
        </w:rPr>
        <w:t>Broniowski p. Polsce</w:t>
      </w:r>
      <w:r w:rsidRPr="00CF5CB9">
        <w:rPr>
          <w:lang w:val="pl-PL"/>
        </w:rPr>
        <w:t>, skarga nr 31443/96, wyrok Wielkiej Izby z 22 czerwca 2004 r.</w:t>
      </w:r>
    </w:p>
    <w:p w:rsidR="00335B71" w:rsidRPr="00CF5CB9" w:rsidRDefault="00335B71" w:rsidP="00D0275F">
      <w:pPr>
        <w:pStyle w:val="Tekstprzypisudolnego"/>
        <w:spacing w:after="60"/>
        <w:jc w:val="both"/>
        <w:rPr>
          <w:lang w:val="pl-PL"/>
        </w:rPr>
      </w:pPr>
      <w:hyperlink r:id="rId4" w:history="1">
        <w:r w:rsidRPr="00CF5CB9">
          <w:rPr>
            <w:rStyle w:val="Hipercze"/>
            <w:u w:val="none"/>
            <w:lang w:val="pl-PL"/>
          </w:rPr>
          <w:t>https://bip.ms.gov.pl/pl/prawa-czlowieka/europejski-trybunal-praw-czlowieka/orzecznictwo-europejskiego-trybunalu-praw-czlowieka/download,122,0.html</w:t>
        </w:r>
      </w:hyperlink>
      <w:r w:rsidRPr="00CF5CB9">
        <w:rPr>
          <w:lang w:val="pl-PL"/>
        </w:rPr>
        <w:t xml:space="preserve"> </w:t>
      </w:r>
    </w:p>
    <w:p w:rsidR="00335B71" w:rsidRPr="00CF5CB9" w:rsidRDefault="00335B71" w:rsidP="00D0275F">
      <w:pPr>
        <w:pStyle w:val="Tekstprzypisudolnego"/>
        <w:spacing w:after="60"/>
        <w:jc w:val="both"/>
        <w:rPr>
          <w:lang w:val="pl-PL"/>
        </w:rPr>
      </w:pPr>
      <w:r w:rsidRPr="00CF5CB9">
        <w:rPr>
          <w:lang w:val="pl-PL"/>
        </w:rPr>
        <w:t xml:space="preserve">Zobacz również </w:t>
      </w:r>
      <w:proofErr w:type="spellStart"/>
      <w:r w:rsidRPr="006374F9">
        <w:rPr>
          <w:i/>
          <w:lang w:val="pl-PL"/>
        </w:rPr>
        <w:t>Burdov</w:t>
      </w:r>
      <w:proofErr w:type="spellEnd"/>
      <w:r w:rsidRPr="006374F9">
        <w:rPr>
          <w:i/>
          <w:lang w:val="pl-PL"/>
        </w:rPr>
        <w:t xml:space="preserve"> p. Rosji (nr 2),</w:t>
      </w:r>
      <w:r w:rsidRPr="00CF5CB9">
        <w:rPr>
          <w:lang w:val="pl-PL"/>
        </w:rPr>
        <w:t xml:space="preserve"> skarga nr 33509/04, wyrok z 15 stycznia 2009 r., tłumaczenie na język polski </w:t>
      </w:r>
    </w:p>
    <w:p w:rsidR="00335B71" w:rsidRPr="00CF5CB9" w:rsidRDefault="00335B71" w:rsidP="00D0275F">
      <w:pPr>
        <w:pStyle w:val="Tekstprzypisudolnego"/>
        <w:spacing w:after="60"/>
        <w:jc w:val="both"/>
        <w:rPr>
          <w:lang w:val="pl-PL"/>
        </w:rPr>
      </w:pPr>
      <w:hyperlink r:id="rId5" w:history="1">
        <w:r w:rsidRPr="00CF5CB9">
          <w:rPr>
            <w:rStyle w:val="Hipercze"/>
            <w:u w:val="none"/>
            <w:lang w:val="pl-PL"/>
          </w:rPr>
          <w:t>https://bip.ms.gov.pl/pl/prawa-czlowieka/europejski-trybunal-praw-czlowieka/orzecznictwo-europejskiego-trybunalu-praw-czlowieka/download,596,0.html</w:t>
        </w:r>
      </w:hyperlink>
      <w:r w:rsidRPr="00CF5CB9">
        <w:rPr>
          <w:lang w:val="pl-PL"/>
        </w:rPr>
        <w:t xml:space="preserve"> </w:t>
      </w:r>
    </w:p>
  </w:footnote>
  <w:footnote w:id="8">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Tekst Konwencji w języku polskim: </w:t>
      </w:r>
      <w:hyperlink w:history="1"/>
      <w:r w:rsidRPr="00CF5CB9">
        <w:rPr>
          <w:rStyle w:val="Hipercze"/>
          <w:rFonts w:asciiTheme="minorHAnsi" w:eastAsiaTheme="majorEastAsia" w:hAnsiTheme="minorHAnsi"/>
          <w:u w:val="none"/>
          <w:lang w:val="pl-PL"/>
        </w:rPr>
        <w:t xml:space="preserve"> </w:t>
      </w:r>
      <w:hyperlink r:id="rId6" w:history="1">
        <w:r w:rsidRPr="00CF5CB9">
          <w:rPr>
            <w:rStyle w:val="Hipercze"/>
            <w:rFonts w:asciiTheme="minorHAnsi" w:eastAsiaTheme="majorEastAsia" w:hAnsiTheme="minorHAnsi"/>
            <w:u w:val="none"/>
            <w:lang w:val="pl-PL"/>
          </w:rPr>
          <w:t>http://isap.sejm.gov.pl/isap.nsf/DocDetails.xsp?id=WDU20090200107</w:t>
        </w:r>
      </w:hyperlink>
      <w:r w:rsidRPr="00CF5CB9">
        <w:rPr>
          <w:rStyle w:val="Hipercze"/>
          <w:rFonts w:asciiTheme="minorHAnsi" w:eastAsiaTheme="majorEastAsia" w:hAnsiTheme="minorHAnsi"/>
          <w:u w:val="none"/>
          <w:lang w:val="pl-PL"/>
        </w:rPr>
        <w:t xml:space="preserve"> </w:t>
      </w:r>
    </w:p>
  </w:footnote>
  <w:footnote w:id="9">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w:t>
      </w:r>
      <w:hyperlink r:id="rId7" w:history="1">
        <w:r w:rsidRPr="00CF5CB9">
          <w:rPr>
            <w:rStyle w:val="Hipercze"/>
            <w:rFonts w:asciiTheme="minorHAnsi" w:hAnsiTheme="minorHAnsi"/>
            <w:u w:val="none"/>
            <w:lang w:val="pl-PL"/>
          </w:rPr>
          <w:t>http://isap.sejm.gov.pl/isap.nsf/DocDetails.xsp?id=WDU20050180160</w:t>
        </w:r>
      </w:hyperlink>
      <w:r w:rsidRPr="00CF5CB9">
        <w:rPr>
          <w:rFonts w:asciiTheme="minorHAnsi" w:hAnsiTheme="minorHAnsi"/>
          <w:lang w:val="pl-PL"/>
        </w:rPr>
        <w:t xml:space="preserve"> </w:t>
      </w:r>
    </w:p>
  </w:footnote>
  <w:footnote w:id="10">
    <w:p w:rsidR="00335B71" w:rsidRPr="00CF5CB9" w:rsidRDefault="00335B71" w:rsidP="003B51AC">
      <w:pPr>
        <w:pStyle w:val="Tekstprzypisudolnego"/>
        <w:spacing w:after="60"/>
        <w:jc w:val="both"/>
        <w:rPr>
          <w:lang w:val="pl-PL"/>
        </w:rPr>
      </w:pPr>
      <w:r>
        <w:rPr>
          <w:rStyle w:val="Odwoanieprzypisudolnego"/>
        </w:rPr>
        <w:footnoteRef/>
      </w:r>
      <w:r w:rsidRPr="003B51AC">
        <w:rPr>
          <w:lang w:val="pl-PL"/>
        </w:rPr>
        <w:t xml:space="preserve"> </w:t>
      </w:r>
      <w:r w:rsidRPr="00CF5CB9">
        <w:rPr>
          <w:lang w:val="pl-PL"/>
        </w:rPr>
        <w:t xml:space="preserve">Zobacz także </w:t>
      </w:r>
      <w:r w:rsidRPr="00CF5CB9">
        <w:rPr>
          <w:i/>
          <w:lang w:val="pl-PL"/>
        </w:rPr>
        <w:t>L.E. p. Grecji</w:t>
      </w:r>
      <w:r w:rsidRPr="00CF5CB9">
        <w:rPr>
          <w:lang w:val="pl-PL"/>
        </w:rPr>
        <w:t>, skarga nr 71545/12, wyrok z 21 stycznia 2016 r., tłumaczenie na język polski:</w:t>
      </w:r>
    </w:p>
    <w:p w:rsidR="00335B71" w:rsidRPr="00CF5CB9" w:rsidRDefault="00335B71" w:rsidP="003B51AC">
      <w:pPr>
        <w:pStyle w:val="Tekstprzypisudolnego"/>
        <w:spacing w:after="60"/>
        <w:jc w:val="both"/>
        <w:rPr>
          <w:lang w:val="pl-PL"/>
        </w:rPr>
      </w:pPr>
      <w:hyperlink r:id="rId8" w:history="1">
        <w:r w:rsidRPr="00CF5CB9">
          <w:rPr>
            <w:rStyle w:val="Hipercze"/>
            <w:u w:val="none"/>
            <w:lang w:val="pl-PL"/>
          </w:rPr>
          <w:t>https://bip.ms.gov.pl/pl/prawa-czlowieka/europejski-trybunal-praw-czlowieka/orzecznictwo-europejskiego-trybunalu-praw-czlowieka/download,944,1.html</w:t>
        </w:r>
      </w:hyperlink>
    </w:p>
    <w:p w:rsidR="00335B71" w:rsidRPr="003B51AC" w:rsidRDefault="00335B71" w:rsidP="003B51AC">
      <w:pPr>
        <w:pStyle w:val="Tekstprzypisudolnego"/>
        <w:jc w:val="both"/>
        <w:rPr>
          <w:lang w:val="pl-PL"/>
        </w:rPr>
      </w:pPr>
      <w:r w:rsidRPr="00CF5CB9">
        <w:rPr>
          <w:lang w:val="pl-PL"/>
        </w:rPr>
        <w:t>Zobacz również</w:t>
      </w:r>
      <w:r>
        <w:rPr>
          <w:lang w:val="pl-PL"/>
        </w:rPr>
        <w:t xml:space="preserve"> </w:t>
      </w:r>
      <w:r w:rsidRPr="003B51AC">
        <w:rPr>
          <w:i/>
          <w:lang w:val="pl-PL"/>
        </w:rPr>
        <w:t>J. i Inni p. Austrii</w:t>
      </w:r>
      <w:r w:rsidRPr="003B51AC">
        <w:rPr>
          <w:lang w:val="pl-PL"/>
        </w:rPr>
        <w:t>, skarga nr 58216/</w:t>
      </w:r>
      <w:r>
        <w:rPr>
          <w:lang w:val="pl-PL"/>
        </w:rPr>
        <w:t xml:space="preserve">12, wyrok Izby z 17.01.2017 r., opisany w pkt </w:t>
      </w:r>
      <w:r>
        <w:rPr>
          <w:lang w:val="pl-PL"/>
        </w:rPr>
        <w:fldChar w:fldCharType="begin"/>
      </w:r>
      <w:r>
        <w:rPr>
          <w:lang w:val="pl-PL"/>
        </w:rPr>
        <w:instrText xml:space="preserve"> REF _Ref509820143 \r \h </w:instrText>
      </w:r>
      <w:r>
        <w:rPr>
          <w:lang w:val="pl-PL"/>
        </w:rPr>
      </w:r>
      <w:r>
        <w:rPr>
          <w:lang w:val="pl-PL"/>
        </w:rPr>
        <w:fldChar w:fldCharType="separate"/>
      </w:r>
      <w:r>
        <w:rPr>
          <w:lang w:val="pl-PL"/>
        </w:rPr>
        <w:t>11</w:t>
      </w:r>
      <w:r>
        <w:rPr>
          <w:lang w:val="pl-PL"/>
        </w:rPr>
        <w:fldChar w:fldCharType="end"/>
      </w:r>
      <w:r>
        <w:rPr>
          <w:lang w:val="pl-PL"/>
        </w:rPr>
        <w:t xml:space="preserve"> niniejszego przeglądu orzecznictwa. </w:t>
      </w:r>
    </w:p>
  </w:footnote>
  <w:footnote w:id="11">
    <w:p w:rsidR="00335B71" w:rsidRPr="00CF5CB9" w:rsidRDefault="00335B71" w:rsidP="00D0275F">
      <w:pPr>
        <w:pStyle w:val="ClinContent"/>
        <w:spacing w:before="0" w:after="60"/>
        <w:rPr>
          <w:rFonts w:asciiTheme="minorHAnsi" w:hAnsiTheme="minorHAnsi"/>
          <w:szCs w:val="20"/>
          <w:lang w:val="pl-PL"/>
        </w:rPr>
      </w:pPr>
      <w:r w:rsidRPr="00CF5CB9">
        <w:rPr>
          <w:rStyle w:val="Odwoanieprzypisudolnego"/>
          <w:rFonts w:asciiTheme="minorHAnsi" w:hAnsiTheme="minorHAnsi"/>
          <w:szCs w:val="20"/>
        </w:rPr>
        <w:footnoteRef/>
      </w:r>
      <w:r w:rsidRPr="00CF5CB9">
        <w:rPr>
          <w:rFonts w:asciiTheme="minorHAnsi" w:hAnsiTheme="minorHAnsi"/>
          <w:szCs w:val="20"/>
          <w:lang w:val="pl-PL"/>
        </w:rPr>
        <w:t xml:space="preserve"> Kodeks Dobrych Praktyk w Sprawach Wyborczych (Wytyczne oraz Raport Wyjaśniający) (CDL-AD (2002) 23 </w:t>
      </w:r>
      <w:proofErr w:type="spellStart"/>
      <w:r w:rsidRPr="00CF5CB9">
        <w:rPr>
          <w:rFonts w:asciiTheme="minorHAnsi" w:hAnsiTheme="minorHAnsi"/>
          <w:szCs w:val="20"/>
          <w:lang w:val="pl-PL"/>
        </w:rPr>
        <w:t>rev</w:t>
      </w:r>
      <w:proofErr w:type="spellEnd"/>
      <w:r w:rsidRPr="00CF5CB9">
        <w:rPr>
          <w:rFonts w:asciiTheme="minorHAnsi" w:hAnsiTheme="minorHAnsi"/>
          <w:szCs w:val="20"/>
          <w:lang w:val="pl-PL"/>
        </w:rPr>
        <w:t xml:space="preserve">), przyjęty przez Europejską Komisja na rzecz Demokracji przez Prawo („Komisję Wenecką”) </w:t>
      </w:r>
    </w:p>
    <w:p w:rsidR="00335B71" w:rsidRPr="00CF5CB9" w:rsidRDefault="00335B71" w:rsidP="00D0275F">
      <w:pPr>
        <w:pStyle w:val="ClinContent"/>
        <w:spacing w:before="0" w:after="60"/>
        <w:rPr>
          <w:rFonts w:asciiTheme="minorHAnsi" w:hAnsiTheme="minorHAnsi"/>
          <w:szCs w:val="20"/>
          <w:lang w:val="pl-PL"/>
        </w:rPr>
      </w:pPr>
      <w:hyperlink r:id="rId9" w:history="1">
        <w:r w:rsidRPr="00CF5CB9">
          <w:rPr>
            <w:rStyle w:val="Hipercze"/>
            <w:rFonts w:asciiTheme="minorHAnsi" w:hAnsiTheme="minorHAnsi"/>
            <w:szCs w:val="20"/>
            <w:u w:val="none"/>
            <w:lang w:val="pl-PL"/>
          </w:rPr>
          <w:t>http://www.venice.coe.int/webforms/documents/default.aspx?pdffile=CDL-AD(2002)023rev-e</w:t>
        </w:r>
      </w:hyperlink>
      <w:r w:rsidRPr="00CF5CB9">
        <w:rPr>
          <w:rFonts w:asciiTheme="minorHAnsi" w:hAnsiTheme="minorHAnsi"/>
          <w:szCs w:val="20"/>
          <w:lang w:val="pl-PL"/>
        </w:rPr>
        <w:t xml:space="preserve"> </w:t>
      </w:r>
    </w:p>
    <w:p w:rsidR="00335B71" w:rsidRPr="00CF5CB9" w:rsidRDefault="00335B71" w:rsidP="00D0275F">
      <w:pPr>
        <w:pStyle w:val="Tekstprzypisudolnego"/>
        <w:spacing w:after="60"/>
        <w:jc w:val="both"/>
        <w:rPr>
          <w:rFonts w:asciiTheme="minorHAnsi" w:hAnsiTheme="minorHAnsi"/>
          <w:lang w:val="pl-PL"/>
        </w:rPr>
      </w:pPr>
    </w:p>
  </w:footnote>
  <w:footnote w:id="12">
    <w:p w:rsidR="00335B71" w:rsidRPr="00CF5CB9" w:rsidRDefault="00335B71" w:rsidP="0072154D">
      <w:pPr>
        <w:pStyle w:val="Tekstprzypisudolnego"/>
        <w:pBdr>
          <w:right w:val="nil"/>
        </w:pBdr>
        <w:spacing w:after="60"/>
        <w:jc w:val="both"/>
        <w:rPr>
          <w:lang w:val="pl-PL"/>
        </w:rPr>
      </w:pPr>
      <w:r w:rsidRPr="00CF5CB9">
        <w:rPr>
          <w:rStyle w:val="Odwoanieprzypisudolnego"/>
        </w:rPr>
        <w:footnoteRef/>
      </w:r>
      <w:r w:rsidRPr="00CF5CB9">
        <w:rPr>
          <w:lang w:val="pl-PL"/>
        </w:rPr>
        <w:t xml:space="preserve"> Zobacz, na przykład, </w:t>
      </w:r>
      <w:proofErr w:type="spellStart"/>
      <w:r w:rsidRPr="00CF5CB9">
        <w:rPr>
          <w:i/>
          <w:lang w:val="pl-PL"/>
        </w:rPr>
        <w:t>Valkov</w:t>
      </w:r>
      <w:proofErr w:type="spellEnd"/>
      <w:r w:rsidRPr="00CF5CB9">
        <w:rPr>
          <w:i/>
          <w:lang w:val="pl-PL"/>
        </w:rPr>
        <w:t xml:space="preserve"> i Inni p. Bułgarii</w:t>
      </w:r>
      <w:r w:rsidRPr="00CF5CB9">
        <w:rPr>
          <w:lang w:val="pl-PL"/>
        </w:rPr>
        <w:t xml:space="preserve">, nr 2033/04, wyrok z 25 października 2011 r.;  </w:t>
      </w:r>
      <w:proofErr w:type="spellStart"/>
      <w:r w:rsidRPr="00CF5CB9">
        <w:rPr>
          <w:i/>
          <w:lang w:val="pl-PL"/>
        </w:rPr>
        <w:t>Heinisch</w:t>
      </w:r>
      <w:proofErr w:type="spellEnd"/>
      <w:r w:rsidRPr="00CF5CB9">
        <w:rPr>
          <w:i/>
          <w:lang w:val="pl-PL"/>
        </w:rPr>
        <w:t xml:space="preserve"> p.</w:t>
      </w:r>
      <w:r>
        <w:rPr>
          <w:i/>
          <w:lang w:val="pl-PL"/>
        </w:rPr>
        <w:t> </w:t>
      </w:r>
      <w:r w:rsidRPr="00CF5CB9">
        <w:rPr>
          <w:i/>
          <w:lang w:val="pl-PL"/>
        </w:rPr>
        <w:t>Niemcom</w:t>
      </w:r>
      <w:r w:rsidRPr="00CF5CB9">
        <w:rPr>
          <w:lang w:val="pl-PL"/>
        </w:rPr>
        <w:t xml:space="preserve">, nr 28274/08, wyrok z 21 lipca 2011 r.; oraz </w:t>
      </w:r>
      <w:proofErr w:type="spellStart"/>
      <w:r w:rsidRPr="00CF5CB9">
        <w:rPr>
          <w:i/>
          <w:lang w:val="pl-PL"/>
        </w:rPr>
        <w:t>Vilho</w:t>
      </w:r>
      <w:proofErr w:type="spellEnd"/>
      <w:r w:rsidRPr="00CF5CB9">
        <w:rPr>
          <w:i/>
          <w:lang w:val="pl-PL"/>
        </w:rPr>
        <w:t xml:space="preserve"> </w:t>
      </w:r>
      <w:proofErr w:type="spellStart"/>
      <w:r w:rsidRPr="00CF5CB9">
        <w:rPr>
          <w:i/>
          <w:lang w:val="pl-PL"/>
        </w:rPr>
        <w:t>Eskelinen</w:t>
      </w:r>
      <w:proofErr w:type="spellEnd"/>
      <w:r w:rsidRPr="00CF5CB9">
        <w:rPr>
          <w:i/>
          <w:lang w:val="pl-PL"/>
        </w:rPr>
        <w:t xml:space="preserve"> i Inni p. Finlandii</w:t>
      </w:r>
      <w:r w:rsidRPr="00CF5CB9">
        <w:rPr>
          <w:lang w:val="pl-PL"/>
        </w:rPr>
        <w:t xml:space="preserve"> [Wielka Izba], nr</w:t>
      </w:r>
      <w:r>
        <w:rPr>
          <w:lang w:val="pl-PL"/>
        </w:rPr>
        <w:t> </w:t>
      </w:r>
      <w:r w:rsidRPr="00CF5CB9">
        <w:rPr>
          <w:lang w:val="pl-PL"/>
        </w:rPr>
        <w:t>63235/00, wyrok z 19 kwietnia 2007 r.</w:t>
      </w:r>
    </w:p>
  </w:footnote>
  <w:footnote w:id="13">
    <w:p w:rsidR="00335B71" w:rsidRPr="00CF5CB9" w:rsidRDefault="00335B71" w:rsidP="00B816C5">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Zobacz również </w:t>
      </w:r>
      <w:proofErr w:type="spellStart"/>
      <w:r w:rsidRPr="00CF5CB9">
        <w:rPr>
          <w:rFonts w:asciiTheme="minorHAnsi" w:hAnsiTheme="minorHAnsi"/>
          <w:i/>
          <w:lang w:val="pl-PL"/>
        </w:rPr>
        <w:t>Béláné</w:t>
      </w:r>
      <w:proofErr w:type="spellEnd"/>
      <w:r w:rsidRPr="00CF5CB9">
        <w:rPr>
          <w:rFonts w:asciiTheme="minorHAnsi" w:hAnsiTheme="minorHAnsi"/>
          <w:i/>
          <w:lang w:val="pl-PL"/>
        </w:rPr>
        <w:t xml:space="preserve"> </w:t>
      </w:r>
      <w:proofErr w:type="spellStart"/>
      <w:r w:rsidRPr="00CF5CB9">
        <w:rPr>
          <w:rFonts w:asciiTheme="minorHAnsi" w:hAnsiTheme="minorHAnsi"/>
          <w:i/>
          <w:lang w:val="pl-PL"/>
        </w:rPr>
        <w:t>Nagy</w:t>
      </w:r>
      <w:proofErr w:type="spellEnd"/>
      <w:r w:rsidRPr="00CF5CB9">
        <w:rPr>
          <w:rFonts w:asciiTheme="minorHAnsi" w:hAnsiTheme="minorHAnsi"/>
          <w:i/>
          <w:lang w:val="pl-PL"/>
        </w:rPr>
        <w:t xml:space="preserve"> p. Węgrom</w:t>
      </w:r>
      <w:r w:rsidRPr="00CF5CB9">
        <w:rPr>
          <w:rFonts w:asciiTheme="minorHAnsi" w:hAnsiTheme="minorHAnsi"/>
          <w:lang w:val="pl-PL"/>
        </w:rPr>
        <w:t xml:space="preserve"> [Wielka Izba], nr 53080/13, wyrok z 13 grudnia 2016 r., streszczenie w języku polskim:</w:t>
      </w:r>
    </w:p>
    <w:p w:rsidR="00335B71" w:rsidRPr="00CF5CB9" w:rsidRDefault="00335B71" w:rsidP="00B816C5">
      <w:pPr>
        <w:pStyle w:val="Tekstprzypisudolnego"/>
        <w:spacing w:after="60"/>
        <w:jc w:val="both"/>
        <w:rPr>
          <w:rFonts w:asciiTheme="minorHAnsi" w:hAnsiTheme="minorHAnsi"/>
          <w:lang w:val="pl-PL"/>
        </w:rPr>
      </w:pPr>
      <w:hyperlink r:id="rId10" w:history="1">
        <w:r w:rsidRPr="00CF5CB9">
          <w:rPr>
            <w:rStyle w:val="Hipercze"/>
            <w:rFonts w:asciiTheme="minorHAnsi" w:hAnsiTheme="minorHAnsi"/>
            <w:u w:val="none"/>
            <w:lang w:val="pl-PL"/>
          </w:rPr>
          <w:t>https://bip.ms.gov.pl/pl/prawa-czlowieka/europejski-trybunal-praw-czlowieka/orzecznictwo-europejskiego-trybunalu-praw-czlowieka/download,843,0.html</w:t>
        </w:r>
      </w:hyperlink>
      <w:r w:rsidRPr="00CF5CB9">
        <w:rPr>
          <w:rFonts w:asciiTheme="minorHAnsi" w:hAnsiTheme="minorHAnsi"/>
          <w:lang w:val="pl-PL"/>
        </w:rPr>
        <w:t xml:space="preserve"> </w:t>
      </w:r>
    </w:p>
    <w:p w:rsidR="00335B71" w:rsidRPr="00CF5CB9" w:rsidRDefault="00335B71" w:rsidP="00B816C5">
      <w:pPr>
        <w:pStyle w:val="Tekstprzypisudolnego"/>
        <w:spacing w:after="60"/>
        <w:jc w:val="both"/>
        <w:rPr>
          <w:rFonts w:asciiTheme="minorHAnsi" w:hAnsiTheme="minorHAnsi"/>
          <w:lang w:val="pl-PL"/>
        </w:rPr>
      </w:pPr>
      <w:r w:rsidRPr="00CF5CB9">
        <w:rPr>
          <w:rFonts w:asciiTheme="minorHAnsi" w:hAnsiTheme="minorHAnsi"/>
          <w:lang w:val="pl-PL"/>
        </w:rPr>
        <w:t>Zobacz także</w:t>
      </w:r>
      <w:r w:rsidRPr="00CF5CB9">
        <w:rPr>
          <w:rFonts w:asciiTheme="minorHAnsi" w:hAnsiTheme="minorHAnsi"/>
          <w:i/>
          <w:lang w:val="pl-PL"/>
        </w:rPr>
        <w:t xml:space="preserve"> </w:t>
      </w:r>
      <w:proofErr w:type="spellStart"/>
      <w:r w:rsidRPr="00CF5CB9">
        <w:rPr>
          <w:rFonts w:asciiTheme="minorHAnsi" w:hAnsiTheme="minorHAnsi"/>
          <w:i/>
          <w:lang w:val="pl-PL"/>
        </w:rPr>
        <w:t>Khamtokhu</w:t>
      </w:r>
      <w:proofErr w:type="spellEnd"/>
      <w:r w:rsidRPr="00CF5CB9">
        <w:rPr>
          <w:rFonts w:asciiTheme="minorHAnsi" w:hAnsiTheme="minorHAnsi"/>
          <w:i/>
          <w:lang w:val="pl-PL"/>
        </w:rPr>
        <w:t xml:space="preserve"> i </w:t>
      </w:r>
      <w:proofErr w:type="spellStart"/>
      <w:r w:rsidRPr="00CF5CB9">
        <w:rPr>
          <w:rFonts w:asciiTheme="minorHAnsi" w:hAnsiTheme="minorHAnsi"/>
          <w:i/>
          <w:lang w:val="pl-PL"/>
        </w:rPr>
        <w:t>Aksenchik</w:t>
      </w:r>
      <w:proofErr w:type="spellEnd"/>
      <w:r w:rsidRPr="00CF5CB9">
        <w:rPr>
          <w:rFonts w:asciiTheme="minorHAnsi" w:hAnsiTheme="minorHAnsi"/>
          <w:i/>
          <w:lang w:val="pl-PL"/>
        </w:rPr>
        <w:t xml:space="preserve"> p. Rosji</w:t>
      </w:r>
      <w:r w:rsidRPr="00CF5CB9">
        <w:rPr>
          <w:rFonts w:asciiTheme="minorHAnsi" w:hAnsiTheme="minorHAnsi"/>
          <w:lang w:val="pl-PL"/>
        </w:rPr>
        <w:t xml:space="preserve">, nr 60367/08 i 961/11, wyrok Wielkiej Izby z 24 stycznia 2017 r. - patrz opis w pkt </w:t>
      </w:r>
      <w:r w:rsidRPr="00CF5CB9">
        <w:rPr>
          <w:rFonts w:asciiTheme="minorHAnsi" w:hAnsiTheme="minorHAnsi"/>
          <w:lang w:val="pl-PL"/>
        </w:rPr>
        <w:fldChar w:fldCharType="begin"/>
      </w:r>
      <w:r w:rsidRPr="00CF5CB9">
        <w:rPr>
          <w:rFonts w:asciiTheme="minorHAnsi" w:hAnsiTheme="minorHAnsi"/>
          <w:lang w:val="pl-PL"/>
        </w:rPr>
        <w:instrText xml:space="preserve"> REF _Ref509582130 \r \h  \* MERGEFORMAT </w:instrText>
      </w:r>
      <w:r w:rsidRPr="00CF5CB9">
        <w:rPr>
          <w:rFonts w:asciiTheme="minorHAnsi" w:hAnsiTheme="minorHAnsi"/>
          <w:lang w:val="pl-PL"/>
        </w:rPr>
      </w:r>
      <w:r w:rsidRPr="00CF5CB9">
        <w:rPr>
          <w:rFonts w:asciiTheme="minorHAnsi" w:hAnsiTheme="minorHAnsi"/>
          <w:lang w:val="pl-PL"/>
        </w:rPr>
        <w:fldChar w:fldCharType="separate"/>
      </w:r>
      <w:r w:rsidRPr="00CF5CB9">
        <w:rPr>
          <w:rFonts w:asciiTheme="minorHAnsi" w:hAnsiTheme="minorHAnsi"/>
          <w:lang w:val="pl-PL"/>
        </w:rPr>
        <w:t>13</w:t>
      </w:r>
      <w:r w:rsidRPr="00CF5CB9">
        <w:rPr>
          <w:rFonts w:asciiTheme="minorHAnsi" w:hAnsiTheme="minorHAnsi"/>
          <w:lang w:val="pl-PL"/>
        </w:rPr>
        <w:fldChar w:fldCharType="end"/>
      </w:r>
      <w:r w:rsidRPr="00CF5CB9">
        <w:rPr>
          <w:rFonts w:asciiTheme="minorHAnsi" w:hAnsiTheme="minorHAnsi"/>
          <w:lang w:val="pl-PL"/>
        </w:rPr>
        <w:t xml:space="preserve"> niniejszego przeglądu; a także</w:t>
      </w:r>
      <w:r w:rsidRPr="00CF5CB9">
        <w:rPr>
          <w:lang w:val="pl-PL"/>
        </w:rPr>
        <w:t xml:space="preserve"> </w:t>
      </w:r>
      <w:r w:rsidRPr="00CF5CB9">
        <w:rPr>
          <w:rFonts w:asciiTheme="minorHAnsi" w:hAnsiTheme="minorHAnsi"/>
          <w:i/>
          <w:lang w:val="pl-PL"/>
        </w:rPr>
        <w:t>Panfile p. Rumunii</w:t>
      </w:r>
      <w:r w:rsidRPr="00CF5CB9">
        <w:rPr>
          <w:rFonts w:asciiTheme="minorHAnsi" w:hAnsiTheme="minorHAnsi"/>
          <w:lang w:val="pl-PL"/>
        </w:rPr>
        <w:t xml:space="preserve">, nr 13902/11, decyzja z 20 marca 2012 r.; </w:t>
      </w:r>
      <w:proofErr w:type="spellStart"/>
      <w:r w:rsidRPr="00CF5CB9">
        <w:rPr>
          <w:rFonts w:asciiTheme="minorHAnsi" w:hAnsiTheme="minorHAnsi"/>
          <w:i/>
          <w:lang w:val="pl-PL"/>
        </w:rPr>
        <w:t>Valkov</w:t>
      </w:r>
      <w:proofErr w:type="spellEnd"/>
      <w:r w:rsidRPr="00CF5CB9">
        <w:rPr>
          <w:rFonts w:asciiTheme="minorHAnsi" w:hAnsiTheme="minorHAnsi"/>
          <w:i/>
          <w:lang w:val="pl-PL"/>
        </w:rPr>
        <w:t xml:space="preserve"> i Inni p. Bułgarii</w:t>
      </w:r>
      <w:r w:rsidRPr="00CF5CB9">
        <w:rPr>
          <w:rFonts w:asciiTheme="minorHAnsi" w:hAnsiTheme="minorHAnsi"/>
          <w:lang w:val="pl-PL"/>
        </w:rPr>
        <w:t>, nr 2033/04, wyrok z 25 października 2011 r.</w:t>
      </w:r>
    </w:p>
  </w:footnote>
  <w:footnote w:id="14">
    <w:p w:rsidR="00335B71" w:rsidRPr="00CF5CB9" w:rsidRDefault="00335B71" w:rsidP="00D0275F">
      <w:pPr>
        <w:pStyle w:val="Tekstprzypisudolnego"/>
        <w:spacing w:after="60"/>
        <w:jc w:val="both"/>
        <w:rPr>
          <w:lang w:val="pl-PL"/>
        </w:rPr>
      </w:pPr>
      <w:r w:rsidRPr="00CF5CB9">
        <w:rPr>
          <w:rStyle w:val="Odwoanieprzypisudolnego"/>
        </w:rPr>
        <w:footnoteRef/>
      </w:r>
      <w:r w:rsidRPr="00CF5CB9">
        <w:rPr>
          <w:lang w:val="pl-PL"/>
        </w:rPr>
        <w:t xml:space="preserve"> </w:t>
      </w:r>
      <w:proofErr w:type="spellStart"/>
      <w:r w:rsidRPr="00CF5CB9">
        <w:rPr>
          <w:i/>
          <w:lang w:val="pl-PL"/>
        </w:rPr>
        <w:t>Vinter</w:t>
      </w:r>
      <w:proofErr w:type="spellEnd"/>
      <w:r w:rsidRPr="00CF5CB9">
        <w:rPr>
          <w:i/>
          <w:lang w:val="pl-PL"/>
        </w:rPr>
        <w:t xml:space="preserve"> i Inni p. Zjednoczonemu Królestwu</w:t>
      </w:r>
      <w:r w:rsidRPr="00CF5CB9">
        <w:rPr>
          <w:lang w:val="pl-PL"/>
        </w:rPr>
        <w:t>, skargi nr 66069/09, 130/10 i 3896/10, wyrok Wielkiej Izby z 9 lipca 2013 r., tłumaczenie na język polski:</w:t>
      </w:r>
    </w:p>
    <w:p w:rsidR="00335B71" w:rsidRPr="00CF5CB9" w:rsidRDefault="00335B71" w:rsidP="00D0275F">
      <w:pPr>
        <w:pStyle w:val="Tekstprzypisudolnego"/>
        <w:spacing w:after="60"/>
        <w:jc w:val="both"/>
        <w:rPr>
          <w:lang w:val="pl-PL"/>
        </w:rPr>
      </w:pPr>
      <w:hyperlink r:id="rId11" w:history="1">
        <w:r w:rsidRPr="00CF5CB9">
          <w:rPr>
            <w:rStyle w:val="Hipercze"/>
            <w:u w:val="none"/>
            <w:lang w:val="pl-PL"/>
          </w:rPr>
          <w:t>https://bip.ms.gov.pl/pl/prawa-czlowieka/europejski-trybunal-praw-czlowieka/orzecznictwo-europejskiego-trybunalu-praw-czlowieka/download,616,0.html</w:t>
        </w:r>
      </w:hyperlink>
      <w:r>
        <w:rPr>
          <w:lang w:val="pl-PL"/>
        </w:rPr>
        <w:t xml:space="preserve"> </w:t>
      </w:r>
    </w:p>
  </w:footnote>
  <w:footnote w:id="15">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Wydany jako Zarządzenie Służby Więziennej nr 4700</w:t>
      </w:r>
    </w:p>
  </w:footnote>
  <w:footnote w:id="16">
    <w:p w:rsidR="00335B71" w:rsidRPr="00CF5CB9" w:rsidRDefault="00335B71" w:rsidP="00D0275F">
      <w:pPr>
        <w:pStyle w:val="Tekstprzypisudolnego"/>
        <w:spacing w:after="60"/>
        <w:jc w:val="both"/>
        <w:rPr>
          <w:rFonts w:asciiTheme="minorHAnsi" w:hAnsiTheme="minorHAnsi"/>
        </w:rPr>
      </w:pPr>
      <w:r w:rsidRPr="00CF5CB9">
        <w:rPr>
          <w:rStyle w:val="Odwoanieprzypisudolnego"/>
          <w:rFonts w:asciiTheme="minorHAnsi" w:hAnsiTheme="minorHAnsi"/>
        </w:rPr>
        <w:footnoteRef/>
      </w:r>
      <w:r w:rsidRPr="00CF5CB9">
        <w:rPr>
          <w:rFonts w:asciiTheme="minorHAnsi" w:hAnsiTheme="minorHAnsi"/>
        </w:rPr>
        <w:t xml:space="preserve"> </w:t>
      </w:r>
      <w:r w:rsidRPr="006374F9">
        <w:rPr>
          <w:rFonts w:asciiTheme="minorHAnsi" w:hAnsiTheme="minorHAnsi"/>
          <w:i/>
        </w:rPr>
        <w:t xml:space="preserve">R v. Newell; R v. </w:t>
      </w:r>
      <w:proofErr w:type="spellStart"/>
      <w:r w:rsidRPr="006374F9">
        <w:rPr>
          <w:rFonts w:asciiTheme="minorHAnsi" w:hAnsiTheme="minorHAnsi"/>
          <w:i/>
        </w:rPr>
        <w:t>McLoughlin</w:t>
      </w:r>
      <w:proofErr w:type="spellEnd"/>
      <w:r w:rsidRPr="00CF5CB9">
        <w:rPr>
          <w:rFonts w:asciiTheme="minorHAnsi" w:hAnsiTheme="minorHAnsi"/>
        </w:rPr>
        <w:t xml:space="preserve"> [2014] EWCA </w:t>
      </w:r>
      <w:proofErr w:type="spellStart"/>
      <w:r w:rsidRPr="00CF5CB9">
        <w:rPr>
          <w:rFonts w:asciiTheme="minorHAnsi" w:hAnsiTheme="minorHAnsi"/>
        </w:rPr>
        <w:t>Crim</w:t>
      </w:r>
      <w:proofErr w:type="spellEnd"/>
      <w:r w:rsidRPr="00CF5CB9">
        <w:rPr>
          <w:rFonts w:asciiTheme="minorHAnsi" w:hAnsiTheme="minorHAnsi"/>
        </w:rPr>
        <w:t xml:space="preserve"> 188</w:t>
      </w:r>
    </w:p>
  </w:footnote>
  <w:footnote w:id="17">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Ponieważ oświadczenia stron były ograniczone do kwestii, czy w świetle orzeczenia w sprawie </w:t>
      </w:r>
      <w:proofErr w:type="spellStart"/>
      <w:r w:rsidRPr="00CF5CB9">
        <w:rPr>
          <w:rFonts w:asciiTheme="minorHAnsi" w:hAnsiTheme="minorHAnsi"/>
          <w:i/>
          <w:lang w:val="pl-PL"/>
        </w:rPr>
        <w:t>McLoughlin</w:t>
      </w:r>
      <w:proofErr w:type="spellEnd"/>
      <w:r w:rsidRPr="00CF5CB9">
        <w:rPr>
          <w:rFonts w:asciiTheme="minorHAnsi" w:hAnsiTheme="minorHAnsi"/>
          <w:lang w:val="pl-PL"/>
        </w:rPr>
        <w:t>, sytuacja skarżącego w odniesieniu do jego kary dożywotniego pozbawienia wolności pozostaje w zgodzie z</w:t>
      </w:r>
      <w:r w:rsidR="002A164D">
        <w:rPr>
          <w:rFonts w:asciiTheme="minorHAnsi" w:hAnsiTheme="minorHAnsi"/>
          <w:lang w:val="pl-PL"/>
        </w:rPr>
        <w:t> </w:t>
      </w:r>
      <w:r w:rsidRPr="00CF5CB9">
        <w:rPr>
          <w:rFonts w:asciiTheme="minorHAnsi" w:hAnsiTheme="minorHAnsi"/>
          <w:lang w:val="pl-PL"/>
        </w:rPr>
        <w:t xml:space="preserve">wymogami art. 3 określonymi w sprawie </w:t>
      </w:r>
      <w:proofErr w:type="spellStart"/>
      <w:r w:rsidRPr="00CF5CB9">
        <w:rPr>
          <w:rFonts w:asciiTheme="minorHAnsi" w:hAnsiTheme="minorHAnsi"/>
          <w:i/>
          <w:lang w:val="pl-PL"/>
        </w:rPr>
        <w:t>Vinter</w:t>
      </w:r>
      <w:proofErr w:type="spellEnd"/>
      <w:r w:rsidRPr="00CF5CB9">
        <w:rPr>
          <w:rFonts w:asciiTheme="minorHAnsi" w:hAnsiTheme="minorHAnsi"/>
          <w:lang w:val="pl-PL"/>
        </w:rPr>
        <w:t>, Trybunał nie badał, czy miało miejsce naruszenie art. 3 w</w:t>
      </w:r>
      <w:r w:rsidR="002A164D">
        <w:rPr>
          <w:rFonts w:asciiTheme="minorHAnsi" w:hAnsiTheme="minorHAnsi"/>
          <w:lang w:val="pl-PL"/>
        </w:rPr>
        <w:t> </w:t>
      </w:r>
      <w:r w:rsidRPr="00CF5CB9">
        <w:rPr>
          <w:rFonts w:asciiTheme="minorHAnsi" w:hAnsiTheme="minorHAnsi"/>
          <w:lang w:val="pl-PL"/>
        </w:rPr>
        <w:t xml:space="preserve">okresie pozbawienia wolności skarżącego przed orzeczeniem w sprawie </w:t>
      </w:r>
      <w:proofErr w:type="spellStart"/>
      <w:r w:rsidRPr="00CF5CB9">
        <w:rPr>
          <w:rFonts w:asciiTheme="minorHAnsi" w:hAnsiTheme="minorHAnsi"/>
          <w:i/>
          <w:lang w:val="pl-PL"/>
        </w:rPr>
        <w:t>McLoughlin</w:t>
      </w:r>
      <w:proofErr w:type="spellEnd"/>
      <w:r w:rsidRPr="00CF5CB9">
        <w:rPr>
          <w:rFonts w:asciiTheme="minorHAnsi" w:hAnsiTheme="minorHAnsi"/>
          <w:lang w:val="pl-PL"/>
        </w:rPr>
        <w:t>. Odnotował jednakże, okoliczności że faktyczne obu spraw nie różniły się.</w:t>
      </w:r>
    </w:p>
  </w:footnote>
  <w:footnote w:id="18">
    <w:p w:rsidR="00335B71" w:rsidRPr="00CF5CB9" w:rsidRDefault="00335B71" w:rsidP="00A77E26">
      <w:pPr>
        <w:pStyle w:val="Tekstprzypisudolnego"/>
        <w:spacing w:after="60"/>
        <w:jc w:val="both"/>
        <w:rPr>
          <w:lang w:val="pl-PL"/>
        </w:rPr>
      </w:pPr>
      <w:r>
        <w:rPr>
          <w:rStyle w:val="Odwoanieprzypisudolnego"/>
        </w:rPr>
        <w:footnoteRef/>
      </w:r>
      <w:r w:rsidRPr="00A77E26">
        <w:rPr>
          <w:lang w:val="pl-PL"/>
        </w:rPr>
        <w:t xml:space="preserve"> </w:t>
      </w:r>
      <w:proofErr w:type="spellStart"/>
      <w:r w:rsidRPr="00CF5CB9">
        <w:rPr>
          <w:i/>
          <w:lang w:val="pl-PL"/>
        </w:rPr>
        <w:t>Vinter</w:t>
      </w:r>
      <w:proofErr w:type="spellEnd"/>
      <w:r w:rsidRPr="00CF5CB9">
        <w:rPr>
          <w:i/>
          <w:lang w:val="pl-PL"/>
        </w:rPr>
        <w:t xml:space="preserve"> i Inni p. Zjednoczonemu Królestwu</w:t>
      </w:r>
      <w:r w:rsidRPr="00CF5CB9">
        <w:rPr>
          <w:lang w:val="pl-PL"/>
        </w:rPr>
        <w:t>, skargi nr 66069/09, 130/10 i 3896/10, wyrok Wielkiej Izby z 9 lipca 2013 r., tłumaczenie na język polski:</w:t>
      </w:r>
    </w:p>
    <w:p w:rsidR="00335B71" w:rsidRPr="00CF5CB9" w:rsidRDefault="00335B71" w:rsidP="00A77E26">
      <w:pPr>
        <w:pStyle w:val="Tekstprzypisudolnego"/>
        <w:spacing w:after="60"/>
        <w:jc w:val="both"/>
        <w:rPr>
          <w:lang w:val="pl-PL"/>
        </w:rPr>
      </w:pPr>
      <w:r w:rsidRPr="00CF5CB9">
        <w:rPr>
          <w:lang w:val="pl-PL"/>
        </w:rPr>
        <w:t xml:space="preserve"> </w:t>
      </w:r>
      <w:hyperlink r:id="rId12" w:history="1">
        <w:r w:rsidRPr="00CF5CB9">
          <w:rPr>
            <w:rStyle w:val="Hipercze"/>
            <w:u w:val="none"/>
            <w:lang w:val="pl-PL"/>
          </w:rPr>
          <w:t>https://bip.ms.gov.pl/pl/prawa-czlowieka/europejski-trybunal-praw-czlowieka/orzecznictwo-europejskiego-trybunalu-praw-czlowieka/download,616,0.html</w:t>
        </w:r>
      </w:hyperlink>
      <w:r w:rsidRPr="00CF5CB9">
        <w:rPr>
          <w:lang w:val="pl-PL"/>
        </w:rPr>
        <w:t xml:space="preserve"> </w:t>
      </w:r>
    </w:p>
    <w:p w:rsidR="00335B71" w:rsidRPr="00CF5CB9" w:rsidRDefault="00335B71" w:rsidP="00A77E26">
      <w:pPr>
        <w:pStyle w:val="Tekstprzypisudolnego"/>
        <w:spacing w:after="60"/>
        <w:jc w:val="both"/>
        <w:rPr>
          <w:lang w:val="pl-PL"/>
        </w:rPr>
      </w:pPr>
      <w:r w:rsidRPr="00CF5CB9">
        <w:rPr>
          <w:lang w:val="pl-PL"/>
        </w:rPr>
        <w:t xml:space="preserve">Zobacz także </w:t>
      </w:r>
      <w:r w:rsidRPr="00CF5CB9">
        <w:rPr>
          <w:i/>
          <w:lang w:val="pl-PL"/>
        </w:rPr>
        <w:t>Murray p. Holandii</w:t>
      </w:r>
      <w:r w:rsidRPr="00CF5CB9">
        <w:rPr>
          <w:lang w:val="pl-PL"/>
        </w:rPr>
        <w:t xml:space="preserve">, nr 10511/10, wyrok Wielkiej Izby z 25.04.2016 r., opisany w pkt 27 Załącznika D do raportu rocznego </w:t>
      </w:r>
      <w:proofErr w:type="spellStart"/>
      <w:r w:rsidRPr="00CF5CB9">
        <w:rPr>
          <w:lang w:val="pl-PL"/>
        </w:rPr>
        <w:t>ws</w:t>
      </w:r>
      <w:proofErr w:type="spellEnd"/>
      <w:r w:rsidRPr="00CF5CB9">
        <w:rPr>
          <w:lang w:val="pl-PL"/>
        </w:rPr>
        <w:t>. wykonywania wyroków ETPCz za 2016 r.</w:t>
      </w:r>
    </w:p>
    <w:p w:rsidR="00335B71" w:rsidRPr="00CF5CB9" w:rsidRDefault="00335B71" w:rsidP="00A77E26">
      <w:pPr>
        <w:pStyle w:val="Tekstprzypisudolnego"/>
        <w:spacing w:after="60"/>
        <w:jc w:val="both"/>
        <w:rPr>
          <w:lang w:val="pl-PL"/>
        </w:rPr>
      </w:pPr>
      <w:r w:rsidRPr="00CF5CB9">
        <w:rPr>
          <w:lang w:val="pl-PL"/>
        </w:rPr>
        <w:t xml:space="preserve">Zobacz także </w:t>
      </w:r>
      <w:proofErr w:type="spellStart"/>
      <w:r w:rsidRPr="00CF5CB9">
        <w:rPr>
          <w:i/>
          <w:lang w:val="pl-PL"/>
        </w:rPr>
        <w:t>Trabelsi</w:t>
      </w:r>
      <w:proofErr w:type="spellEnd"/>
      <w:r w:rsidRPr="00CF5CB9">
        <w:rPr>
          <w:i/>
          <w:lang w:val="pl-PL"/>
        </w:rPr>
        <w:t xml:space="preserve"> p. Belgii</w:t>
      </w:r>
      <w:r w:rsidRPr="00CF5CB9">
        <w:rPr>
          <w:lang w:val="pl-PL"/>
        </w:rPr>
        <w:t xml:space="preserve">, skarga nr 140/10, wyrok z 4 września 2014 r., tłumaczenie na język polski: </w:t>
      </w:r>
    </w:p>
    <w:p w:rsidR="00335B71" w:rsidRPr="00A77E26" w:rsidRDefault="00335B71" w:rsidP="00A77E26">
      <w:pPr>
        <w:pStyle w:val="Tekstprzypisudolnego"/>
        <w:rPr>
          <w:lang w:val="pl-PL"/>
        </w:rPr>
      </w:pPr>
      <w:hyperlink r:id="rId13" w:history="1">
        <w:r w:rsidRPr="00CF5CB9">
          <w:rPr>
            <w:rStyle w:val="Hipercze"/>
            <w:u w:val="none"/>
            <w:lang w:val="pl-PL"/>
          </w:rPr>
          <w:t>https://bip.ms.gov.pl/pl/prawa-czlowieka/europejski-trybunal-praw-czlowieka/orzecznictwo-europejskiego-trybunalu-praw-czlowieka/download,752,0.html</w:t>
        </w:r>
      </w:hyperlink>
    </w:p>
  </w:footnote>
  <w:footnote w:id="19">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w:t>
      </w:r>
      <w:hyperlink r:id="rId14" w:history="1">
        <w:r w:rsidRPr="00CF5CB9">
          <w:rPr>
            <w:rStyle w:val="Hipercze"/>
            <w:rFonts w:asciiTheme="minorHAnsi" w:hAnsiTheme="minorHAnsi"/>
            <w:u w:val="none"/>
            <w:lang w:val="pl-PL"/>
          </w:rPr>
          <w:t>http://isap.sejm.gov.pl/isap.nsf/DocDetails.xsp?id=WDU20050180160</w:t>
        </w:r>
      </w:hyperlink>
      <w:r w:rsidRPr="00CF5CB9">
        <w:rPr>
          <w:rFonts w:asciiTheme="minorHAnsi" w:hAnsiTheme="minorHAnsi"/>
          <w:lang w:val="pl-PL"/>
        </w:rPr>
        <w:t xml:space="preserve"> </w:t>
      </w:r>
    </w:p>
  </w:footnote>
  <w:footnote w:id="20">
    <w:p w:rsidR="00335B71" w:rsidRPr="000E5818"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0E5818">
        <w:rPr>
          <w:rFonts w:asciiTheme="minorHAnsi" w:hAnsiTheme="minorHAnsi"/>
          <w:lang w:val="pl-PL"/>
        </w:rPr>
        <w:t xml:space="preserve"> </w:t>
      </w:r>
      <w:hyperlink r:id="rId15" w:history="1">
        <w:r w:rsidRPr="000E5818">
          <w:rPr>
            <w:rStyle w:val="Hipercze"/>
            <w:rFonts w:asciiTheme="minorHAnsi" w:hAnsiTheme="minorHAnsi"/>
            <w:u w:val="none"/>
            <w:lang w:val="pl-PL"/>
          </w:rPr>
          <w:t>http://isap.sejm.gov.pl/isap.nsf/DocDetails.xsp?id=WDU20090200107</w:t>
        </w:r>
      </w:hyperlink>
      <w:r w:rsidRPr="000E5818">
        <w:rPr>
          <w:rFonts w:asciiTheme="minorHAnsi" w:hAnsiTheme="minorHAnsi"/>
          <w:lang w:val="pl-PL"/>
        </w:rPr>
        <w:t xml:space="preserve"> </w:t>
      </w:r>
    </w:p>
  </w:footnote>
  <w:footnote w:id="21">
    <w:p w:rsidR="00335B71" w:rsidRPr="00CF5CB9" w:rsidRDefault="00335B71" w:rsidP="005F204E">
      <w:pPr>
        <w:pStyle w:val="Tekstprzypisudolnego"/>
        <w:spacing w:after="60"/>
        <w:jc w:val="both"/>
        <w:rPr>
          <w:lang w:val="pl-PL"/>
        </w:rPr>
      </w:pPr>
      <w:r w:rsidRPr="00CF5CB9">
        <w:rPr>
          <w:rStyle w:val="Odwoanieprzypisudolnego"/>
        </w:rPr>
        <w:footnoteRef/>
      </w:r>
      <w:r w:rsidRPr="00CF5CB9">
        <w:rPr>
          <w:lang w:val="pl-PL"/>
        </w:rPr>
        <w:t xml:space="preserve"> Zobacz także </w:t>
      </w:r>
      <w:r w:rsidRPr="00CF5CB9">
        <w:rPr>
          <w:i/>
          <w:lang w:val="pl-PL"/>
        </w:rPr>
        <w:t>L.E. p. Grecji</w:t>
      </w:r>
      <w:r w:rsidRPr="00CF5CB9">
        <w:rPr>
          <w:lang w:val="pl-PL"/>
        </w:rPr>
        <w:t>, skarga nr 71545/12, wyrok z 21 stycznia 2016 r., tłumaczenie na język polski:</w:t>
      </w:r>
    </w:p>
    <w:p w:rsidR="00335B71" w:rsidRPr="00CF5CB9" w:rsidRDefault="00335B71" w:rsidP="005F204E">
      <w:pPr>
        <w:pStyle w:val="Tekstprzypisudolnego"/>
        <w:spacing w:after="60"/>
        <w:jc w:val="both"/>
        <w:rPr>
          <w:lang w:val="pl-PL"/>
        </w:rPr>
      </w:pPr>
      <w:hyperlink r:id="rId16" w:history="1">
        <w:r w:rsidRPr="00CF5CB9">
          <w:rPr>
            <w:rStyle w:val="Hipercze"/>
            <w:u w:val="none"/>
            <w:lang w:val="pl-PL"/>
          </w:rPr>
          <w:t>https://bip.ms.gov.pl/pl/prawa-czlowieka/europejski-trybunal-praw-czlowieka/orzecznictwo-europejskiego-trybunalu-praw-czlowieka/download,944,1.html</w:t>
        </w:r>
      </w:hyperlink>
    </w:p>
    <w:p w:rsidR="00335B71" w:rsidRPr="00CF5CB9" w:rsidRDefault="00335B71" w:rsidP="005F204E">
      <w:pPr>
        <w:pStyle w:val="Tekstprzypisudolnego"/>
        <w:spacing w:after="60"/>
        <w:jc w:val="both"/>
        <w:rPr>
          <w:lang w:val="pl-PL"/>
        </w:rPr>
      </w:pPr>
      <w:r w:rsidRPr="00CF5CB9">
        <w:rPr>
          <w:lang w:val="pl-PL"/>
        </w:rPr>
        <w:t xml:space="preserve">Zobacz również </w:t>
      </w:r>
      <w:proofErr w:type="spellStart"/>
      <w:r w:rsidRPr="00CF5CB9">
        <w:rPr>
          <w:i/>
          <w:lang w:val="pl-PL"/>
        </w:rPr>
        <w:t>Chowdury</w:t>
      </w:r>
      <w:proofErr w:type="spellEnd"/>
      <w:r w:rsidRPr="00CF5CB9">
        <w:rPr>
          <w:i/>
          <w:lang w:val="pl-PL"/>
        </w:rPr>
        <w:t xml:space="preserve"> i Inni p. Grecji</w:t>
      </w:r>
      <w:r w:rsidRPr="00CF5CB9">
        <w:rPr>
          <w:lang w:val="pl-PL"/>
        </w:rPr>
        <w:t xml:space="preserve">, skarga nr 21884/15, wyrok z 30.03.2017 r., opisany w pkt </w:t>
      </w:r>
      <w:r w:rsidRPr="00CF5CB9">
        <w:rPr>
          <w:lang w:val="pl-PL"/>
        </w:rPr>
        <w:fldChar w:fldCharType="begin"/>
      </w:r>
      <w:r w:rsidRPr="00CF5CB9">
        <w:rPr>
          <w:lang w:val="pl-PL"/>
        </w:rPr>
        <w:instrText xml:space="preserve"> REF _Ref509691893 \r \h  \* MERGEFORMAT </w:instrText>
      </w:r>
      <w:r w:rsidRPr="00CF5CB9">
        <w:rPr>
          <w:lang w:val="pl-PL"/>
        </w:rPr>
      </w:r>
      <w:r w:rsidRPr="00CF5CB9">
        <w:rPr>
          <w:lang w:val="pl-PL"/>
        </w:rPr>
        <w:fldChar w:fldCharType="separate"/>
      </w:r>
      <w:r w:rsidRPr="00CF5CB9">
        <w:rPr>
          <w:lang w:val="pl-PL"/>
        </w:rPr>
        <w:t>6</w:t>
      </w:r>
      <w:r w:rsidRPr="00CF5CB9">
        <w:rPr>
          <w:lang w:val="pl-PL"/>
        </w:rPr>
        <w:fldChar w:fldCharType="end"/>
      </w:r>
      <w:r w:rsidRPr="00CF5CB9">
        <w:rPr>
          <w:lang w:val="pl-PL"/>
        </w:rPr>
        <w:t xml:space="preserve"> niniejszego przeglądu.</w:t>
      </w:r>
    </w:p>
  </w:footnote>
  <w:footnote w:id="22">
    <w:p w:rsidR="00335B71" w:rsidRPr="00DA26A7" w:rsidRDefault="00335B71">
      <w:pPr>
        <w:pStyle w:val="Tekstprzypisudolnego"/>
        <w:rPr>
          <w:lang w:val="pl-PL"/>
        </w:rPr>
      </w:pPr>
      <w:r>
        <w:rPr>
          <w:rStyle w:val="Odwoanieprzypisudolnego"/>
        </w:rPr>
        <w:footnoteRef/>
      </w:r>
      <w:r w:rsidRPr="00DA26A7">
        <w:rPr>
          <w:lang w:val="pl-PL"/>
        </w:rPr>
        <w:t xml:space="preserve"> </w:t>
      </w:r>
      <w:proofErr w:type="spellStart"/>
      <w:r w:rsidRPr="00DA26A7">
        <w:rPr>
          <w:i/>
          <w:lang w:val="pl-PL"/>
        </w:rPr>
        <w:t>Sindicatul</w:t>
      </w:r>
      <w:proofErr w:type="spellEnd"/>
      <w:r w:rsidRPr="00DA26A7">
        <w:rPr>
          <w:i/>
          <w:lang w:val="pl-PL"/>
        </w:rPr>
        <w:t xml:space="preserve"> “</w:t>
      </w:r>
      <w:proofErr w:type="spellStart"/>
      <w:r w:rsidRPr="00DA26A7">
        <w:rPr>
          <w:i/>
          <w:lang w:val="pl-PL"/>
        </w:rPr>
        <w:t>Păstorul</w:t>
      </w:r>
      <w:proofErr w:type="spellEnd"/>
      <w:r w:rsidRPr="00DA26A7">
        <w:rPr>
          <w:i/>
          <w:lang w:val="pl-PL"/>
        </w:rPr>
        <w:t xml:space="preserve"> cel Bun” p. Rumunii</w:t>
      </w:r>
      <w:r w:rsidRPr="00DA26A7">
        <w:rPr>
          <w:lang w:val="pl-PL"/>
        </w:rPr>
        <w:t>, skarga nr  2330/09, wyrok Wielkiej Izby z 9 lipca 2013 r.</w:t>
      </w:r>
    </w:p>
  </w:footnote>
  <w:footnote w:id="23">
    <w:p w:rsidR="00335B71" w:rsidRPr="00CF5CB9" w:rsidRDefault="00335B71" w:rsidP="00D0275F">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w:t>
      </w:r>
      <w:proofErr w:type="spellStart"/>
      <w:r w:rsidRPr="006374F9">
        <w:rPr>
          <w:rFonts w:asciiTheme="minorHAnsi" w:hAnsiTheme="minorHAnsi"/>
          <w:i/>
          <w:lang w:val="pl-PL"/>
        </w:rPr>
        <w:t>Vinter</w:t>
      </w:r>
      <w:proofErr w:type="spellEnd"/>
      <w:r w:rsidRPr="006374F9">
        <w:rPr>
          <w:rFonts w:asciiTheme="minorHAnsi" w:hAnsiTheme="minorHAnsi"/>
          <w:i/>
          <w:lang w:val="pl-PL"/>
        </w:rPr>
        <w:t xml:space="preserve"> i Inni p. Zjednoczonemu Królestwu</w:t>
      </w:r>
      <w:r w:rsidRPr="00CF5CB9">
        <w:rPr>
          <w:rFonts w:asciiTheme="minorHAnsi" w:hAnsiTheme="minorHAnsi"/>
          <w:lang w:val="pl-PL"/>
        </w:rPr>
        <w:t xml:space="preserve">, skargi nr 66069/09, 130/10 i 3896/10, wyrok Wielkiej Izby z 9 lipca 2013 r., tłumaczenie na język polski: </w:t>
      </w:r>
    </w:p>
    <w:p w:rsidR="00335B71" w:rsidRPr="00CF5CB9" w:rsidRDefault="00335B71" w:rsidP="00D0275F">
      <w:pPr>
        <w:pStyle w:val="Tekstprzypisudolnego"/>
        <w:spacing w:after="60"/>
        <w:jc w:val="both"/>
        <w:rPr>
          <w:rFonts w:asciiTheme="minorHAnsi" w:hAnsiTheme="minorHAnsi"/>
          <w:lang w:val="pl-PL"/>
        </w:rPr>
      </w:pPr>
      <w:r w:rsidRPr="00CF5CB9">
        <w:rPr>
          <w:rFonts w:asciiTheme="minorHAnsi" w:hAnsiTheme="minorHAnsi"/>
          <w:lang w:val="pl-PL"/>
        </w:rPr>
        <w:t xml:space="preserve"> </w:t>
      </w:r>
      <w:hyperlink r:id="rId17" w:history="1">
        <w:r w:rsidRPr="00CF5CB9">
          <w:rPr>
            <w:rStyle w:val="Hipercze"/>
            <w:rFonts w:asciiTheme="minorHAnsi" w:hAnsiTheme="minorHAnsi"/>
            <w:u w:val="none"/>
            <w:lang w:val="pl-PL"/>
          </w:rPr>
          <w:t>https://bip.ms.gov.pl/pl/prawa-czlowieka/europejski-trybunal-praw-czlowieka/orzecznictwo-europejskiego-trybunalu-praw-czlowieka/download,616,0.html</w:t>
        </w:r>
      </w:hyperlink>
      <w:r w:rsidRPr="00CF5CB9">
        <w:rPr>
          <w:rFonts w:asciiTheme="minorHAnsi" w:hAnsiTheme="minorHAnsi"/>
          <w:lang w:val="pl-PL"/>
        </w:rPr>
        <w:t xml:space="preserve"> </w:t>
      </w:r>
    </w:p>
  </w:footnote>
  <w:footnote w:id="24">
    <w:p w:rsidR="00335B71" w:rsidRPr="00CF5CB9" w:rsidRDefault="00335B71" w:rsidP="00D0275F">
      <w:pPr>
        <w:pStyle w:val="Tekstprzypisudolnego"/>
        <w:spacing w:after="60"/>
        <w:jc w:val="both"/>
        <w:rPr>
          <w:lang w:val="pl-PL"/>
        </w:rPr>
      </w:pPr>
      <w:r w:rsidRPr="00CF5CB9">
        <w:rPr>
          <w:rStyle w:val="Odwoanieprzypisudolnego"/>
        </w:rPr>
        <w:footnoteRef/>
      </w:r>
      <w:r w:rsidRPr="00CF5CB9">
        <w:rPr>
          <w:lang w:val="pl-PL"/>
        </w:rPr>
        <w:t xml:space="preserve"> </w:t>
      </w:r>
      <w:r w:rsidRPr="006374F9">
        <w:rPr>
          <w:i/>
          <w:lang w:val="pl-PL"/>
        </w:rPr>
        <w:t>Murray p. Holandii</w:t>
      </w:r>
      <w:r w:rsidRPr="00CF5CB9">
        <w:rPr>
          <w:lang w:val="pl-PL"/>
        </w:rPr>
        <w:t>, nr 10511/10, wyrok Wielkiej Izby z 25 kwietnia 2016 r., opisany w pkt 27 Załącznika D do</w:t>
      </w:r>
      <w:r>
        <w:rPr>
          <w:lang w:val="pl-PL"/>
        </w:rPr>
        <w:t> </w:t>
      </w:r>
      <w:r w:rsidRPr="00CF5CB9">
        <w:rPr>
          <w:lang w:val="pl-PL"/>
        </w:rPr>
        <w:t xml:space="preserve">raportu rocznego </w:t>
      </w:r>
      <w:proofErr w:type="spellStart"/>
      <w:r w:rsidRPr="00CF5CB9">
        <w:rPr>
          <w:lang w:val="pl-PL"/>
        </w:rPr>
        <w:t>ws</w:t>
      </w:r>
      <w:proofErr w:type="spellEnd"/>
      <w:r w:rsidRPr="00CF5CB9">
        <w:rPr>
          <w:lang w:val="pl-PL"/>
        </w:rPr>
        <w:t>. wykonywania wyroków ETPCz za 2016 r.</w:t>
      </w:r>
    </w:p>
  </w:footnote>
  <w:footnote w:id="25">
    <w:p w:rsidR="00335B71" w:rsidRPr="00CF5CB9" w:rsidRDefault="00335B71" w:rsidP="00D0275F">
      <w:pPr>
        <w:pStyle w:val="ClinContent"/>
        <w:spacing w:before="0" w:after="60"/>
        <w:rPr>
          <w:rFonts w:asciiTheme="minorHAnsi" w:hAnsiTheme="minorHAnsi"/>
          <w:szCs w:val="20"/>
          <w:lang w:val="pl-PL"/>
        </w:rPr>
      </w:pPr>
      <w:r w:rsidRPr="00CF5CB9">
        <w:rPr>
          <w:rStyle w:val="Odwoanieprzypisudolnego"/>
          <w:rFonts w:asciiTheme="minorHAnsi" w:hAnsiTheme="minorHAnsi"/>
          <w:szCs w:val="20"/>
        </w:rPr>
        <w:footnoteRef/>
      </w:r>
      <w:r w:rsidRPr="00CF5CB9">
        <w:rPr>
          <w:rFonts w:asciiTheme="minorHAnsi" w:hAnsiTheme="minorHAnsi"/>
          <w:szCs w:val="20"/>
          <w:lang w:val="pl-PL"/>
        </w:rPr>
        <w:t xml:space="preserve"> Zalecenie Komitetu Praw Dziecka (Komentarz ogólny nr 10 (2007)) w sprawie zniesienia wszystkich form dożywotniego pozbawienia wolności za przestępstwa popełnione przez osoby w wieku poniżej 18 lat </w:t>
      </w:r>
    </w:p>
    <w:p w:rsidR="00335B71" w:rsidRPr="00CF5CB9" w:rsidRDefault="00335B71" w:rsidP="00D0275F">
      <w:pPr>
        <w:pStyle w:val="ClinContent"/>
        <w:spacing w:before="0" w:after="60"/>
        <w:rPr>
          <w:rFonts w:asciiTheme="minorHAnsi" w:hAnsiTheme="minorHAnsi"/>
          <w:szCs w:val="20"/>
          <w:lang w:val="pl-PL"/>
        </w:rPr>
      </w:pPr>
      <w:hyperlink r:id="rId18" w:history="1">
        <w:r w:rsidRPr="00CF5CB9">
          <w:rPr>
            <w:rStyle w:val="Hipercze"/>
            <w:rFonts w:asciiTheme="minorHAnsi" w:hAnsiTheme="minorHAnsi"/>
            <w:szCs w:val="20"/>
            <w:u w:val="none"/>
            <w:lang w:val="pl-PL"/>
          </w:rPr>
          <w:t>http://www2.ohchr.org/english/bodies/crc/docs/AdvanceVersions/GeneralComment10-02feb07.pdf</w:t>
        </w:r>
      </w:hyperlink>
      <w:r w:rsidRPr="00CF5CB9">
        <w:rPr>
          <w:rFonts w:asciiTheme="minorHAnsi" w:hAnsiTheme="minorHAnsi"/>
          <w:szCs w:val="20"/>
          <w:lang w:val="pl-PL"/>
        </w:rPr>
        <w:t xml:space="preserve"> </w:t>
      </w:r>
    </w:p>
    <w:p w:rsidR="00335B71" w:rsidRPr="00CF5CB9" w:rsidRDefault="00335B71" w:rsidP="00D0275F">
      <w:pPr>
        <w:pStyle w:val="ClinContent"/>
        <w:spacing w:before="0" w:after="60"/>
        <w:rPr>
          <w:rFonts w:asciiTheme="minorHAnsi" w:hAnsiTheme="minorHAnsi"/>
          <w:szCs w:val="20"/>
        </w:rPr>
      </w:pPr>
      <w:r w:rsidRPr="00CF5CB9">
        <w:rPr>
          <w:rFonts w:asciiTheme="minorHAnsi" w:hAnsiTheme="minorHAnsi"/>
          <w:szCs w:val="20"/>
          <w:lang w:val="pl-PL"/>
        </w:rPr>
        <w:t xml:space="preserve">oraz Rezolucja A/RES/67/166 Zgromadzenia Ogólnego NZ w sprawie praw człowieka w wymiarze sprawiedliwości, wzywająca państwa do rozważenia zniesienia wszystkich form dożywotniego pozbawienia wolności wobec takich osób. </w:t>
      </w:r>
      <w:hyperlink r:id="rId19" w:history="1">
        <w:r w:rsidRPr="00CF5CB9">
          <w:rPr>
            <w:rStyle w:val="Hipercze"/>
            <w:rFonts w:asciiTheme="minorHAnsi" w:hAnsiTheme="minorHAnsi"/>
            <w:szCs w:val="20"/>
            <w:u w:val="none"/>
          </w:rPr>
          <w:t>http://www.un.org/en/ga/search/view_doc.asp?symbol=A/RES/67/166</w:t>
        </w:r>
      </w:hyperlink>
      <w:r w:rsidRPr="00CF5CB9">
        <w:rPr>
          <w:rFonts w:asciiTheme="minorHAnsi" w:hAnsiTheme="minorHAnsi"/>
          <w:szCs w:val="20"/>
        </w:rPr>
        <w:t xml:space="preserve"> </w:t>
      </w:r>
    </w:p>
    <w:p w:rsidR="00335B71" w:rsidRPr="00CF5CB9" w:rsidRDefault="00335B71" w:rsidP="00D0275F">
      <w:pPr>
        <w:pStyle w:val="Tekstprzypisudolnego"/>
        <w:spacing w:after="60"/>
        <w:jc w:val="both"/>
        <w:rPr>
          <w:rFonts w:asciiTheme="minorHAnsi" w:hAnsiTheme="minorHAnsi"/>
          <w:lang w:val="en-GB"/>
        </w:rPr>
      </w:pPr>
    </w:p>
  </w:footnote>
  <w:footnote w:id="26">
    <w:p w:rsidR="00335B71" w:rsidRPr="00CF5CB9" w:rsidRDefault="00335B71" w:rsidP="00D0275F">
      <w:pPr>
        <w:pStyle w:val="Tekstprzypisudolnego"/>
        <w:spacing w:after="60"/>
        <w:jc w:val="both"/>
        <w:rPr>
          <w:lang w:val="en-GB"/>
        </w:rPr>
      </w:pPr>
      <w:r w:rsidRPr="00CF5CB9">
        <w:rPr>
          <w:rStyle w:val="Odwoanieprzypisudolnego"/>
        </w:rPr>
        <w:footnoteRef/>
      </w:r>
      <w:r w:rsidRPr="00CF5CB9">
        <w:rPr>
          <w:lang w:val="en-GB"/>
        </w:rPr>
        <w:t xml:space="preserve"> </w:t>
      </w:r>
      <w:hyperlink r:id="rId20" w:history="1">
        <w:r w:rsidRPr="00CF5CB9">
          <w:rPr>
            <w:rStyle w:val="Hipercze"/>
            <w:u w:val="none"/>
            <w:lang w:val="en-GB"/>
          </w:rPr>
          <w:t>http://www.wango.org/codeofethics/ComplianceManual.pdf</w:t>
        </w:r>
      </w:hyperlink>
      <w:r w:rsidRPr="00CF5CB9">
        <w:rPr>
          <w:lang w:val="en-GB"/>
        </w:rPr>
        <w:t xml:space="preserve"> </w:t>
      </w:r>
    </w:p>
  </w:footnote>
  <w:footnote w:id="27">
    <w:p w:rsidR="00335B71" w:rsidRPr="00CF5CB9" w:rsidRDefault="00335B71" w:rsidP="000E5818">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Zobacz także </w:t>
      </w:r>
      <w:proofErr w:type="spellStart"/>
      <w:r w:rsidRPr="00CF5CB9">
        <w:rPr>
          <w:rFonts w:asciiTheme="minorHAnsi" w:hAnsiTheme="minorHAnsi"/>
          <w:i/>
          <w:lang w:val="pl-PL"/>
        </w:rPr>
        <w:t>Bochan</w:t>
      </w:r>
      <w:proofErr w:type="spellEnd"/>
      <w:r w:rsidRPr="00CF5CB9">
        <w:rPr>
          <w:rFonts w:asciiTheme="minorHAnsi" w:hAnsiTheme="minorHAnsi"/>
          <w:i/>
          <w:lang w:val="pl-PL"/>
        </w:rPr>
        <w:t xml:space="preserve"> p. Ukrainie (nr 2</w:t>
      </w:r>
      <w:r w:rsidRPr="00CF5CB9">
        <w:rPr>
          <w:rFonts w:asciiTheme="minorHAnsi" w:hAnsiTheme="minorHAnsi"/>
          <w:lang w:val="pl-PL"/>
        </w:rPr>
        <w:t xml:space="preserve">) [Wielka Izba],  nr 22251/08, wyrok Wielkiej Izby z 5 lutego 2015 r., tłumaczenie na język polski: </w:t>
      </w:r>
    </w:p>
    <w:p w:rsidR="00335B71" w:rsidRPr="00CF5CB9" w:rsidRDefault="00335B71" w:rsidP="000E5818">
      <w:pPr>
        <w:pStyle w:val="Tekstprzypisudolnego"/>
        <w:spacing w:after="60"/>
        <w:jc w:val="both"/>
        <w:rPr>
          <w:rStyle w:val="ClinHeadNote"/>
          <w:lang w:val="pl-PL"/>
        </w:rPr>
      </w:pPr>
      <w:hyperlink r:id="rId21" w:history="1">
        <w:r w:rsidRPr="00CF5CB9">
          <w:rPr>
            <w:rStyle w:val="Hipercze"/>
            <w:rFonts w:asciiTheme="minorHAnsi" w:hAnsiTheme="minorHAnsi"/>
            <w:u w:val="none"/>
            <w:lang w:val="pl-PL"/>
          </w:rPr>
          <w:t>https://bip.ms.gov.pl/pl/prawa-czlowieka/europejski-trybunal-praw-czlowieka/orzecznictwo-europejskiego-trybunalu-praw-czlowieka/download,805,0.html</w:t>
        </w:r>
      </w:hyperlink>
      <w:r w:rsidRPr="00CF5CB9">
        <w:rPr>
          <w:rStyle w:val="ClinHeadNote"/>
          <w:lang w:val="pl-PL"/>
        </w:rPr>
        <w:t xml:space="preserve"> </w:t>
      </w:r>
      <w:r>
        <w:rPr>
          <w:rStyle w:val="ClinHeadNote"/>
          <w:lang w:val="pl-PL"/>
        </w:rPr>
        <w:t xml:space="preserve"> Patrz również opis w pkt 1 </w:t>
      </w:r>
      <w:r w:rsidRPr="000D134E">
        <w:rPr>
          <w:rStyle w:val="ClinHeadNote"/>
          <w:lang w:val="pl-PL"/>
        </w:rPr>
        <w:t>załącznika D do raportu w</w:t>
      </w:r>
      <w:r>
        <w:rPr>
          <w:rStyle w:val="ClinHeadNote"/>
          <w:lang w:val="pl-PL"/>
        </w:rPr>
        <w:t> </w:t>
      </w:r>
      <w:r w:rsidRPr="000D134E">
        <w:rPr>
          <w:rStyle w:val="ClinHeadNote"/>
          <w:lang w:val="pl-PL"/>
        </w:rPr>
        <w:t>wykonywania wyroków Europejskiego Trybunału Praw Człowieka przez Polskę za 2015 r.</w:t>
      </w:r>
      <w:r>
        <w:rPr>
          <w:rStyle w:val="ClinHeadNote"/>
          <w:lang w:val="pl-PL"/>
        </w:rPr>
        <w:t xml:space="preserve">  </w:t>
      </w:r>
    </w:p>
    <w:p w:rsidR="00335B71" w:rsidRPr="00CF5CB9" w:rsidRDefault="00335B71" w:rsidP="000E5818">
      <w:pPr>
        <w:pStyle w:val="Tekstprzypisudolnego"/>
        <w:spacing w:after="60"/>
        <w:jc w:val="both"/>
        <w:rPr>
          <w:rStyle w:val="ClinHeadNote"/>
          <w:lang w:val="pl-PL"/>
        </w:rPr>
      </w:pPr>
      <w:r w:rsidRPr="00CF5CB9">
        <w:rPr>
          <w:rStyle w:val="ClinHeadNote"/>
          <w:lang w:val="pl-PL"/>
        </w:rPr>
        <w:t xml:space="preserve">Zobacz również </w:t>
      </w:r>
      <w:proofErr w:type="spellStart"/>
      <w:r w:rsidRPr="00CF5CB9">
        <w:rPr>
          <w:rStyle w:val="ClinHeadNote"/>
          <w:i/>
          <w:lang w:val="pl-PL"/>
        </w:rPr>
        <w:t>Meftah</w:t>
      </w:r>
      <w:proofErr w:type="spellEnd"/>
      <w:r w:rsidRPr="00CF5CB9">
        <w:rPr>
          <w:rStyle w:val="ClinHeadNote"/>
          <w:i/>
          <w:lang w:val="pl-PL"/>
        </w:rPr>
        <w:t xml:space="preserve"> i Inni p. Francji</w:t>
      </w:r>
      <w:r w:rsidRPr="00CF5CB9">
        <w:rPr>
          <w:rStyle w:val="ClinHeadNote"/>
          <w:lang w:val="pl-PL"/>
        </w:rPr>
        <w:t xml:space="preserve">, nr 32911/96 i in., wyrok Wielkiej Izby z 26 lipca  2002 r.; </w:t>
      </w:r>
      <w:proofErr w:type="spellStart"/>
      <w:r w:rsidRPr="00CF5CB9">
        <w:rPr>
          <w:rStyle w:val="ClinHeadNote"/>
          <w:i/>
          <w:lang w:val="pl-PL"/>
        </w:rPr>
        <w:t>Lenskaya</w:t>
      </w:r>
      <w:proofErr w:type="spellEnd"/>
      <w:r w:rsidRPr="00CF5CB9">
        <w:rPr>
          <w:rStyle w:val="ClinHeadNote"/>
          <w:i/>
          <w:lang w:val="pl-PL"/>
        </w:rPr>
        <w:t xml:space="preserve"> p.</w:t>
      </w:r>
      <w:r>
        <w:rPr>
          <w:rStyle w:val="ClinHeadNote"/>
          <w:i/>
          <w:lang w:val="pl-PL"/>
        </w:rPr>
        <w:t> </w:t>
      </w:r>
      <w:r w:rsidRPr="00CF5CB9">
        <w:rPr>
          <w:rStyle w:val="ClinHeadNote"/>
          <w:i/>
          <w:lang w:val="pl-PL"/>
        </w:rPr>
        <w:t>Rosji</w:t>
      </w:r>
      <w:r w:rsidRPr="00CF5CB9">
        <w:rPr>
          <w:rStyle w:val="ClinHeadNote"/>
          <w:lang w:val="pl-PL"/>
        </w:rPr>
        <w:t xml:space="preserve">,  nr 28730/03, wyrok z 29 stycznia 2009 r.; </w:t>
      </w:r>
      <w:proofErr w:type="spellStart"/>
      <w:r w:rsidRPr="00CF5CB9">
        <w:rPr>
          <w:rStyle w:val="ClinHeadNote"/>
          <w:i/>
          <w:lang w:val="pl-PL"/>
        </w:rPr>
        <w:t>Verein</w:t>
      </w:r>
      <w:proofErr w:type="spellEnd"/>
      <w:r w:rsidRPr="00CF5CB9">
        <w:rPr>
          <w:rStyle w:val="ClinHeadNote"/>
          <w:i/>
          <w:lang w:val="pl-PL"/>
        </w:rPr>
        <w:t xml:space="preserve"> </w:t>
      </w:r>
      <w:proofErr w:type="spellStart"/>
      <w:r w:rsidRPr="00CF5CB9">
        <w:rPr>
          <w:rStyle w:val="ClinHeadNote"/>
          <w:i/>
          <w:lang w:val="pl-PL"/>
        </w:rPr>
        <w:t>gegen</w:t>
      </w:r>
      <w:proofErr w:type="spellEnd"/>
      <w:r w:rsidRPr="00CF5CB9">
        <w:rPr>
          <w:rStyle w:val="ClinHeadNote"/>
          <w:i/>
          <w:lang w:val="pl-PL"/>
        </w:rPr>
        <w:t xml:space="preserve"> </w:t>
      </w:r>
      <w:proofErr w:type="spellStart"/>
      <w:r w:rsidRPr="00CF5CB9">
        <w:rPr>
          <w:rStyle w:val="ClinHeadNote"/>
          <w:i/>
          <w:lang w:val="pl-PL"/>
        </w:rPr>
        <w:t>Tierfabriken</w:t>
      </w:r>
      <w:proofErr w:type="spellEnd"/>
      <w:r w:rsidRPr="00CF5CB9">
        <w:rPr>
          <w:rStyle w:val="ClinHeadNote"/>
          <w:i/>
          <w:lang w:val="pl-PL"/>
        </w:rPr>
        <w:t xml:space="preserve"> </w:t>
      </w:r>
      <w:proofErr w:type="spellStart"/>
      <w:r w:rsidRPr="00CF5CB9">
        <w:rPr>
          <w:rStyle w:val="ClinHeadNote"/>
          <w:i/>
          <w:lang w:val="pl-PL"/>
        </w:rPr>
        <w:t>Schweiz</w:t>
      </w:r>
      <w:proofErr w:type="spellEnd"/>
      <w:r w:rsidRPr="00CF5CB9">
        <w:rPr>
          <w:rStyle w:val="ClinHeadNote"/>
          <w:i/>
          <w:lang w:val="pl-PL"/>
        </w:rPr>
        <w:t xml:space="preserve"> (</w:t>
      </w:r>
      <w:proofErr w:type="spellStart"/>
      <w:r w:rsidRPr="00CF5CB9">
        <w:rPr>
          <w:rStyle w:val="ClinHeadNote"/>
          <w:i/>
          <w:lang w:val="pl-PL"/>
        </w:rPr>
        <w:t>VgT</w:t>
      </w:r>
      <w:proofErr w:type="spellEnd"/>
      <w:r w:rsidRPr="00CF5CB9">
        <w:rPr>
          <w:rStyle w:val="ClinHeadNote"/>
          <w:i/>
          <w:lang w:val="pl-PL"/>
        </w:rPr>
        <w:t>) p. Szwajcarii (nr 2)</w:t>
      </w:r>
      <w:r w:rsidRPr="00CF5CB9">
        <w:rPr>
          <w:rStyle w:val="ClinHeadNote"/>
          <w:lang w:val="pl-PL"/>
        </w:rPr>
        <w:t xml:space="preserve">,  nr 32772/02, wyrok Wielkiej Izby z 30 czerwca 2009 r.; </w:t>
      </w:r>
      <w:proofErr w:type="spellStart"/>
      <w:r w:rsidRPr="00CF5CB9">
        <w:rPr>
          <w:rStyle w:val="ClinHeadNote"/>
          <w:i/>
          <w:lang w:val="pl-PL"/>
        </w:rPr>
        <w:t>Egmez</w:t>
      </w:r>
      <w:proofErr w:type="spellEnd"/>
      <w:r w:rsidRPr="00CF5CB9">
        <w:rPr>
          <w:rStyle w:val="ClinHeadNote"/>
          <w:i/>
          <w:lang w:val="pl-PL"/>
        </w:rPr>
        <w:t xml:space="preserve"> p. Cyprowi</w:t>
      </w:r>
      <w:r w:rsidRPr="00CF5CB9">
        <w:rPr>
          <w:rStyle w:val="ClinHeadNote"/>
          <w:lang w:val="pl-PL"/>
        </w:rPr>
        <w:t xml:space="preserve">,  nr 12214/07, decyzja z 18 września 2012 r.; oraz </w:t>
      </w:r>
      <w:proofErr w:type="spellStart"/>
      <w:r w:rsidRPr="00CF5CB9">
        <w:rPr>
          <w:rStyle w:val="ClinHeadNote"/>
          <w:i/>
          <w:lang w:val="pl-PL"/>
        </w:rPr>
        <w:t>Yaremenko</w:t>
      </w:r>
      <w:proofErr w:type="spellEnd"/>
      <w:r w:rsidRPr="00CF5CB9">
        <w:rPr>
          <w:rStyle w:val="ClinHeadNote"/>
          <w:i/>
          <w:lang w:val="pl-PL"/>
        </w:rPr>
        <w:t xml:space="preserve"> p. Ukrainie (nr 2)</w:t>
      </w:r>
      <w:r w:rsidRPr="00CF5CB9">
        <w:rPr>
          <w:rStyle w:val="ClinHeadNote"/>
          <w:lang w:val="pl-PL"/>
        </w:rPr>
        <w:t>,  nr 66338/09, wyrok z 30 kwietnia 2015 r.</w:t>
      </w:r>
    </w:p>
  </w:footnote>
  <w:footnote w:id="28">
    <w:p w:rsidR="00335B71" w:rsidRPr="00CF5CB9" w:rsidRDefault="00335B71" w:rsidP="00D0275F">
      <w:pPr>
        <w:pStyle w:val="Tekstprzypisudolnego"/>
        <w:spacing w:after="60"/>
        <w:jc w:val="both"/>
        <w:rPr>
          <w:lang w:val="pl-PL"/>
        </w:rPr>
      </w:pPr>
      <w:r w:rsidRPr="00CF5CB9">
        <w:rPr>
          <w:rStyle w:val="Odwoanieprzypisudolnego"/>
        </w:rPr>
        <w:footnoteRef/>
      </w:r>
      <w:r w:rsidRPr="00CF5CB9">
        <w:rPr>
          <w:lang w:val="pl-PL"/>
        </w:rPr>
        <w:t xml:space="preserve"> Na mocy art. 5 </w:t>
      </w:r>
      <w:r w:rsidRPr="00CF5CB9">
        <w:rPr>
          <w:i/>
          <w:lang w:val="pl-PL"/>
        </w:rPr>
        <w:t>ustawy o publicznym ujawnieniu i poufności informacji podatkowej</w:t>
      </w:r>
      <w:r w:rsidRPr="00CF5CB9">
        <w:rPr>
          <w:lang w:val="pl-PL"/>
        </w:rPr>
        <w:t>.</w:t>
      </w:r>
    </w:p>
  </w:footnote>
  <w:footnote w:id="29">
    <w:p w:rsidR="00335B71" w:rsidRPr="00CF5CB9" w:rsidRDefault="00335B71" w:rsidP="00D0275F">
      <w:pPr>
        <w:pStyle w:val="Tekstprzypisudolnego"/>
        <w:spacing w:after="60"/>
        <w:jc w:val="both"/>
        <w:rPr>
          <w:lang w:val="pl-PL"/>
        </w:rPr>
      </w:pPr>
      <w:r w:rsidRPr="00CF5CB9">
        <w:rPr>
          <w:rStyle w:val="Odwoanieprzypisudolnego"/>
        </w:rPr>
        <w:footnoteRef/>
      </w:r>
      <w:r w:rsidRPr="00CF5CB9">
        <w:rPr>
          <w:lang w:val="pl-PL"/>
        </w:rPr>
        <w:t xml:space="preserve"> Dyrektywa 95/46/WE Parlamentu Europejskiego i Rady z dnia 24 października 1995 r. w sprawie ochrony osób fizycznych w zakresie przetwarzania danych osobowych i swobodnego przepływu tych danych </w:t>
      </w:r>
    </w:p>
    <w:p w:rsidR="00335B71" w:rsidRPr="00CF5CB9" w:rsidRDefault="00335B71" w:rsidP="00D0275F">
      <w:pPr>
        <w:pStyle w:val="Tekstprzypisudolnego"/>
        <w:spacing w:after="60"/>
        <w:jc w:val="both"/>
        <w:rPr>
          <w:lang w:val="pl-PL"/>
        </w:rPr>
      </w:pPr>
      <w:hyperlink r:id="rId22" w:history="1">
        <w:r w:rsidRPr="00CF5CB9">
          <w:rPr>
            <w:rStyle w:val="Hipercze"/>
            <w:rFonts w:asciiTheme="minorHAnsi" w:hAnsiTheme="minorHAnsi"/>
            <w:u w:val="none"/>
            <w:lang w:val="pl-PL"/>
          </w:rPr>
          <w:t>http://eur-lex.europa.eu/legal-content/PL/TXT/HTML/?uri=CELEX:31995L0046&amp;from=EN</w:t>
        </w:r>
      </w:hyperlink>
      <w:r w:rsidRPr="00CF5CB9">
        <w:rPr>
          <w:rStyle w:val="Hipercze"/>
          <w:rFonts w:asciiTheme="minorHAnsi" w:hAnsiTheme="minorHAnsi"/>
          <w:u w:val="none"/>
          <w:lang w:val="pl-PL"/>
        </w:rPr>
        <w:t xml:space="preserve"> </w:t>
      </w:r>
      <w:r w:rsidRPr="00CF5CB9">
        <w:rPr>
          <w:rFonts w:asciiTheme="minorHAnsi" w:hAnsiTheme="minorHAnsi"/>
          <w:lang w:val="pl-PL"/>
        </w:rPr>
        <w:t xml:space="preserve"> </w:t>
      </w:r>
    </w:p>
  </w:footnote>
  <w:footnote w:id="30">
    <w:p w:rsidR="00335B71" w:rsidRPr="00CF5CB9" w:rsidRDefault="00335B71" w:rsidP="00D0275F">
      <w:pPr>
        <w:pStyle w:val="Tekstprzypisudolnego"/>
        <w:spacing w:after="60"/>
        <w:jc w:val="both"/>
        <w:rPr>
          <w:lang w:val="pl-PL"/>
        </w:rPr>
      </w:pPr>
      <w:r w:rsidRPr="00CF5CB9">
        <w:rPr>
          <w:rStyle w:val="Odwoanieprzypisudolnego"/>
        </w:rPr>
        <w:footnoteRef/>
      </w:r>
      <w:r w:rsidRPr="00CF5CB9">
        <w:rPr>
          <w:lang w:val="pl-PL"/>
        </w:rPr>
        <w:t xml:space="preserve"> </w:t>
      </w:r>
      <w:proofErr w:type="spellStart"/>
      <w:r w:rsidRPr="006374F9">
        <w:rPr>
          <w:i/>
          <w:lang w:val="pl-PL"/>
        </w:rPr>
        <w:t>Tietosuojavaltuutettu</w:t>
      </w:r>
      <w:proofErr w:type="spellEnd"/>
      <w:r w:rsidRPr="006374F9">
        <w:rPr>
          <w:i/>
          <w:lang w:val="pl-PL"/>
        </w:rPr>
        <w:t xml:space="preserve"> p. </w:t>
      </w:r>
      <w:proofErr w:type="spellStart"/>
      <w:r w:rsidRPr="006374F9">
        <w:rPr>
          <w:i/>
          <w:lang w:val="pl-PL"/>
        </w:rPr>
        <w:t>Satakunnan</w:t>
      </w:r>
      <w:proofErr w:type="spellEnd"/>
      <w:r w:rsidRPr="006374F9">
        <w:rPr>
          <w:i/>
          <w:lang w:val="pl-PL"/>
        </w:rPr>
        <w:t xml:space="preserve"> </w:t>
      </w:r>
      <w:proofErr w:type="spellStart"/>
      <w:r w:rsidRPr="006374F9">
        <w:rPr>
          <w:i/>
          <w:lang w:val="pl-PL"/>
        </w:rPr>
        <w:t>Markkinapörssi</w:t>
      </w:r>
      <w:proofErr w:type="spellEnd"/>
      <w:r w:rsidRPr="006374F9">
        <w:rPr>
          <w:i/>
          <w:lang w:val="pl-PL"/>
        </w:rPr>
        <w:t xml:space="preserve"> </w:t>
      </w:r>
      <w:proofErr w:type="spellStart"/>
      <w:r w:rsidRPr="006374F9">
        <w:rPr>
          <w:i/>
          <w:lang w:val="pl-PL"/>
        </w:rPr>
        <w:t>Oy</w:t>
      </w:r>
      <w:proofErr w:type="spellEnd"/>
      <w:r w:rsidRPr="006374F9">
        <w:rPr>
          <w:i/>
          <w:lang w:val="pl-PL"/>
        </w:rPr>
        <w:t xml:space="preserve"> i </w:t>
      </w:r>
      <w:proofErr w:type="spellStart"/>
      <w:r w:rsidRPr="006374F9">
        <w:rPr>
          <w:i/>
          <w:lang w:val="pl-PL"/>
        </w:rPr>
        <w:t>Satamedia</w:t>
      </w:r>
      <w:proofErr w:type="spellEnd"/>
      <w:r w:rsidRPr="006374F9">
        <w:rPr>
          <w:i/>
          <w:lang w:val="pl-PL"/>
        </w:rPr>
        <w:t xml:space="preserve"> </w:t>
      </w:r>
      <w:proofErr w:type="spellStart"/>
      <w:r w:rsidRPr="006374F9">
        <w:rPr>
          <w:i/>
          <w:lang w:val="pl-PL"/>
        </w:rPr>
        <w:t>Oy</w:t>
      </w:r>
      <w:proofErr w:type="spellEnd"/>
      <w:r w:rsidRPr="00CF5CB9">
        <w:rPr>
          <w:lang w:val="pl-PL"/>
        </w:rPr>
        <w:t xml:space="preserve">, C-73/07, wyrok z 16 grudnia 2008 r. </w:t>
      </w:r>
    </w:p>
    <w:p w:rsidR="00335B71" w:rsidRPr="00CF5CB9" w:rsidRDefault="00335B71" w:rsidP="00D0275F">
      <w:pPr>
        <w:pStyle w:val="Tekstprzypisudolnego"/>
        <w:spacing w:after="60"/>
        <w:jc w:val="both"/>
        <w:rPr>
          <w:lang w:val="pl-PL"/>
        </w:rPr>
      </w:pPr>
      <w:hyperlink r:id="rId23" w:history="1">
        <w:r w:rsidRPr="00CF5CB9">
          <w:rPr>
            <w:rStyle w:val="Hipercze"/>
            <w:u w:val="none"/>
            <w:lang w:val="pl-PL"/>
          </w:rPr>
          <w:t>http://curia.europa.eu/juris/document/document.jsf;jsessionid=9ea7d2dc30dd03a11f8eea974c4fa27bc15880b50ca0.e34KaxiLc3qMb40Rch0SaxyNbhf0?text=&amp;docid=76075&amp;pageIndex=0&amp;doclang=PL&amp;mode=lst&amp;dir=&amp;occ=first&amp;part=1&amp;cid=751300</w:t>
        </w:r>
      </w:hyperlink>
    </w:p>
  </w:footnote>
  <w:footnote w:id="31">
    <w:p w:rsidR="00335B71" w:rsidRPr="00CF5CB9" w:rsidRDefault="00335B71" w:rsidP="00D0275F">
      <w:pPr>
        <w:pStyle w:val="Tekstprzypisudolnego"/>
        <w:spacing w:after="60"/>
        <w:jc w:val="both"/>
        <w:rPr>
          <w:rStyle w:val="Pogrubienie"/>
          <w:rFonts w:asciiTheme="minorHAnsi" w:hAnsiTheme="minorHAnsi"/>
          <w:b w:val="0"/>
          <w:color w:val="auto"/>
          <w:sz w:val="18"/>
          <w:szCs w:val="18"/>
          <w:lang w:val="pl-PL"/>
        </w:rPr>
      </w:pPr>
      <w:r w:rsidRPr="00CF5CB9">
        <w:rPr>
          <w:rStyle w:val="Odwoanieprzypisudolnego"/>
          <w:rFonts w:asciiTheme="minorHAnsi" w:hAnsiTheme="minorHAnsi"/>
          <w:b/>
          <w:color w:val="auto"/>
          <w:sz w:val="18"/>
          <w:szCs w:val="18"/>
        </w:rPr>
        <w:footnoteRef/>
      </w:r>
      <w:r w:rsidRPr="00CF5CB9">
        <w:rPr>
          <w:rFonts w:asciiTheme="minorHAnsi" w:hAnsiTheme="minorHAnsi"/>
          <w:b/>
          <w:color w:val="auto"/>
          <w:sz w:val="18"/>
          <w:szCs w:val="18"/>
          <w:lang w:val="pl-PL"/>
        </w:rPr>
        <w:t xml:space="preserve"> </w:t>
      </w:r>
      <w:r w:rsidRPr="00CF5CB9">
        <w:rPr>
          <w:rStyle w:val="Pogrubienie"/>
          <w:rFonts w:asciiTheme="minorHAnsi" w:hAnsiTheme="minorHAnsi"/>
          <w:b w:val="0"/>
          <w:color w:val="auto"/>
          <w:sz w:val="18"/>
          <w:szCs w:val="18"/>
          <w:lang w:val="pl-PL"/>
        </w:rPr>
        <w:t> </w:t>
      </w:r>
      <w:proofErr w:type="spellStart"/>
      <w:r w:rsidRPr="00CF5CB9">
        <w:rPr>
          <w:rStyle w:val="Pogrubienie"/>
          <w:rFonts w:asciiTheme="minorHAnsi" w:hAnsiTheme="minorHAnsi"/>
          <w:b w:val="0"/>
          <w:i/>
          <w:color w:val="auto"/>
          <w:sz w:val="18"/>
          <w:szCs w:val="18"/>
          <w:lang w:val="pl-PL"/>
        </w:rPr>
        <w:t>Salduz</w:t>
      </w:r>
      <w:proofErr w:type="spellEnd"/>
      <w:r w:rsidRPr="00CF5CB9">
        <w:rPr>
          <w:rStyle w:val="Pogrubienie"/>
          <w:rFonts w:asciiTheme="minorHAnsi" w:hAnsiTheme="minorHAnsi"/>
          <w:b w:val="0"/>
          <w:i/>
          <w:color w:val="auto"/>
          <w:sz w:val="18"/>
          <w:szCs w:val="18"/>
          <w:lang w:val="pl-PL"/>
        </w:rPr>
        <w:t xml:space="preserve"> p. Turcji</w:t>
      </w:r>
      <w:r w:rsidRPr="00CF5CB9">
        <w:rPr>
          <w:rStyle w:val="Pogrubienie"/>
          <w:rFonts w:asciiTheme="minorHAnsi" w:hAnsiTheme="minorHAnsi"/>
          <w:b w:val="0"/>
          <w:color w:val="auto"/>
          <w:sz w:val="18"/>
          <w:szCs w:val="18"/>
          <w:lang w:val="pl-PL"/>
        </w:rPr>
        <w:t xml:space="preserve"> (skarga nr 36391/02, wyrok Wielkiej Izby z dnia 27 listopada 2008 r.), tłumaczenie na język polski</w:t>
      </w:r>
    </w:p>
    <w:p w:rsidR="00335B71" w:rsidRPr="00CF5CB9" w:rsidRDefault="00335B71" w:rsidP="00D0275F">
      <w:pPr>
        <w:pStyle w:val="Tekstprzypisudolnego"/>
        <w:spacing w:after="60"/>
        <w:jc w:val="both"/>
        <w:rPr>
          <w:rStyle w:val="Pogrubienie"/>
          <w:rFonts w:asciiTheme="minorHAnsi" w:hAnsiTheme="minorHAnsi"/>
          <w:b w:val="0"/>
          <w:color w:val="auto"/>
          <w:sz w:val="18"/>
          <w:szCs w:val="18"/>
          <w:lang w:val="pl-PL"/>
        </w:rPr>
      </w:pPr>
      <w:hyperlink r:id="rId24" w:history="1">
        <w:r w:rsidRPr="00CF5CB9">
          <w:rPr>
            <w:rStyle w:val="Hipercze"/>
            <w:rFonts w:asciiTheme="minorHAnsi" w:hAnsiTheme="minorHAnsi"/>
            <w:sz w:val="18"/>
            <w:szCs w:val="18"/>
            <w:u w:val="none"/>
            <w:lang w:val="pl-PL"/>
          </w:rPr>
          <w:t>https://bip.ms.gov.pl/pl/prawa-czlowieka/europejski-trybunal-praw-czlowieka/orzecznictwo-europejskiego-trybunalu-praw-czlowieka/download,561,0.html</w:t>
        </w:r>
      </w:hyperlink>
      <w:r w:rsidRPr="00CF5CB9">
        <w:rPr>
          <w:rStyle w:val="Pogrubienie"/>
          <w:rFonts w:asciiTheme="minorHAnsi" w:hAnsiTheme="minorHAnsi"/>
          <w:b w:val="0"/>
          <w:color w:val="auto"/>
          <w:sz w:val="18"/>
          <w:szCs w:val="18"/>
          <w:lang w:val="pl-PL"/>
        </w:rPr>
        <w:t xml:space="preserve"> </w:t>
      </w:r>
    </w:p>
    <w:p w:rsidR="00335B71" w:rsidRPr="00CF5CB9" w:rsidRDefault="00335B71" w:rsidP="00D0275F">
      <w:pPr>
        <w:pStyle w:val="Tekstprzypisudolnego"/>
        <w:spacing w:after="60"/>
        <w:jc w:val="both"/>
        <w:rPr>
          <w:rStyle w:val="Pogrubienie"/>
          <w:rFonts w:asciiTheme="minorHAnsi" w:hAnsiTheme="minorHAnsi"/>
          <w:b w:val="0"/>
          <w:color w:val="auto"/>
          <w:sz w:val="18"/>
          <w:szCs w:val="18"/>
          <w:lang w:val="pl-PL"/>
        </w:rPr>
      </w:pPr>
      <w:proofErr w:type="spellStart"/>
      <w:r w:rsidRPr="00CF5CB9">
        <w:rPr>
          <w:rStyle w:val="Pogrubienie"/>
          <w:rFonts w:asciiTheme="minorHAnsi" w:hAnsiTheme="minorHAnsi"/>
          <w:b w:val="0"/>
          <w:i/>
          <w:color w:val="auto"/>
          <w:sz w:val="18"/>
          <w:szCs w:val="18"/>
          <w:lang w:val="pl-PL"/>
        </w:rPr>
        <w:t>Aras</w:t>
      </w:r>
      <w:proofErr w:type="spellEnd"/>
      <w:r w:rsidRPr="00CF5CB9">
        <w:rPr>
          <w:rStyle w:val="Pogrubienie"/>
          <w:rFonts w:asciiTheme="minorHAnsi" w:hAnsiTheme="minorHAnsi"/>
          <w:b w:val="0"/>
          <w:i/>
          <w:color w:val="auto"/>
          <w:sz w:val="18"/>
          <w:szCs w:val="18"/>
          <w:lang w:val="pl-PL"/>
        </w:rPr>
        <w:t xml:space="preserve"> p. Turcji (nr 2)</w:t>
      </w:r>
      <w:r w:rsidRPr="00CF5CB9">
        <w:rPr>
          <w:rStyle w:val="Pogrubienie"/>
          <w:rFonts w:asciiTheme="minorHAnsi" w:hAnsiTheme="minorHAnsi"/>
          <w:b w:val="0"/>
          <w:color w:val="auto"/>
          <w:sz w:val="18"/>
          <w:szCs w:val="18"/>
          <w:lang w:val="pl-PL"/>
        </w:rPr>
        <w:t xml:space="preserve"> (skarga nr 15065/07, wyrok z 18 listopada 2014 r., tłumaczenie na język polski:</w:t>
      </w:r>
    </w:p>
    <w:p w:rsidR="00335B71" w:rsidRPr="00CF5CB9" w:rsidRDefault="00335B71" w:rsidP="00D0275F">
      <w:pPr>
        <w:pStyle w:val="Tekstprzypisudolnego"/>
        <w:spacing w:after="60"/>
        <w:jc w:val="both"/>
        <w:rPr>
          <w:rStyle w:val="Pogrubienie"/>
          <w:rFonts w:asciiTheme="minorHAnsi" w:hAnsiTheme="minorHAnsi"/>
          <w:b w:val="0"/>
          <w:color w:val="auto"/>
          <w:sz w:val="18"/>
          <w:szCs w:val="18"/>
          <w:lang w:val="pl-PL"/>
        </w:rPr>
      </w:pPr>
      <w:hyperlink r:id="rId25" w:history="1">
        <w:r w:rsidRPr="00CF5CB9">
          <w:rPr>
            <w:rStyle w:val="Hipercze"/>
            <w:rFonts w:asciiTheme="minorHAnsi" w:hAnsiTheme="minorHAnsi"/>
            <w:sz w:val="18"/>
            <w:szCs w:val="18"/>
            <w:u w:val="none"/>
            <w:lang w:val="pl-PL"/>
          </w:rPr>
          <w:t>https://bip.ms.gov.pl/pl/prawa-czlowieka/europejski-trybunal-praw-czlowieka/orzecznictwo-europejskiego-trybunalu-praw-czlowieka/download,748,0.html</w:t>
        </w:r>
      </w:hyperlink>
      <w:r w:rsidRPr="00CF5CB9">
        <w:rPr>
          <w:rStyle w:val="Pogrubienie"/>
          <w:rFonts w:asciiTheme="minorHAnsi" w:hAnsiTheme="minorHAnsi"/>
          <w:b w:val="0"/>
          <w:color w:val="auto"/>
          <w:sz w:val="18"/>
          <w:szCs w:val="18"/>
          <w:lang w:val="pl-PL"/>
        </w:rPr>
        <w:t xml:space="preserve"> </w:t>
      </w:r>
    </w:p>
    <w:p w:rsidR="00335B71" w:rsidRPr="00CF5CB9" w:rsidRDefault="00335B71" w:rsidP="00D0275F">
      <w:pPr>
        <w:pStyle w:val="Tekstprzypisudolnego"/>
        <w:spacing w:after="60"/>
        <w:jc w:val="both"/>
        <w:rPr>
          <w:rFonts w:asciiTheme="minorHAnsi" w:hAnsiTheme="minorHAnsi"/>
          <w:lang w:val="pl-PL"/>
        </w:rPr>
      </w:pPr>
      <w:r w:rsidRPr="00CF5CB9">
        <w:rPr>
          <w:rFonts w:asciiTheme="minorHAnsi" w:hAnsiTheme="minorHAnsi"/>
          <w:i/>
          <w:lang w:val="pl-PL"/>
        </w:rPr>
        <w:t>Ibrahim i Inni p. Zjednoczonemu Królestwu</w:t>
      </w:r>
      <w:r w:rsidRPr="00CF5CB9">
        <w:rPr>
          <w:rFonts w:asciiTheme="minorHAnsi" w:hAnsiTheme="minorHAnsi"/>
          <w:lang w:val="pl-PL"/>
        </w:rPr>
        <w:t>, skargi nr 50541/08 i in., wyrok Wielkiej Izby z 13 września 2016 r., tłumaczenie na język polski:</w:t>
      </w:r>
    </w:p>
    <w:p w:rsidR="00335B71" w:rsidRPr="00CF5CB9" w:rsidRDefault="00335B71" w:rsidP="00D0275F">
      <w:pPr>
        <w:pStyle w:val="Tekstprzypisudolnego"/>
        <w:spacing w:after="60"/>
        <w:jc w:val="both"/>
        <w:rPr>
          <w:rFonts w:asciiTheme="minorHAnsi" w:hAnsiTheme="minorHAnsi"/>
          <w:b/>
          <w:sz w:val="18"/>
          <w:szCs w:val="18"/>
          <w:lang w:val="pl-PL"/>
        </w:rPr>
      </w:pPr>
      <w:hyperlink r:id="rId26" w:history="1">
        <w:r w:rsidRPr="00CF5CB9">
          <w:rPr>
            <w:rStyle w:val="Hipercze"/>
            <w:rFonts w:asciiTheme="minorHAnsi" w:hAnsiTheme="minorHAnsi"/>
            <w:u w:val="none"/>
            <w:lang w:val="pl-PL"/>
          </w:rPr>
          <w:t>https://bip.ms.gov.pl/pl/prawa-czlowieka/europejski-trybunal-praw-czlowieka/orzecznictwo-europejskiego-trybunalu-praw-czlowieka/download,951,0.html</w:t>
        </w:r>
      </w:hyperlink>
      <w:r w:rsidRPr="00CF5CB9">
        <w:rPr>
          <w:rFonts w:asciiTheme="minorHAnsi" w:hAnsiTheme="minorHAnsi"/>
          <w:lang w:val="pl-PL"/>
        </w:rPr>
        <w:t xml:space="preserve"> </w:t>
      </w:r>
    </w:p>
  </w:footnote>
  <w:footnote w:id="32">
    <w:p w:rsidR="00335B71" w:rsidRPr="00CF5CB9" w:rsidRDefault="00335B71" w:rsidP="000001C4">
      <w:pPr>
        <w:pStyle w:val="Tekstprzypisudolnego"/>
        <w:spacing w:after="60"/>
        <w:jc w:val="both"/>
        <w:rPr>
          <w:rFonts w:asciiTheme="minorHAnsi" w:hAnsiTheme="minorHAnsi"/>
          <w:lang w:val="pl-PL"/>
        </w:rPr>
      </w:pPr>
      <w:r w:rsidRPr="00CF5CB9">
        <w:rPr>
          <w:rStyle w:val="Odwoanieprzypisudolnego"/>
          <w:rFonts w:asciiTheme="minorHAnsi" w:hAnsiTheme="minorHAnsi"/>
        </w:rPr>
        <w:footnoteRef/>
      </w:r>
      <w:r w:rsidRPr="00CF5CB9">
        <w:rPr>
          <w:rFonts w:asciiTheme="minorHAnsi" w:hAnsiTheme="minorHAnsi"/>
          <w:lang w:val="pl-PL"/>
        </w:rPr>
        <w:t xml:space="preserve"> </w:t>
      </w:r>
      <w:proofErr w:type="spellStart"/>
      <w:r w:rsidRPr="00CF5CB9">
        <w:rPr>
          <w:rFonts w:asciiTheme="minorHAnsi" w:hAnsiTheme="minorHAnsi"/>
          <w:i/>
          <w:lang w:val="pl-PL"/>
        </w:rPr>
        <w:t>Abdu</w:t>
      </w:r>
      <w:proofErr w:type="spellEnd"/>
      <w:r w:rsidRPr="00CF5CB9">
        <w:rPr>
          <w:rFonts w:asciiTheme="minorHAnsi" w:hAnsiTheme="minorHAnsi"/>
          <w:i/>
          <w:lang w:val="pl-PL"/>
        </w:rPr>
        <w:t xml:space="preserve"> p. Bułgarii</w:t>
      </w:r>
      <w:r w:rsidRPr="00CF5CB9">
        <w:rPr>
          <w:rFonts w:asciiTheme="minorHAnsi" w:hAnsiTheme="minorHAnsi"/>
          <w:lang w:val="pl-PL"/>
        </w:rPr>
        <w:t>, skarga nr 26827/08, wyrok z 11 marca 2014 r., tłumaczenie na język polski:</w:t>
      </w:r>
    </w:p>
    <w:p w:rsidR="00335B71" w:rsidRDefault="00335B71" w:rsidP="000001C4">
      <w:pPr>
        <w:pStyle w:val="Tekstprzypisudolnego"/>
        <w:spacing w:after="60"/>
        <w:jc w:val="both"/>
        <w:rPr>
          <w:rFonts w:asciiTheme="minorHAnsi" w:hAnsiTheme="minorHAnsi"/>
          <w:lang w:val="pl-PL"/>
        </w:rPr>
      </w:pPr>
      <w:hyperlink r:id="rId27" w:history="1">
        <w:r w:rsidRPr="00CF5CB9">
          <w:rPr>
            <w:rStyle w:val="Hipercze"/>
            <w:rFonts w:asciiTheme="minorHAnsi" w:hAnsiTheme="minorHAnsi"/>
            <w:u w:val="none"/>
            <w:lang w:val="pl-PL"/>
          </w:rPr>
          <w:t>https://bip.ms.gov.pl/pl/prawa-czlowieka/europejski-trybunal-praw-czlowieka/orzecznictwo-europejskiego-trybunalu-praw-czlowieka/download,747,0.html</w:t>
        </w:r>
      </w:hyperlink>
      <w:r w:rsidRPr="00CF5CB9">
        <w:rPr>
          <w:rFonts w:asciiTheme="minorHAnsi" w:hAnsiTheme="minorHAnsi"/>
          <w:lang w:val="pl-PL"/>
        </w:rPr>
        <w:t xml:space="preserve"> </w:t>
      </w:r>
    </w:p>
    <w:p w:rsidR="00335B71" w:rsidRPr="00CF5CB9" w:rsidRDefault="00335B71" w:rsidP="000001C4">
      <w:pPr>
        <w:pStyle w:val="Tekstprzypisudolnego"/>
        <w:spacing w:after="60"/>
        <w:jc w:val="both"/>
        <w:rPr>
          <w:rFonts w:asciiTheme="minorHAnsi" w:hAnsiTheme="minorHAnsi"/>
          <w:lang w:val="pl-PL"/>
        </w:rPr>
      </w:pPr>
      <w:r w:rsidRPr="00CF5CB9">
        <w:rPr>
          <w:rFonts w:asciiTheme="minorHAnsi" w:hAnsiTheme="minorHAnsi"/>
          <w:i/>
          <w:lang w:val="pl-PL"/>
        </w:rPr>
        <w:t>R.B. p. Węgrom</w:t>
      </w:r>
      <w:r w:rsidRPr="00CF5CB9">
        <w:rPr>
          <w:rFonts w:asciiTheme="minorHAnsi" w:hAnsiTheme="minorHAnsi"/>
          <w:lang w:val="pl-PL"/>
        </w:rPr>
        <w:t>, skarga nr 64602/12, wyrok z 12 kwietnia 2016 r., tłumaczenie na język polski:</w:t>
      </w:r>
    </w:p>
    <w:p w:rsidR="00335B71" w:rsidRDefault="00335B71" w:rsidP="000001C4">
      <w:pPr>
        <w:pStyle w:val="Tekstprzypisudolnego"/>
        <w:spacing w:after="60"/>
        <w:jc w:val="both"/>
        <w:rPr>
          <w:rFonts w:asciiTheme="minorHAnsi" w:hAnsiTheme="minorHAnsi"/>
          <w:lang w:val="pl-PL"/>
        </w:rPr>
      </w:pPr>
      <w:hyperlink r:id="rId28" w:history="1">
        <w:r w:rsidRPr="00CF5CB9">
          <w:rPr>
            <w:rStyle w:val="Hipercze"/>
            <w:rFonts w:asciiTheme="minorHAnsi" w:hAnsiTheme="minorHAnsi"/>
            <w:u w:val="none"/>
            <w:lang w:val="pl-PL"/>
          </w:rPr>
          <w:t>https://bip.ms.gov.pl/pl/prawa-czlowieka/europejski-trybunal-praw-czlowieka/orzecznictwo-europejskiego-trybunalu-praw-czlowieka/download,953,0.html</w:t>
        </w:r>
      </w:hyperlink>
      <w:r w:rsidRPr="00CF5CB9">
        <w:rPr>
          <w:rFonts w:asciiTheme="minorHAnsi" w:hAnsiTheme="minorHAnsi"/>
          <w:lang w:val="pl-PL"/>
        </w:rPr>
        <w:t xml:space="preserve"> </w:t>
      </w:r>
    </w:p>
    <w:p w:rsidR="00335B71" w:rsidRPr="00CF5CB9" w:rsidRDefault="00335B71" w:rsidP="000001C4">
      <w:pPr>
        <w:pStyle w:val="Tekstprzypisudolnego"/>
        <w:spacing w:after="60"/>
        <w:jc w:val="both"/>
        <w:rPr>
          <w:rFonts w:asciiTheme="minorHAnsi" w:hAnsiTheme="minorHAnsi"/>
          <w:lang w:val="pl-PL"/>
        </w:rPr>
      </w:pPr>
      <w:r>
        <w:rPr>
          <w:rFonts w:asciiTheme="minorHAnsi" w:hAnsiTheme="minorHAnsi"/>
          <w:lang w:val="pl-PL"/>
        </w:rPr>
        <w:t xml:space="preserve">Zobacz również </w:t>
      </w:r>
      <w:proofErr w:type="spellStart"/>
      <w:r w:rsidRPr="000001C4">
        <w:rPr>
          <w:rFonts w:asciiTheme="minorHAnsi" w:hAnsiTheme="minorHAnsi"/>
          <w:i/>
          <w:lang w:val="pl-PL"/>
        </w:rPr>
        <w:t>Šečić</w:t>
      </w:r>
      <w:proofErr w:type="spellEnd"/>
      <w:r w:rsidRPr="000001C4">
        <w:rPr>
          <w:rFonts w:asciiTheme="minorHAnsi" w:hAnsiTheme="minorHAnsi"/>
          <w:i/>
          <w:lang w:val="pl-PL"/>
        </w:rPr>
        <w:t xml:space="preserve"> p. Chorwacji</w:t>
      </w:r>
      <w:r w:rsidRPr="000001C4">
        <w:rPr>
          <w:rFonts w:asciiTheme="minorHAnsi" w:hAnsiTheme="minorHAnsi"/>
          <w:lang w:val="pl-PL"/>
        </w:rPr>
        <w:t xml:space="preserve">, skarga nr 40116/02, </w:t>
      </w:r>
      <w:r>
        <w:rPr>
          <w:rFonts w:asciiTheme="minorHAnsi" w:hAnsiTheme="minorHAnsi"/>
          <w:lang w:val="pl-PL"/>
        </w:rPr>
        <w:t>wyrok z 31 maja 2007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B71" w:rsidRPr="005519F7" w:rsidRDefault="00335B71" w:rsidP="00EC00CE">
    <w:pPr>
      <w:pStyle w:val="Nagwek"/>
      <w:jc w:val="right"/>
      <w:rPr>
        <w:i/>
      </w:rPr>
    </w:pPr>
    <w:r w:rsidRPr="005519F7">
      <w:rPr>
        <w:rFonts w:ascii="Times New Roman" w:hAnsi="Times New Roman" w:cs="Times New Roman"/>
        <w:i/>
        <w:noProof/>
        <w:sz w:val="24"/>
        <w:szCs w:val="24"/>
        <w:lang w:val="pl-PL" w:eastAsia="pl-PL"/>
      </w:rPr>
      <w:drawing>
        <wp:anchor distT="0" distB="0" distL="114300" distR="114300" simplePos="0" relativeHeight="251659264" behindDoc="1" locked="0" layoutInCell="1" allowOverlap="1" wp14:anchorId="24E46A45" wp14:editId="69CD90F6">
          <wp:simplePos x="0" y="0"/>
          <wp:positionH relativeFrom="page">
            <wp:posOffset>771525</wp:posOffset>
          </wp:positionH>
          <wp:positionV relativeFrom="page">
            <wp:posOffset>66675</wp:posOffset>
          </wp:positionV>
          <wp:extent cx="2527935" cy="2608580"/>
          <wp:effectExtent l="0" t="0" r="5715" b="127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5519F7">
      <w:rPr>
        <w:i/>
      </w:rPr>
      <w:t>Dokument</w:t>
    </w:r>
    <w:proofErr w:type="spellEnd"/>
    <w:r w:rsidRPr="005519F7">
      <w:rPr>
        <w:i/>
      </w:rPr>
      <w:t xml:space="preserve"> </w:t>
    </w:r>
    <w:proofErr w:type="spellStart"/>
    <w:r w:rsidRPr="005519F7">
      <w:rPr>
        <w:i/>
      </w:rPr>
      <w:t>może</w:t>
    </w:r>
    <w:proofErr w:type="spellEnd"/>
    <w:r w:rsidRPr="005519F7">
      <w:rPr>
        <w:i/>
      </w:rPr>
      <w:t xml:space="preserve"> </w:t>
    </w:r>
    <w:proofErr w:type="spellStart"/>
    <w:r w:rsidRPr="005519F7">
      <w:rPr>
        <w:i/>
      </w:rPr>
      <w:t>podlegać</w:t>
    </w:r>
    <w:proofErr w:type="spellEnd"/>
    <w:r w:rsidRPr="005519F7">
      <w:rPr>
        <w:i/>
      </w:rPr>
      <w:t xml:space="preserve"> </w:t>
    </w:r>
    <w:proofErr w:type="spellStart"/>
    <w:r w:rsidRPr="005519F7">
      <w:rPr>
        <w:i/>
      </w:rPr>
      <w:t>korektom</w:t>
    </w:r>
    <w:proofErr w:type="spellEnd"/>
    <w:r w:rsidRPr="005519F7">
      <w:rPr>
        <w:i/>
      </w:rPr>
      <w:t xml:space="preserve"> </w:t>
    </w:r>
    <w:proofErr w:type="spellStart"/>
    <w:r w:rsidRPr="005519F7">
      <w:rPr>
        <w:i/>
      </w:rPr>
      <w:t>redakcyjnym</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5A5"/>
    <w:multiLevelType w:val="hybridMultilevel"/>
    <w:tmpl w:val="0AC6C61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754422A"/>
    <w:multiLevelType w:val="hybridMultilevel"/>
    <w:tmpl w:val="02F00590"/>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5A805EE"/>
    <w:multiLevelType w:val="hybridMultilevel"/>
    <w:tmpl w:val="6B68D99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9CB3F72"/>
    <w:multiLevelType w:val="hybridMultilevel"/>
    <w:tmpl w:val="7AD849C2"/>
    <w:lvl w:ilvl="0" w:tplc="27AC7F3C">
      <w:start w:val="1"/>
      <w:numFmt w:val="decimal"/>
      <w:pStyle w:val="Nagwek2"/>
      <w:lvlText w:val="%1."/>
      <w:lvlJc w:val="left"/>
      <w:pPr>
        <w:ind w:left="360" w:hanging="360"/>
      </w:pPr>
    </w:lvl>
    <w:lvl w:ilvl="1" w:tplc="08090019">
      <w:start w:val="1"/>
      <w:numFmt w:val="lowerLetter"/>
      <w:lvlText w:val="%2."/>
      <w:lvlJc w:val="left"/>
      <w:pPr>
        <w:ind w:left="1014" w:hanging="360"/>
      </w:pPr>
    </w:lvl>
    <w:lvl w:ilvl="2" w:tplc="92F8DF6E">
      <w:start w:val="1"/>
      <w:numFmt w:val="lowerRoman"/>
      <w:lvlText w:val="(%3)"/>
      <w:lvlJc w:val="left"/>
      <w:pPr>
        <w:ind w:left="2274" w:hanging="720"/>
      </w:pPr>
      <w:rPr>
        <w:rFonts w:hint="default"/>
      </w:rPr>
    </w:lvl>
    <w:lvl w:ilvl="3" w:tplc="F064C976">
      <w:start w:val="1"/>
      <w:numFmt w:val="lowerLetter"/>
      <w:lvlText w:val="%4)"/>
      <w:lvlJc w:val="left"/>
      <w:pPr>
        <w:ind w:left="2454" w:hanging="360"/>
      </w:pPr>
      <w:rPr>
        <w:rFonts w:hint="default"/>
      </w:r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4">
    <w:nsid w:val="211F53D6"/>
    <w:multiLevelType w:val="hybridMultilevel"/>
    <w:tmpl w:val="F1E22F50"/>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2F9D4B84"/>
    <w:multiLevelType w:val="hybridMultilevel"/>
    <w:tmpl w:val="9F586D94"/>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31A827DA"/>
    <w:multiLevelType w:val="hybridMultilevel"/>
    <w:tmpl w:val="FAC27D1C"/>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404F5BE4"/>
    <w:multiLevelType w:val="hybridMultilevel"/>
    <w:tmpl w:val="1E82DAA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40803A45"/>
    <w:multiLevelType w:val="hybridMultilevel"/>
    <w:tmpl w:val="538EC5A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676C7959"/>
    <w:multiLevelType w:val="hybridMultilevel"/>
    <w:tmpl w:val="3D5E8F2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79BA2A33"/>
    <w:multiLevelType w:val="hybridMultilevel"/>
    <w:tmpl w:val="675A4A8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3"/>
  </w:num>
  <w:num w:numId="4">
    <w:abstractNumId w:val="3"/>
  </w:num>
  <w:num w:numId="5">
    <w:abstractNumId w:val="3"/>
  </w:num>
  <w:num w:numId="6">
    <w:abstractNumId w:val="10"/>
  </w:num>
  <w:num w:numId="7">
    <w:abstractNumId w:val="3"/>
  </w:num>
  <w:num w:numId="8">
    <w:abstractNumId w:val="4"/>
  </w:num>
  <w:num w:numId="9">
    <w:abstractNumId w:val="0"/>
  </w:num>
  <w:num w:numId="10">
    <w:abstractNumId w:val="8"/>
  </w:num>
  <w:num w:numId="11">
    <w:abstractNumId w:val="9"/>
  </w:num>
  <w:num w:numId="12">
    <w:abstractNumId w:val="6"/>
  </w:num>
  <w:num w:numId="13">
    <w:abstractNumId w:val="5"/>
  </w:num>
  <w:num w:numId="14">
    <w:abstractNumId w:val="1"/>
  </w:num>
  <w:num w:numId="1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oNotTrackFormatting/>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34"/>
    <w:rsid w:val="000001C4"/>
    <w:rsid w:val="000015BD"/>
    <w:rsid w:val="00001988"/>
    <w:rsid w:val="00002363"/>
    <w:rsid w:val="00002EA8"/>
    <w:rsid w:val="0000352C"/>
    <w:rsid w:val="00003A50"/>
    <w:rsid w:val="00004485"/>
    <w:rsid w:val="00004C74"/>
    <w:rsid w:val="0000572E"/>
    <w:rsid w:val="000060EB"/>
    <w:rsid w:val="000061F2"/>
    <w:rsid w:val="00006260"/>
    <w:rsid w:val="000066D5"/>
    <w:rsid w:val="000107D2"/>
    <w:rsid w:val="00011F3A"/>
    <w:rsid w:val="000126B9"/>
    <w:rsid w:val="00012FFB"/>
    <w:rsid w:val="00013080"/>
    <w:rsid w:val="00013829"/>
    <w:rsid w:val="000164CF"/>
    <w:rsid w:val="0001685E"/>
    <w:rsid w:val="00017157"/>
    <w:rsid w:val="00020528"/>
    <w:rsid w:val="0002071E"/>
    <w:rsid w:val="00020B06"/>
    <w:rsid w:val="00022D2B"/>
    <w:rsid w:val="0002611A"/>
    <w:rsid w:val="000279E5"/>
    <w:rsid w:val="0003122E"/>
    <w:rsid w:val="00031BA2"/>
    <w:rsid w:val="00031E02"/>
    <w:rsid w:val="000321E9"/>
    <w:rsid w:val="00032407"/>
    <w:rsid w:val="00035472"/>
    <w:rsid w:val="00035650"/>
    <w:rsid w:val="000358E3"/>
    <w:rsid w:val="0003640A"/>
    <w:rsid w:val="000373E9"/>
    <w:rsid w:val="00037857"/>
    <w:rsid w:val="000378F1"/>
    <w:rsid w:val="0004063B"/>
    <w:rsid w:val="00040D02"/>
    <w:rsid w:val="00041989"/>
    <w:rsid w:val="00041EFD"/>
    <w:rsid w:val="0004268F"/>
    <w:rsid w:val="00042D9F"/>
    <w:rsid w:val="00043569"/>
    <w:rsid w:val="000448B6"/>
    <w:rsid w:val="00044A0A"/>
    <w:rsid w:val="00045793"/>
    <w:rsid w:val="00046936"/>
    <w:rsid w:val="00050008"/>
    <w:rsid w:val="000509BF"/>
    <w:rsid w:val="00051023"/>
    <w:rsid w:val="00051A7D"/>
    <w:rsid w:val="00051B03"/>
    <w:rsid w:val="000520A7"/>
    <w:rsid w:val="00055C33"/>
    <w:rsid w:val="00056732"/>
    <w:rsid w:val="00060617"/>
    <w:rsid w:val="0006118B"/>
    <w:rsid w:val="0006124D"/>
    <w:rsid w:val="00061955"/>
    <w:rsid w:val="0006295A"/>
    <w:rsid w:val="0006522F"/>
    <w:rsid w:val="00066DD5"/>
    <w:rsid w:val="000728B5"/>
    <w:rsid w:val="0007570A"/>
    <w:rsid w:val="0007677A"/>
    <w:rsid w:val="00076815"/>
    <w:rsid w:val="00076A11"/>
    <w:rsid w:val="00076E16"/>
    <w:rsid w:val="00077E32"/>
    <w:rsid w:val="0008001F"/>
    <w:rsid w:val="000802FE"/>
    <w:rsid w:val="00080602"/>
    <w:rsid w:val="00080BDD"/>
    <w:rsid w:val="0008101C"/>
    <w:rsid w:val="000815FF"/>
    <w:rsid w:val="00082592"/>
    <w:rsid w:val="00082A80"/>
    <w:rsid w:val="00083050"/>
    <w:rsid w:val="000844B2"/>
    <w:rsid w:val="000862A6"/>
    <w:rsid w:val="00086983"/>
    <w:rsid w:val="0008705C"/>
    <w:rsid w:val="00087083"/>
    <w:rsid w:val="00090E49"/>
    <w:rsid w:val="00090E80"/>
    <w:rsid w:val="00091B2F"/>
    <w:rsid w:val="0009310C"/>
    <w:rsid w:val="00094458"/>
    <w:rsid w:val="000953ED"/>
    <w:rsid w:val="00096E51"/>
    <w:rsid w:val="00097002"/>
    <w:rsid w:val="0009771F"/>
    <w:rsid w:val="000A214F"/>
    <w:rsid w:val="000A2EB0"/>
    <w:rsid w:val="000A4BD9"/>
    <w:rsid w:val="000A5C42"/>
    <w:rsid w:val="000A65D1"/>
    <w:rsid w:val="000A6762"/>
    <w:rsid w:val="000A6DAF"/>
    <w:rsid w:val="000A7025"/>
    <w:rsid w:val="000A70FC"/>
    <w:rsid w:val="000A7FA4"/>
    <w:rsid w:val="000A7FC6"/>
    <w:rsid w:val="000B0097"/>
    <w:rsid w:val="000B0C43"/>
    <w:rsid w:val="000B16B5"/>
    <w:rsid w:val="000B3450"/>
    <w:rsid w:val="000B5226"/>
    <w:rsid w:val="000B6402"/>
    <w:rsid w:val="000B74F4"/>
    <w:rsid w:val="000B77FB"/>
    <w:rsid w:val="000C12F5"/>
    <w:rsid w:val="000C142B"/>
    <w:rsid w:val="000C2DE2"/>
    <w:rsid w:val="000C3439"/>
    <w:rsid w:val="000C4826"/>
    <w:rsid w:val="000C4ABE"/>
    <w:rsid w:val="000C5678"/>
    <w:rsid w:val="000C5BF5"/>
    <w:rsid w:val="000C6DD4"/>
    <w:rsid w:val="000C7332"/>
    <w:rsid w:val="000D1331"/>
    <w:rsid w:val="000D134E"/>
    <w:rsid w:val="000D3726"/>
    <w:rsid w:val="000D5041"/>
    <w:rsid w:val="000D57A5"/>
    <w:rsid w:val="000D58A1"/>
    <w:rsid w:val="000D5FA2"/>
    <w:rsid w:val="000D7817"/>
    <w:rsid w:val="000E04FB"/>
    <w:rsid w:val="000E22F0"/>
    <w:rsid w:val="000E3490"/>
    <w:rsid w:val="000E391C"/>
    <w:rsid w:val="000E4D7A"/>
    <w:rsid w:val="000E551D"/>
    <w:rsid w:val="000E57BB"/>
    <w:rsid w:val="000E5818"/>
    <w:rsid w:val="000E6EAE"/>
    <w:rsid w:val="000F00A0"/>
    <w:rsid w:val="000F01D8"/>
    <w:rsid w:val="000F096F"/>
    <w:rsid w:val="000F0E76"/>
    <w:rsid w:val="000F2464"/>
    <w:rsid w:val="000F45C2"/>
    <w:rsid w:val="000F4718"/>
    <w:rsid w:val="000F6008"/>
    <w:rsid w:val="000F7D92"/>
    <w:rsid w:val="0010128A"/>
    <w:rsid w:val="00101499"/>
    <w:rsid w:val="00101E70"/>
    <w:rsid w:val="001037E9"/>
    <w:rsid w:val="00104203"/>
    <w:rsid w:val="00106B61"/>
    <w:rsid w:val="00107180"/>
    <w:rsid w:val="001078D0"/>
    <w:rsid w:val="00107D55"/>
    <w:rsid w:val="001105A8"/>
    <w:rsid w:val="00110B07"/>
    <w:rsid w:val="00110DB8"/>
    <w:rsid w:val="0011107D"/>
    <w:rsid w:val="0011170E"/>
    <w:rsid w:val="00111D8E"/>
    <w:rsid w:val="0011201A"/>
    <w:rsid w:val="001125A1"/>
    <w:rsid w:val="00112A2A"/>
    <w:rsid w:val="00113070"/>
    <w:rsid w:val="001145B0"/>
    <w:rsid w:val="001172DF"/>
    <w:rsid w:val="00117FDF"/>
    <w:rsid w:val="0012030F"/>
    <w:rsid w:val="0012170D"/>
    <w:rsid w:val="0012222F"/>
    <w:rsid w:val="00122553"/>
    <w:rsid w:val="001230D2"/>
    <w:rsid w:val="00123F4D"/>
    <w:rsid w:val="001253FA"/>
    <w:rsid w:val="00126081"/>
    <w:rsid w:val="0012673F"/>
    <w:rsid w:val="00127192"/>
    <w:rsid w:val="001308CB"/>
    <w:rsid w:val="00132CFD"/>
    <w:rsid w:val="00133FDE"/>
    <w:rsid w:val="001343DC"/>
    <w:rsid w:val="001346BD"/>
    <w:rsid w:val="00135BDD"/>
    <w:rsid w:val="00135EBB"/>
    <w:rsid w:val="00136B32"/>
    <w:rsid w:val="00140DFB"/>
    <w:rsid w:val="00142076"/>
    <w:rsid w:val="00142CDD"/>
    <w:rsid w:val="00143FB5"/>
    <w:rsid w:val="0014452D"/>
    <w:rsid w:val="00144A94"/>
    <w:rsid w:val="00145374"/>
    <w:rsid w:val="001456D7"/>
    <w:rsid w:val="00146CBA"/>
    <w:rsid w:val="00146EA2"/>
    <w:rsid w:val="00150DD1"/>
    <w:rsid w:val="00152AC5"/>
    <w:rsid w:val="00154868"/>
    <w:rsid w:val="001553A4"/>
    <w:rsid w:val="0015540A"/>
    <w:rsid w:val="001570EB"/>
    <w:rsid w:val="0016083C"/>
    <w:rsid w:val="001618FF"/>
    <w:rsid w:val="00161D5F"/>
    <w:rsid w:val="001620DA"/>
    <w:rsid w:val="0016224A"/>
    <w:rsid w:val="0016231D"/>
    <w:rsid w:val="001648C1"/>
    <w:rsid w:val="00164A40"/>
    <w:rsid w:val="00164B9A"/>
    <w:rsid w:val="0016590B"/>
    <w:rsid w:val="00165B2E"/>
    <w:rsid w:val="00165B8D"/>
    <w:rsid w:val="00171966"/>
    <w:rsid w:val="00171F97"/>
    <w:rsid w:val="00174B25"/>
    <w:rsid w:val="00176418"/>
    <w:rsid w:val="001766D3"/>
    <w:rsid w:val="00177112"/>
    <w:rsid w:val="001777AF"/>
    <w:rsid w:val="00177DA4"/>
    <w:rsid w:val="0018038C"/>
    <w:rsid w:val="00180417"/>
    <w:rsid w:val="00181293"/>
    <w:rsid w:val="00182BD8"/>
    <w:rsid w:val="0019048C"/>
    <w:rsid w:val="00191601"/>
    <w:rsid w:val="001921B8"/>
    <w:rsid w:val="00192F8A"/>
    <w:rsid w:val="001934BC"/>
    <w:rsid w:val="00193D65"/>
    <w:rsid w:val="00194B6E"/>
    <w:rsid w:val="00195D23"/>
    <w:rsid w:val="0019618F"/>
    <w:rsid w:val="001961C8"/>
    <w:rsid w:val="00196819"/>
    <w:rsid w:val="001969FB"/>
    <w:rsid w:val="00196C29"/>
    <w:rsid w:val="001A003E"/>
    <w:rsid w:val="001A02CF"/>
    <w:rsid w:val="001A0BA8"/>
    <w:rsid w:val="001A18C7"/>
    <w:rsid w:val="001A464B"/>
    <w:rsid w:val="001A5663"/>
    <w:rsid w:val="001A66E3"/>
    <w:rsid w:val="001A6ED9"/>
    <w:rsid w:val="001A6F53"/>
    <w:rsid w:val="001B0761"/>
    <w:rsid w:val="001B0F26"/>
    <w:rsid w:val="001B110D"/>
    <w:rsid w:val="001B197D"/>
    <w:rsid w:val="001B1A15"/>
    <w:rsid w:val="001B1BAB"/>
    <w:rsid w:val="001B4DAE"/>
    <w:rsid w:val="001B5A3D"/>
    <w:rsid w:val="001B5F7A"/>
    <w:rsid w:val="001B7107"/>
    <w:rsid w:val="001C2ED3"/>
    <w:rsid w:val="001C4681"/>
    <w:rsid w:val="001C57C2"/>
    <w:rsid w:val="001C5E43"/>
    <w:rsid w:val="001C69B8"/>
    <w:rsid w:val="001D02FC"/>
    <w:rsid w:val="001D097D"/>
    <w:rsid w:val="001D1683"/>
    <w:rsid w:val="001D2CE9"/>
    <w:rsid w:val="001D2ED1"/>
    <w:rsid w:val="001D2F5A"/>
    <w:rsid w:val="001D37B7"/>
    <w:rsid w:val="001D3FE6"/>
    <w:rsid w:val="001D42A9"/>
    <w:rsid w:val="001D4C9C"/>
    <w:rsid w:val="001D57EA"/>
    <w:rsid w:val="001D5CDB"/>
    <w:rsid w:val="001D67AE"/>
    <w:rsid w:val="001D751E"/>
    <w:rsid w:val="001D774C"/>
    <w:rsid w:val="001E0088"/>
    <w:rsid w:val="001E08C7"/>
    <w:rsid w:val="001E27A6"/>
    <w:rsid w:val="001E3955"/>
    <w:rsid w:val="001E4338"/>
    <w:rsid w:val="001E56DE"/>
    <w:rsid w:val="001E6313"/>
    <w:rsid w:val="001E6520"/>
    <w:rsid w:val="001E6DD5"/>
    <w:rsid w:val="001F3049"/>
    <w:rsid w:val="001F4D73"/>
    <w:rsid w:val="001F4D94"/>
    <w:rsid w:val="001F508B"/>
    <w:rsid w:val="001F7776"/>
    <w:rsid w:val="001F77EB"/>
    <w:rsid w:val="00201E35"/>
    <w:rsid w:val="0020289E"/>
    <w:rsid w:val="00203E6E"/>
    <w:rsid w:val="00203F35"/>
    <w:rsid w:val="0020407E"/>
    <w:rsid w:val="00204AC6"/>
    <w:rsid w:val="00205029"/>
    <w:rsid w:val="002052AA"/>
    <w:rsid w:val="00205730"/>
    <w:rsid w:val="0020656D"/>
    <w:rsid w:val="00212720"/>
    <w:rsid w:val="00212FB5"/>
    <w:rsid w:val="00217AF4"/>
    <w:rsid w:val="00217B7A"/>
    <w:rsid w:val="002203EE"/>
    <w:rsid w:val="002222B2"/>
    <w:rsid w:val="00223A15"/>
    <w:rsid w:val="00223BAD"/>
    <w:rsid w:val="00224745"/>
    <w:rsid w:val="00224B3C"/>
    <w:rsid w:val="00230064"/>
    <w:rsid w:val="002300C1"/>
    <w:rsid w:val="00230578"/>
    <w:rsid w:val="00230AD5"/>
    <w:rsid w:val="00230AE3"/>
    <w:rsid w:val="00230F2B"/>
    <w:rsid w:val="00232AE1"/>
    <w:rsid w:val="0023327C"/>
    <w:rsid w:val="0023422E"/>
    <w:rsid w:val="00235DFE"/>
    <w:rsid w:val="00235F2A"/>
    <w:rsid w:val="00236565"/>
    <w:rsid w:val="00237338"/>
    <w:rsid w:val="002403B7"/>
    <w:rsid w:val="00240FEA"/>
    <w:rsid w:val="002413F8"/>
    <w:rsid w:val="00241B44"/>
    <w:rsid w:val="002421D4"/>
    <w:rsid w:val="002438FD"/>
    <w:rsid w:val="002443E5"/>
    <w:rsid w:val="00244DFB"/>
    <w:rsid w:val="00245A3F"/>
    <w:rsid w:val="00247397"/>
    <w:rsid w:val="00247EA1"/>
    <w:rsid w:val="00250052"/>
    <w:rsid w:val="00250A0B"/>
    <w:rsid w:val="002524F1"/>
    <w:rsid w:val="00252865"/>
    <w:rsid w:val="0025333D"/>
    <w:rsid w:val="002545BC"/>
    <w:rsid w:val="00254B67"/>
    <w:rsid w:val="00255A28"/>
    <w:rsid w:val="00256E8C"/>
    <w:rsid w:val="00256F77"/>
    <w:rsid w:val="00256F7B"/>
    <w:rsid w:val="00257035"/>
    <w:rsid w:val="00257827"/>
    <w:rsid w:val="00260325"/>
    <w:rsid w:val="00261D26"/>
    <w:rsid w:val="00262F03"/>
    <w:rsid w:val="00263AFD"/>
    <w:rsid w:val="00264F72"/>
    <w:rsid w:val="00266E57"/>
    <w:rsid w:val="00267727"/>
    <w:rsid w:val="002677F5"/>
    <w:rsid w:val="00267874"/>
    <w:rsid w:val="00271C56"/>
    <w:rsid w:val="002724DB"/>
    <w:rsid w:val="0027397C"/>
    <w:rsid w:val="00273C3E"/>
    <w:rsid w:val="002746F5"/>
    <w:rsid w:val="0027486B"/>
    <w:rsid w:val="002758F0"/>
    <w:rsid w:val="00275944"/>
    <w:rsid w:val="002768A3"/>
    <w:rsid w:val="0027758D"/>
    <w:rsid w:val="00280019"/>
    <w:rsid w:val="0028081F"/>
    <w:rsid w:val="00280B20"/>
    <w:rsid w:val="00280D2D"/>
    <w:rsid w:val="0028154A"/>
    <w:rsid w:val="00281B40"/>
    <w:rsid w:val="0028289A"/>
    <w:rsid w:val="00283E16"/>
    <w:rsid w:val="0028450C"/>
    <w:rsid w:val="002850DB"/>
    <w:rsid w:val="00286D4B"/>
    <w:rsid w:val="00287068"/>
    <w:rsid w:val="00287324"/>
    <w:rsid w:val="00287ED8"/>
    <w:rsid w:val="00287FD8"/>
    <w:rsid w:val="00291809"/>
    <w:rsid w:val="00291998"/>
    <w:rsid w:val="002965A0"/>
    <w:rsid w:val="00297377"/>
    <w:rsid w:val="002A164D"/>
    <w:rsid w:val="002A2286"/>
    <w:rsid w:val="002A4B74"/>
    <w:rsid w:val="002A4CD3"/>
    <w:rsid w:val="002A6336"/>
    <w:rsid w:val="002A7018"/>
    <w:rsid w:val="002A7864"/>
    <w:rsid w:val="002B4A10"/>
    <w:rsid w:val="002B50D9"/>
    <w:rsid w:val="002C0104"/>
    <w:rsid w:val="002C0432"/>
    <w:rsid w:val="002C1EB4"/>
    <w:rsid w:val="002C1FF7"/>
    <w:rsid w:val="002C22D0"/>
    <w:rsid w:val="002C434C"/>
    <w:rsid w:val="002C631C"/>
    <w:rsid w:val="002C64F1"/>
    <w:rsid w:val="002C6D08"/>
    <w:rsid w:val="002C7F6D"/>
    <w:rsid w:val="002D103D"/>
    <w:rsid w:val="002D15BF"/>
    <w:rsid w:val="002D34D7"/>
    <w:rsid w:val="002D36B4"/>
    <w:rsid w:val="002D36FC"/>
    <w:rsid w:val="002D3762"/>
    <w:rsid w:val="002D3C9C"/>
    <w:rsid w:val="002D4E94"/>
    <w:rsid w:val="002D6078"/>
    <w:rsid w:val="002D68AB"/>
    <w:rsid w:val="002D716D"/>
    <w:rsid w:val="002E04E7"/>
    <w:rsid w:val="002E0855"/>
    <w:rsid w:val="002E0C6D"/>
    <w:rsid w:val="002E0CEB"/>
    <w:rsid w:val="002E1A9D"/>
    <w:rsid w:val="002E1AF1"/>
    <w:rsid w:val="002E1F5D"/>
    <w:rsid w:val="002E304A"/>
    <w:rsid w:val="002E48FE"/>
    <w:rsid w:val="002E5778"/>
    <w:rsid w:val="002E6C02"/>
    <w:rsid w:val="002F12EE"/>
    <w:rsid w:val="002F13A0"/>
    <w:rsid w:val="002F1B4C"/>
    <w:rsid w:val="002F1F36"/>
    <w:rsid w:val="002F20D0"/>
    <w:rsid w:val="002F2D7C"/>
    <w:rsid w:val="002F2F18"/>
    <w:rsid w:val="002F445C"/>
    <w:rsid w:val="002F7934"/>
    <w:rsid w:val="00301DE7"/>
    <w:rsid w:val="00302E15"/>
    <w:rsid w:val="00302E64"/>
    <w:rsid w:val="00304947"/>
    <w:rsid w:val="00304F02"/>
    <w:rsid w:val="003057E7"/>
    <w:rsid w:val="00305DED"/>
    <w:rsid w:val="00306703"/>
    <w:rsid w:val="00311EBE"/>
    <w:rsid w:val="00312080"/>
    <w:rsid w:val="00312F1B"/>
    <w:rsid w:val="003148BD"/>
    <w:rsid w:val="00315702"/>
    <w:rsid w:val="00317095"/>
    <w:rsid w:val="003171EE"/>
    <w:rsid w:val="00317BDC"/>
    <w:rsid w:val="00320999"/>
    <w:rsid w:val="00320FF3"/>
    <w:rsid w:val="00321B58"/>
    <w:rsid w:val="00321CB9"/>
    <w:rsid w:val="0032263B"/>
    <w:rsid w:val="00322805"/>
    <w:rsid w:val="0032431E"/>
    <w:rsid w:val="00325579"/>
    <w:rsid w:val="00325E49"/>
    <w:rsid w:val="00326B28"/>
    <w:rsid w:val="00327846"/>
    <w:rsid w:val="00331C71"/>
    <w:rsid w:val="0033238D"/>
    <w:rsid w:val="003327EF"/>
    <w:rsid w:val="00332841"/>
    <w:rsid w:val="00332D43"/>
    <w:rsid w:val="00334DA6"/>
    <w:rsid w:val="00335B71"/>
    <w:rsid w:val="00336DB0"/>
    <w:rsid w:val="00336DEF"/>
    <w:rsid w:val="00340439"/>
    <w:rsid w:val="00340B4E"/>
    <w:rsid w:val="003413B3"/>
    <w:rsid w:val="00341A41"/>
    <w:rsid w:val="00342C49"/>
    <w:rsid w:val="003437EB"/>
    <w:rsid w:val="00343D1E"/>
    <w:rsid w:val="003442DB"/>
    <w:rsid w:val="003453B4"/>
    <w:rsid w:val="003461DD"/>
    <w:rsid w:val="003468AD"/>
    <w:rsid w:val="00346F26"/>
    <w:rsid w:val="00347ECD"/>
    <w:rsid w:val="00350152"/>
    <w:rsid w:val="00351138"/>
    <w:rsid w:val="00351322"/>
    <w:rsid w:val="003530AB"/>
    <w:rsid w:val="003535AD"/>
    <w:rsid w:val="003535B0"/>
    <w:rsid w:val="003549D3"/>
    <w:rsid w:val="00355A41"/>
    <w:rsid w:val="00356664"/>
    <w:rsid w:val="00356C14"/>
    <w:rsid w:val="00360998"/>
    <w:rsid w:val="003638EA"/>
    <w:rsid w:val="00363E23"/>
    <w:rsid w:val="0036473D"/>
    <w:rsid w:val="00365512"/>
    <w:rsid w:val="00365DB1"/>
    <w:rsid w:val="00366A8B"/>
    <w:rsid w:val="00366BB0"/>
    <w:rsid w:val="00366DB5"/>
    <w:rsid w:val="003674F2"/>
    <w:rsid w:val="00370460"/>
    <w:rsid w:val="00373650"/>
    <w:rsid w:val="003750DA"/>
    <w:rsid w:val="00376614"/>
    <w:rsid w:val="00376ACD"/>
    <w:rsid w:val="00377760"/>
    <w:rsid w:val="00377FC5"/>
    <w:rsid w:val="00380783"/>
    <w:rsid w:val="0038119F"/>
    <w:rsid w:val="003816DE"/>
    <w:rsid w:val="00381A45"/>
    <w:rsid w:val="00382BA1"/>
    <w:rsid w:val="00383671"/>
    <w:rsid w:val="003840A5"/>
    <w:rsid w:val="00384D24"/>
    <w:rsid w:val="00385F45"/>
    <w:rsid w:val="00386AC0"/>
    <w:rsid w:val="00386F5B"/>
    <w:rsid w:val="003903BF"/>
    <w:rsid w:val="00390787"/>
    <w:rsid w:val="00390DA9"/>
    <w:rsid w:val="003923D3"/>
    <w:rsid w:val="00392B4E"/>
    <w:rsid w:val="00394D0C"/>
    <w:rsid w:val="00395100"/>
    <w:rsid w:val="0039744D"/>
    <w:rsid w:val="003A0416"/>
    <w:rsid w:val="003A0970"/>
    <w:rsid w:val="003A15AB"/>
    <w:rsid w:val="003A24B9"/>
    <w:rsid w:val="003A2CF2"/>
    <w:rsid w:val="003A2D81"/>
    <w:rsid w:val="003A3FE4"/>
    <w:rsid w:val="003A4114"/>
    <w:rsid w:val="003A5C85"/>
    <w:rsid w:val="003A64B1"/>
    <w:rsid w:val="003A6A6B"/>
    <w:rsid w:val="003B019E"/>
    <w:rsid w:val="003B0D97"/>
    <w:rsid w:val="003B0F85"/>
    <w:rsid w:val="003B223A"/>
    <w:rsid w:val="003B32C5"/>
    <w:rsid w:val="003B51AC"/>
    <w:rsid w:val="003B6007"/>
    <w:rsid w:val="003B7430"/>
    <w:rsid w:val="003B7D6C"/>
    <w:rsid w:val="003C118C"/>
    <w:rsid w:val="003C1850"/>
    <w:rsid w:val="003C1C34"/>
    <w:rsid w:val="003C20EE"/>
    <w:rsid w:val="003C4250"/>
    <w:rsid w:val="003C564F"/>
    <w:rsid w:val="003C6041"/>
    <w:rsid w:val="003D20AF"/>
    <w:rsid w:val="003D26E5"/>
    <w:rsid w:val="003D34BC"/>
    <w:rsid w:val="003D3893"/>
    <w:rsid w:val="003D4690"/>
    <w:rsid w:val="003D4AAC"/>
    <w:rsid w:val="003D5032"/>
    <w:rsid w:val="003D6009"/>
    <w:rsid w:val="003D67AD"/>
    <w:rsid w:val="003D6DAE"/>
    <w:rsid w:val="003D6E28"/>
    <w:rsid w:val="003D728F"/>
    <w:rsid w:val="003D7609"/>
    <w:rsid w:val="003E2FE4"/>
    <w:rsid w:val="003E33FB"/>
    <w:rsid w:val="003E3E56"/>
    <w:rsid w:val="003E6725"/>
    <w:rsid w:val="003E6B60"/>
    <w:rsid w:val="003E6E46"/>
    <w:rsid w:val="003E6E4F"/>
    <w:rsid w:val="003F06DA"/>
    <w:rsid w:val="003F0CA1"/>
    <w:rsid w:val="003F22E4"/>
    <w:rsid w:val="003F2F1A"/>
    <w:rsid w:val="003F3A08"/>
    <w:rsid w:val="003F3A3E"/>
    <w:rsid w:val="003F4EEA"/>
    <w:rsid w:val="003F50FB"/>
    <w:rsid w:val="003F53DE"/>
    <w:rsid w:val="003F5966"/>
    <w:rsid w:val="003F6001"/>
    <w:rsid w:val="003F6F9D"/>
    <w:rsid w:val="003F7CB2"/>
    <w:rsid w:val="00400835"/>
    <w:rsid w:val="0040200C"/>
    <w:rsid w:val="00402619"/>
    <w:rsid w:val="00402A2A"/>
    <w:rsid w:val="00402CB2"/>
    <w:rsid w:val="004034E2"/>
    <w:rsid w:val="00403E8C"/>
    <w:rsid w:val="004045EB"/>
    <w:rsid w:val="004052E6"/>
    <w:rsid w:val="00405F3D"/>
    <w:rsid w:val="00406216"/>
    <w:rsid w:val="00407270"/>
    <w:rsid w:val="00410B42"/>
    <w:rsid w:val="00411C16"/>
    <w:rsid w:val="004122F4"/>
    <w:rsid w:val="00413104"/>
    <w:rsid w:val="00413738"/>
    <w:rsid w:val="0042026E"/>
    <w:rsid w:val="00420366"/>
    <w:rsid w:val="00420DE8"/>
    <w:rsid w:val="00421D08"/>
    <w:rsid w:val="00423905"/>
    <w:rsid w:val="00424DB9"/>
    <w:rsid w:val="0042603E"/>
    <w:rsid w:val="0042685A"/>
    <w:rsid w:val="004305AD"/>
    <w:rsid w:val="00431240"/>
    <w:rsid w:val="00434729"/>
    <w:rsid w:val="0043730C"/>
    <w:rsid w:val="00440313"/>
    <w:rsid w:val="004405D2"/>
    <w:rsid w:val="004405DB"/>
    <w:rsid w:val="0044149E"/>
    <w:rsid w:val="0044387A"/>
    <w:rsid w:val="00444819"/>
    <w:rsid w:val="00446BA0"/>
    <w:rsid w:val="0044761A"/>
    <w:rsid w:val="00447DFE"/>
    <w:rsid w:val="00452046"/>
    <w:rsid w:val="00452392"/>
    <w:rsid w:val="00453004"/>
    <w:rsid w:val="00453E0B"/>
    <w:rsid w:val="0045450C"/>
    <w:rsid w:val="00455DC3"/>
    <w:rsid w:val="00456C14"/>
    <w:rsid w:val="004570DC"/>
    <w:rsid w:val="00460EBB"/>
    <w:rsid w:val="004614CC"/>
    <w:rsid w:val="004618D4"/>
    <w:rsid w:val="004619CE"/>
    <w:rsid w:val="00461A0E"/>
    <w:rsid w:val="00461A40"/>
    <w:rsid w:val="004646F7"/>
    <w:rsid w:val="00465D81"/>
    <w:rsid w:val="00467473"/>
    <w:rsid w:val="0047118F"/>
    <w:rsid w:val="004733DF"/>
    <w:rsid w:val="00474742"/>
    <w:rsid w:val="0047495D"/>
    <w:rsid w:val="00475704"/>
    <w:rsid w:val="00475F06"/>
    <w:rsid w:val="00476AF8"/>
    <w:rsid w:val="00476D8E"/>
    <w:rsid w:val="00481D61"/>
    <w:rsid w:val="00484EE2"/>
    <w:rsid w:val="00485496"/>
    <w:rsid w:val="004855C5"/>
    <w:rsid w:val="004856DE"/>
    <w:rsid w:val="00485B00"/>
    <w:rsid w:val="004870D8"/>
    <w:rsid w:val="00487B2B"/>
    <w:rsid w:val="004913CD"/>
    <w:rsid w:val="004913E3"/>
    <w:rsid w:val="0049274F"/>
    <w:rsid w:val="00492892"/>
    <w:rsid w:val="00493012"/>
    <w:rsid w:val="004934AF"/>
    <w:rsid w:val="00496B41"/>
    <w:rsid w:val="00496FD8"/>
    <w:rsid w:val="004A188F"/>
    <w:rsid w:val="004A22AD"/>
    <w:rsid w:val="004A2A71"/>
    <w:rsid w:val="004A2A9E"/>
    <w:rsid w:val="004A31C0"/>
    <w:rsid w:val="004A463C"/>
    <w:rsid w:val="004A5748"/>
    <w:rsid w:val="004A5AB6"/>
    <w:rsid w:val="004A61DF"/>
    <w:rsid w:val="004A6CDD"/>
    <w:rsid w:val="004B0B3C"/>
    <w:rsid w:val="004B1CB1"/>
    <w:rsid w:val="004B42A0"/>
    <w:rsid w:val="004B557F"/>
    <w:rsid w:val="004C0031"/>
    <w:rsid w:val="004C079D"/>
    <w:rsid w:val="004C0D4A"/>
    <w:rsid w:val="004C1002"/>
    <w:rsid w:val="004C151F"/>
    <w:rsid w:val="004C1FDD"/>
    <w:rsid w:val="004C32BF"/>
    <w:rsid w:val="004C4A6F"/>
    <w:rsid w:val="004C6C49"/>
    <w:rsid w:val="004C7778"/>
    <w:rsid w:val="004C7865"/>
    <w:rsid w:val="004C7CD6"/>
    <w:rsid w:val="004D1A1F"/>
    <w:rsid w:val="004D1FA0"/>
    <w:rsid w:val="004D283D"/>
    <w:rsid w:val="004D2A4D"/>
    <w:rsid w:val="004D3942"/>
    <w:rsid w:val="004D3AF6"/>
    <w:rsid w:val="004D3D89"/>
    <w:rsid w:val="004D3F98"/>
    <w:rsid w:val="004D454D"/>
    <w:rsid w:val="004D5032"/>
    <w:rsid w:val="004D6EA9"/>
    <w:rsid w:val="004D77A5"/>
    <w:rsid w:val="004D7A8A"/>
    <w:rsid w:val="004E33F6"/>
    <w:rsid w:val="004E400D"/>
    <w:rsid w:val="004E44DD"/>
    <w:rsid w:val="004E4FF7"/>
    <w:rsid w:val="004E6386"/>
    <w:rsid w:val="004E7618"/>
    <w:rsid w:val="004F181F"/>
    <w:rsid w:val="004F19D2"/>
    <w:rsid w:val="004F20D6"/>
    <w:rsid w:val="004F3DB8"/>
    <w:rsid w:val="004F411B"/>
    <w:rsid w:val="004F4582"/>
    <w:rsid w:val="004F4C77"/>
    <w:rsid w:val="004F4EE2"/>
    <w:rsid w:val="004F56E7"/>
    <w:rsid w:val="005003A0"/>
    <w:rsid w:val="00501C60"/>
    <w:rsid w:val="00501E16"/>
    <w:rsid w:val="00502C85"/>
    <w:rsid w:val="00505AF3"/>
    <w:rsid w:val="0050601E"/>
    <w:rsid w:val="005060D3"/>
    <w:rsid w:val="0050646D"/>
    <w:rsid w:val="0050672D"/>
    <w:rsid w:val="00506A15"/>
    <w:rsid w:val="00510269"/>
    <w:rsid w:val="005112B7"/>
    <w:rsid w:val="00511C88"/>
    <w:rsid w:val="00511CD4"/>
    <w:rsid w:val="00512AD6"/>
    <w:rsid w:val="0051344D"/>
    <w:rsid w:val="00513733"/>
    <w:rsid w:val="00513DA6"/>
    <w:rsid w:val="0051441B"/>
    <w:rsid w:val="00514D31"/>
    <w:rsid w:val="0051597C"/>
    <w:rsid w:val="00515B74"/>
    <w:rsid w:val="00517A27"/>
    <w:rsid w:val="00517B0B"/>
    <w:rsid w:val="00520529"/>
    <w:rsid w:val="00520568"/>
    <w:rsid w:val="00520DFB"/>
    <w:rsid w:val="00523BC8"/>
    <w:rsid w:val="005247DE"/>
    <w:rsid w:val="00524A44"/>
    <w:rsid w:val="00524B2E"/>
    <w:rsid w:val="0052507B"/>
    <w:rsid w:val="0052689F"/>
    <w:rsid w:val="0053127D"/>
    <w:rsid w:val="005322EC"/>
    <w:rsid w:val="00532D3C"/>
    <w:rsid w:val="00532FF4"/>
    <w:rsid w:val="00534216"/>
    <w:rsid w:val="00534ACC"/>
    <w:rsid w:val="00541B7A"/>
    <w:rsid w:val="005426A7"/>
    <w:rsid w:val="00544AFE"/>
    <w:rsid w:val="00544B9F"/>
    <w:rsid w:val="0054597F"/>
    <w:rsid w:val="00545987"/>
    <w:rsid w:val="00545ABA"/>
    <w:rsid w:val="00545B56"/>
    <w:rsid w:val="00545CC7"/>
    <w:rsid w:val="005473D6"/>
    <w:rsid w:val="005505BF"/>
    <w:rsid w:val="005519CE"/>
    <w:rsid w:val="005519F7"/>
    <w:rsid w:val="00551F6B"/>
    <w:rsid w:val="005533E8"/>
    <w:rsid w:val="00554857"/>
    <w:rsid w:val="005557A6"/>
    <w:rsid w:val="00555D35"/>
    <w:rsid w:val="00556AD6"/>
    <w:rsid w:val="00556BAE"/>
    <w:rsid w:val="005602FB"/>
    <w:rsid w:val="00560E31"/>
    <w:rsid w:val="00561591"/>
    <w:rsid w:val="005615EB"/>
    <w:rsid w:val="00562EE9"/>
    <w:rsid w:val="0056326B"/>
    <w:rsid w:val="005643B9"/>
    <w:rsid w:val="00565915"/>
    <w:rsid w:val="0056679F"/>
    <w:rsid w:val="005671A9"/>
    <w:rsid w:val="005713C0"/>
    <w:rsid w:val="00573DCF"/>
    <w:rsid w:val="00574338"/>
    <w:rsid w:val="00574DBE"/>
    <w:rsid w:val="005751CB"/>
    <w:rsid w:val="00575A85"/>
    <w:rsid w:val="00576557"/>
    <w:rsid w:val="00576D40"/>
    <w:rsid w:val="00576E1A"/>
    <w:rsid w:val="005772AE"/>
    <w:rsid w:val="00577667"/>
    <w:rsid w:val="00577971"/>
    <w:rsid w:val="00577E09"/>
    <w:rsid w:val="005810CD"/>
    <w:rsid w:val="00581230"/>
    <w:rsid w:val="0058208E"/>
    <w:rsid w:val="00582567"/>
    <w:rsid w:val="005839E3"/>
    <w:rsid w:val="0058598B"/>
    <w:rsid w:val="00586E7E"/>
    <w:rsid w:val="0058752F"/>
    <w:rsid w:val="0059104E"/>
    <w:rsid w:val="00592CF0"/>
    <w:rsid w:val="0059342B"/>
    <w:rsid w:val="00593491"/>
    <w:rsid w:val="005939C9"/>
    <w:rsid w:val="00595A4B"/>
    <w:rsid w:val="00595D81"/>
    <w:rsid w:val="005965D2"/>
    <w:rsid w:val="00596A41"/>
    <w:rsid w:val="00596B0A"/>
    <w:rsid w:val="005A0223"/>
    <w:rsid w:val="005A2F9D"/>
    <w:rsid w:val="005A4976"/>
    <w:rsid w:val="005A5346"/>
    <w:rsid w:val="005A5FAB"/>
    <w:rsid w:val="005A61EB"/>
    <w:rsid w:val="005A62E8"/>
    <w:rsid w:val="005A6E38"/>
    <w:rsid w:val="005B0B2C"/>
    <w:rsid w:val="005B0B62"/>
    <w:rsid w:val="005B13A0"/>
    <w:rsid w:val="005B13F6"/>
    <w:rsid w:val="005B6D8F"/>
    <w:rsid w:val="005B74A7"/>
    <w:rsid w:val="005C04C0"/>
    <w:rsid w:val="005C0B4A"/>
    <w:rsid w:val="005C165C"/>
    <w:rsid w:val="005C210D"/>
    <w:rsid w:val="005C22C3"/>
    <w:rsid w:val="005C274B"/>
    <w:rsid w:val="005C36B7"/>
    <w:rsid w:val="005C4A89"/>
    <w:rsid w:val="005C513D"/>
    <w:rsid w:val="005C647F"/>
    <w:rsid w:val="005C762E"/>
    <w:rsid w:val="005D1283"/>
    <w:rsid w:val="005D28E2"/>
    <w:rsid w:val="005D2E88"/>
    <w:rsid w:val="005D38CC"/>
    <w:rsid w:val="005D4855"/>
    <w:rsid w:val="005D4ED7"/>
    <w:rsid w:val="005D5831"/>
    <w:rsid w:val="005D6A2C"/>
    <w:rsid w:val="005D7A33"/>
    <w:rsid w:val="005E03A2"/>
    <w:rsid w:val="005E04DB"/>
    <w:rsid w:val="005E290D"/>
    <w:rsid w:val="005E2F94"/>
    <w:rsid w:val="005E5921"/>
    <w:rsid w:val="005E6771"/>
    <w:rsid w:val="005E6D93"/>
    <w:rsid w:val="005E7C24"/>
    <w:rsid w:val="005F03B8"/>
    <w:rsid w:val="005F10F8"/>
    <w:rsid w:val="005F193D"/>
    <w:rsid w:val="005F204E"/>
    <w:rsid w:val="005F20C8"/>
    <w:rsid w:val="005F3204"/>
    <w:rsid w:val="005F3505"/>
    <w:rsid w:val="005F4169"/>
    <w:rsid w:val="005F4276"/>
    <w:rsid w:val="005F5078"/>
    <w:rsid w:val="005F5FF3"/>
    <w:rsid w:val="005F6108"/>
    <w:rsid w:val="005F7FDE"/>
    <w:rsid w:val="00600208"/>
    <w:rsid w:val="006012BF"/>
    <w:rsid w:val="00603EA4"/>
    <w:rsid w:val="00604E81"/>
    <w:rsid w:val="006057F5"/>
    <w:rsid w:val="006063EF"/>
    <w:rsid w:val="00606B9D"/>
    <w:rsid w:val="006104F5"/>
    <w:rsid w:val="0061195D"/>
    <w:rsid w:val="00612382"/>
    <w:rsid w:val="0061359C"/>
    <w:rsid w:val="00613CE9"/>
    <w:rsid w:val="00613D99"/>
    <w:rsid w:val="00614585"/>
    <w:rsid w:val="006150E7"/>
    <w:rsid w:val="006153CB"/>
    <w:rsid w:val="00617DB2"/>
    <w:rsid w:val="006202BB"/>
    <w:rsid w:val="00620779"/>
    <w:rsid w:val="006219F0"/>
    <w:rsid w:val="00622BD8"/>
    <w:rsid w:val="00623820"/>
    <w:rsid w:val="00624F84"/>
    <w:rsid w:val="00625123"/>
    <w:rsid w:val="00625D9F"/>
    <w:rsid w:val="00626BA2"/>
    <w:rsid w:val="00631988"/>
    <w:rsid w:val="00631E7E"/>
    <w:rsid w:val="00632FA2"/>
    <w:rsid w:val="006333B0"/>
    <w:rsid w:val="006374F9"/>
    <w:rsid w:val="006401E6"/>
    <w:rsid w:val="00641F44"/>
    <w:rsid w:val="00642642"/>
    <w:rsid w:val="00644525"/>
    <w:rsid w:val="00646CE5"/>
    <w:rsid w:val="0064791E"/>
    <w:rsid w:val="00650A7D"/>
    <w:rsid w:val="00651906"/>
    <w:rsid w:val="00652C89"/>
    <w:rsid w:val="00653472"/>
    <w:rsid w:val="006547BE"/>
    <w:rsid w:val="006548A3"/>
    <w:rsid w:val="006557F4"/>
    <w:rsid w:val="00657EFE"/>
    <w:rsid w:val="006604CC"/>
    <w:rsid w:val="00660A09"/>
    <w:rsid w:val="00661B84"/>
    <w:rsid w:val="0066318C"/>
    <w:rsid w:val="00663CE2"/>
    <w:rsid w:val="006644FF"/>
    <w:rsid w:val="00664B88"/>
    <w:rsid w:val="006659FB"/>
    <w:rsid w:val="00666D8B"/>
    <w:rsid w:val="00666D9C"/>
    <w:rsid w:val="006700F3"/>
    <w:rsid w:val="00670833"/>
    <w:rsid w:val="0067098C"/>
    <w:rsid w:val="00670CB9"/>
    <w:rsid w:val="006719DD"/>
    <w:rsid w:val="00672850"/>
    <w:rsid w:val="006732D9"/>
    <w:rsid w:val="00675D33"/>
    <w:rsid w:val="006761AE"/>
    <w:rsid w:val="0067629B"/>
    <w:rsid w:val="0067665C"/>
    <w:rsid w:val="00676A8A"/>
    <w:rsid w:val="00677C9D"/>
    <w:rsid w:val="006836CE"/>
    <w:rsid w:val="00683C1B"/>
    <w:rsid w:val="00684387"/>
    <w:rsid w:val="006849A1"/>
    <w:rsid w:val="0068572C"/>
    <w:rsid w:val="0068624C"/>
    <w:rsid w:val="00686BA4"/>
    <w:rsid w:val="00690C38"/>
    <w:rsid w:val="006911B4"/>
    <w:rsid w:val="0069290D"/>
    <w:rsid w:val="00692A45"/>
    <w:rsid w:val="00694FAD"/>
    <w:rsid w:val="00696E56"/>
    <w:rsid w:val="00697755"/>
    <w:rsid w:val="00697C66"/>
    <w:rsid w:val="006A0DD7"/>
    <w:rsid w:val="006A1534"/>
    <w:rsid w:val="006A1E05"/>
    <w:rsid w:val="006A22C5"/>
    <w:rsid w:val="006A27AF"/>
    <w:rsid w:val="006A2B58"/>
    <w:rsid w:val="006A2FA9"/>
    <w:rsid w:val="006A39F2"/>
    <w:rsid w:val="006A3C01"/>
    <w:rsid w:val="006A66BD"/>
    <w:rsid w:val="006A7819"/>
    <w:rsid w:val="006B1ECB"/>
    <w:rsid w:val="006B2BA0"/>
    <w:rsid w:val="006B3996"/>
    <w:rsid w:val="006B3AF3"/>
    <w:rsid w:val="006C0553"/>
    <w:rsid w:val="006C1149"/>
    <w:rsid w:val="006C2547"/>
    <w:rsid w:val="006C25B5"/>
    <w:rsid w:val="006C3A64"/>
    <w:rsid w:val="006C3ADD"/>
    <w:rsid w:val="006C4288"/>
    <w:rsid w:val="006C619E"/>
    <w:rsid w:val="006C644C"/>
    <w:rsid w:val="006C671C"/>
    <w:rsid w:val="006D0CB1"/>
    <w:rsid w:val="006D12E6"/>
    <w:rsid w:val="006D1E5D"/>
    <w:rsid w:val="006D29F7"/>
    <w:rsid w:val="006D4DEA"/>
    <w:rsid w:val="006D584E"/>
    <w:rsid w:val="006D5C91"/>
    <w:rsid w:val="006D5EB6"/>
    <w:rsid w:val="006D5F63"/>
    <w:rsid w:val="006D635D"/>
    <w:rsid w:val="006E0722"/>
    <w:rsid w:val="006E1197"/>
    <w:rsid w:val="006E180B"/>
    <w:rsid w:val="006E1BFB"/>
    <w:rsid w:val="006E1C87"/>
    <w:rsid w:val="006E2106"/>
    <w:rsid w:val="006E3DC5"/>
    <w:rsid w:val="006E457F"/>
    <w:rsid w:val="006E469D"/>
    <w:rsid w:val="006E4832"/>
    <w:rsid w:val="006E6207"/>
    <w:rsid w:val="006E71A6"/>
    <w:rsid w:val="006F1983"/>
    <w:rsid w:val="006F2920"/>
    <w:rsid w:val="006F2D20"/>
    <w:rsid w:val="006F3FA2"/>
    <w:rsid w:val="006F4A98"/>
    <w:rsid w:val="006F4C78"/>
    <w:rsid w:val="006F54CF"/>
    <w:rsid w:val="006F58BA"/>
    <w:rsid w:val="006F5CC4"/>
    <w:rsid w:val="006F6289"/>
    <w:rsid w:val="00701BC8"/>
    <w:rsid w:val="0070238D"/>
    <w:rsid w:val="0070315F"/>
    <w:rsid w:val="00710631"/>
    <w:rsid w:val="0071176E"/>
    <w:rsid w:val="00712FE1"/>
    <w:rsid w:val="007138B9"/>
    <w:rsid w:val="0071483C"/>
    <w:rsid w:val="0071496F"/>
    <w:rsid w:val="00715A97"/>
    <w:rsid w:val="007164CC"/>
    <w:rsid w:val="00717E20"/>
    <w:rsid w:val="00717F50"/>
    <w:rsid w:val="0072154D"/>
    <w:rsid w:val="00721A8D"/>
    <w:rsid w:val="0072247D"/>
    <w:rsid w:val="00723602"/>
    <w:rsid w:val="00723854"/>
    <w:rsid w:val="00724284"/>
    <w:rsid w:val="007243F3"/>
    <w:rsid w:val="0072571A"/>
    <w:rsid w:val="00726CFF"/>
    <w:rsid w:val="007303C1"/>
    <w:rsid w:val="007309B9"/>
    <w:rsid w:val="00731798"/>
    <w:rsid w:val="007327E3"/>
    <w:rsid w:val="00732A5C"/>
    <w:rsid w:val="00732FE0"/>
    <w:rsid w:val="007341BE"/>
    <w:rsid w:val="00735B05"/>
    <w:rsid w:val="00735CB4"/>
    <w:rsid w:val="00736996"/>
    <w:rsid w:val="00737E0E"/>
    <w:rsid w:val="00737F25"/>
    <w:rsid w:val="0074168D"/>
    <w:rsid w:val="00741BE9"/>
    <w:rsid w:val="00741CC9"/>
    <w:rsid w:val="00742795"/>
    <w:rsid w:val="0074289C"/>
    <w:rsid w:val="007429FF"/>
    <w:rsid w:val="00742F2D"/>
    <w:rsid w:val="00743CA9"/>
    <w:rsid w:val="00744DBC"/>
    <w:rsid w:val="007457D7"/>
    <w:rsid w:val="00747260"/>
    <w:rsid w:val="007479E3"/>
    <w:rsid w:val="00750C56"/>
    <w:rsid w:val="00752748"/>
    <w:rsid w:val="00753588"/>
    <w:rsid w:val="007536EF"/>
    <w:rsid w:val="00754642"/>
    <w:rsid w:val="00754C14"/>
    <w:rsid w:val="00754F4A"/>
    <w:rsid w:val="00755864"/>
    <w:rsid w:val="00755C41"/>
    <w:rsid w:val="007560C8"/>
    <w:rsid w:val="007568BA"/>
    <w:rsid w:val="00756E08"/>
    <w:rsid w:val="00760365"/>
    <w:rsid w:val="007605AA"/>
    <w:rsid w:val="0076109D"/>
    <w:rsid w:val="0076123D"/>
    <w:rsid w:val="007634B8"/>
    <w:rsid w:val="00765FAB"/>
    <w:rsid w:val="00766000"/>
    <w:rsid w:val="007662B2"/>
    <w:rsid w:val="00766BC1"/>
    <w:rsid w:val="0077089C"/>
    <w:rsid w:val="00770902"/>
    <w:rsid w:val="00771822"/>
    <w:rsid w:val="007722D4"/>
    <w:rsid w:val="00772521"/>
    <w:rsid w:val="00772607"/>
    <w:rsid w:val="00773630"/>
    <w:rsid w:val="00773936"/>
    <w:rsid w:val="007769B1"/>
    <w:rsid w:val="00777955"/>
    <w:rsid w:val="00780038"/>
    <w:rsid w:val="00780FB1"/>
    <w:rsid w:val="007822B3"/>
    <w:rsid w:val="00782FFB"/>
    <w:rsid w:val="0078483F"/>
    <w:rsid w:val="00785C8B"/>
    <w:rsid w:val="00790B75"/>
    <w:rsid w:val="00790C6D"/>
    <w:rsid w:val="00792208"/>
    <w:rsid w:val="007923F8"/>
    <w:rsid w:val="00792EF1"/>
    <w:rsid w:val="00793F3B"/>
    <w:rsid w:val="00797361"/>
    <w:rsid w:val="00797DBE"/>
    <w:rsid w:val="007A0331"/>
    <w:rsid w:val="007A2DBA"/>
    <w:rsid w:val="007A391C"/>
    <w:rsid w:val="007A39EA"/>
    <w:rsid w:val="007A4330"/>
    <w:rsid w:val="007A4D74"/>
    <w:rsid w:val="007A5CA2"/>
    <w:rsid w:val="007A6856"/>
    <w:rsid w:val="007A71CA"/>
    <w:rsid w:val="007A74E4"/>
    <w:rsid w:val="007A79FC"/>
    <w:rsid w:val="007B02ED"/>
    <w:rsid w:val="007B128A"/>
    <w:rsid w:val="007B2C3F"/>
    <w:rsid w:val="007B3207"/>
    <w:rsid w:val="007B3432"/>
    <w:rsid w:val="007B4302"/>
    <w:rsid w:val="007B4491"/>
    <w:rsid w:val="007B50B9"/>
    <w:rsid w:val="007B67AA"/>
    <w:rsid w:val="007B7551"/>
    <w:rsid w:val="007C1389"/>
    <w:rsid w:val="007C1A38"/>
    <w:rsid w:val="007C397A"/>
    <w:rsid w:val="007C5D0A"/>
    <w:rsid w:val="007D2768"/>
    <w:rsid w:val="007D48C7"/>
    <w:rsid w:val="007D5515"/>
    <w:rsid w:val="007D7ACA"/>
    <w:rsid w:val="007E02B1"/>
    <w:rsid w:val="007E0879"/>
    <w:rsid w:val="007E0D7C"/>
    <w:rsid w:val="007E18ED"/>
    <w:rsid w:val="007E1CB6"/>
    <w:rsid w:val="007E1F67"/>
    <w:rsid w:val="007E214E"/>
    <w:rsid w:val="007E2485"/>
    <w:rsid w:val="007E2B1E"/>
    <w:rsid w:val="007E362F"/>
    <w:rsid w:val="007E368F"/>
    <w:rsid w:val="007E4004"/>
    <w:rsid w:val="007E44F2"/>
    <w:rsid w:val="007E4D21"/>
    <w:rsid w:val="007E5095"/>
    <w:rsid w:val="007E6668"/>
    <w:rsid w:val="007E66B5"/>
    <w:rsid w:val="007F09EB"/>
    <w:rsid w:val="007F0C0B"/>
    <w:rsid w:val="007F1CA0"/>
    <w:rsid w:val="007F2B15"/>
    <w:rsid w:val="007F4A1D"/>
    <w:rsid w:val="007F4DBA"/>
    <w:rsid w:val="007F4F0F"/>
    <w:rsid w:val="007F5DB3"/>
    <w:rsid w:val="007F5F7E"/>
    <w:rsid w:val="007F680C"/>
    <w:rsid w:val="00800559"/>
    <w:rsid w:val="008013E9"/>
    <w:rsid w:val="00801ADE"/>
    <w:rsid w:val="00801FD8"/>
    <w:rsid w:val="0080348C"/>
    <w:rsid w:val="0080391B"/>
    <w:rsid w:val="008041A6"/>
    <w:rsid w:val="00805739"/>
    <w:rsid w:val="00806672"/>
    <w:rsid w:val="00807999"/>
    <w:rsid w:val="00813A7A"/>
    <w:rsid w:val="00814AD3"/>
    <w:rsid w:val="00814DD8"/>
    <w:rsid w:val="00816511"/>
    <w:rsid w:val="00817288"/>
    <w:rsid w:val="008176C7"/>
    <w:rsid w:val="00820663"/>
    <w:rsid w:val="008212F5"/>
    <w:rsid w:val="008221F5"/>
    <w:rsid w:val="00824419"/>
    <w:rsid w:val="008262D7"/>
    <w:rsid w:val="00827554"/>
    <w:rsid w:val="00827CCD"/>
    <w:rsid w:val="00827D45"/>
    <w:rsid w:val="00831B36"/>
    <w:rsid w:val="00832C78"/>
    <w:rsid w:val="008344FF"/>
    <w:rsid w:val="00834962"/>
    <w:rsid w:val="008364B8"/>
    <w:rsid w:val="00836E22"/>
    <w:rsid w:val="00837491"/>
    <w:rsid w:val="00840502"/>
    <w:rsid w:val="008413CE"/>
    <w:rsid w:val="00842C55"/>
    <w:rsid w:val="00844D75"/>
    <w:rsid w:val="00846D69"/>
    <w:rsid w:val="00850ECA"/>
    <w:rsid w:val="00851A69"/>
    <w:rsid w:val="008522D3"/>
    <w:rsid w:val="008533C2"/>
    <w:rsid w:val="00853941"/>
    <w:rsid w:val="00853CEC"/>
    <w:rsid w:val="00854026"/>
    <w:rsid w:val="008540A7"/>
    <w:rsid w:val="0085423C"/>
    <w:rsid w:val="0085563A"/>
    <w:rsid w:val="00855BF9"/>
    <w:rsid w:val="00855D7D"/>
    <w:rsid w:val="0086007A"/>
    <w:rsid w:val="00860B43"/>
    <w:rsid w:val="00860F22"/>
    <w:rsid w:val="008625A0"/>
    <w:rsid w:val="0086466B"/>
    <w:rsid w:val="008658F1"/>
    <w:rsid w:val="00866B48"/>
    <w:rsid w:val="008671E8"/>
    <w:rsid w:val="00867E02"/>
    <w:rsid w:val="00870317"/>
    <w:rsid w:val="008711BB"/>
    <w:rsid w:val="0087151F"/>
    <w:rsid w:val="0087250F"/>
    <w:rsid w:val="0087368A"/>
    <w:rsid w:val="008738D9"/>
    <w:rsid w:val="00876578"/>
    <w:rsid w:val="0087683E"/>
    <w:rsid w:val="00876BBE"/>
    <w:rsid w:val="00876E9B"/>
    <w:rsid w:val="00877B2C"/>
    <w:rsid w:val="00877C46"/>
    <w:rsid w:val="008818F2"/>
    <w:rsid w:val="00881B4A"/>
    <w:rsid w:val="00882309"/>
    <w:rsid w:val="00883515"/>
    <w:rsid w:val="0088417D"/>
    <w:rsid w:val="00884480"/>
    <w:rsid w:val="00884D3B"/>
    <w:rsid w:val="00886EA3"/>
    <w:rsid w:val="00890EB0"/>
    <w:rsid w:val="008913EF"/>
    <w:rsid w:val="00893C31"/>
    <w:rsid w:val="008940FD"/>
    <w:rsid w:val="00894518"/>
    <w:rsid w:val="0089654E"/>
    <w:rsid w:val="008965A2"/>
    <w:rsid w:val="0089690D"/>
    <w:rsid w:val="00897694"/>
    <w:rsid w:val="008A4BAB"/>
    <w:rsid w:val="008A4D97"/>
    <w:rsid w:val="008A50FC"/>
    <w:rsid w:val="008A5754"/>
    <w:rsid w:val="008A6326"/>
    <w:rsid w:val="008A7D37"/>
    <w:rsid w:val="008B0782"/>
    <w:rsid w:val="008B3F68"/>
    <w:rsid w:val="008B46D3"/>
    <w:rsid w:val="008B5ADA"/>
    <w:rsid w:val="008B63F6"/>
    <w:rsid w:val="008B65D1"/>
    <w:rsid w:val="008B7156"/>
    <w:rsid w:val="008C051B"/>
    <w:rsid w:val="008C1318"/>
    <w:rsid w:val="008C30D7"/>
    <w:rsid w:val="008C58FA"/>
    <w:rsid w:val="008C65C8"/>
    <w:rsid w:val="008C6638"/>
    <w:rsid w:val="008C7C03"/>
    <w:rsid w:val="008D0CF0"/>
    <w:rsid w:val="008D6071"/>
    <w:rsid w:val="008D6373"/>
    <w:rsid w:val="008D734C"/>
    <w:rsid w:val="008D7373"/>
    <w:rsid w:val="008E06C1"/>
    <w:rsid w:val="008E0FAF"/>
    <w:rsid w:val="008E2E06"/>
    <w:rsid w:val="008E331C"/>
    <w:rsid w:val="008E7636"/>
    <w:rsid w:val="008E7C98"/>
    <w:rsid w:val="008F044A"/>
    <w:rsid w:val="008F0DD2"/>
    <w:rsid w:val="008F2772"/>
    <w:rsid w:val="008F2E31"/>
    <w:rsid w:val="008F3A47"/>
    <w:rsid w:val="008F7164"/>
    <w:rsid w:val="00901CDC"/>
    <w:rsid w:val="009032D7"/>
    <w:rsid w:val="00904041"/>
    <w:rsid w:val="00904707"/>
    <w:rsid w:val="0090599C"/>
    <w:rsid w:val="009064AF"/>
    <w:rsid w:val="00906586"/>
    <w:rsid w:val="00906E2F"/>
    <w:rsid w:val="00911A54"/>
    <w:rsid w:val="0091488A"/>
    <w:rsid w:val="009152F9"/>
    <w:rsid w:val="0091756F"/>
    <w:rsid w:val="00917716"/>
    <w:rsid w:val="00921AE3"/>
    <w:rsid w:val="009229D7"/>
    <w:rsid w:val="00922AA2"/>
    <w:rsid w:val="00922B4B"/>
    <w:rsid w:val="00923324"/>
    <w:rsid w:val="00924113"/>
    <w:rsid w:val="0092438A"/>
    <w:rsid w:val="0092564F"/>
    <w:rsid w:val="00925A07"/>
    <w:rsid w:val="009269E6"/>
    <w:rsid w:val="00927037"/>
    <w:rsid w:val="00927243"/>
    <w:rsid w:val="00931948"/>
    <w:rsid w:val="00931B85"/>
    <w:rsid w:val="00932186"/>
    <w:rsid w:val="00932C67"/>
    <w:rsid w:val="009333A7"/>
    <w:rsid w:val="0093371E"/>
    <w:rsid w:val="00936490"/>
    <w:rsid w:val="0094146E"/>
    <w:rsid w:val="00941F6C"/>
    <w:rsid w:val="00943590"/>
    <w:rsid w:val="0094556E"/>
    <w:rsid w:val="00946D82"/>
    <w:rsid w:val="0094739A"/>
    <w:rsid w:val="009507EB"/>
    <w:rsid w:val="00950834"/>
    <w:rsid w:val="00952D75"/>
    <w:rsid w:val="0095394C"/>
    <w:rsid w:val="009540C1"/>
    <w:rsid w:val="009546BA"/>
    <w:rsid w:val="009558B4"/>
    <w:rsid w:val="00956734"/>
    <w:rsid w:val="00957887"/>
    <w:rsid w:val="00957B9B"/>
    <w:rsid w:val="00957C03"/>
    <w:rsid w:val="00957D3E"/>
    <w:rsid w:val="009606FF"/>
    <w:rsid w:val="00960B3D"/>
    <w:rsid w:val="00960C99"/>
    <w:rsid w:val="00960F6A"/>
    <w:rsid w:val="00962E24"/>
    <w:rsid w:val="0096490E"/>
    <w:rsid w:val="00965006"/>
    <w:rsid w:val="00967A31"/>
    <w:rsid w:val="009702A1"/>
    <w:rsid w:val="00970574"/>
    <w:rsid w:val="00970A89"/>
    <w:rsid w:val="009726A5"/>
    <w:rsid w:val="009733E4"/>
    <w:rsid w:val="009756A8"/>
    <w:rsid w:val="009762D5"/>
    <w:rsid w:val="00976A23"/>
    <w:rsid w:val="0097751E"/>
    <w:rsid w:val="009805D8"/>
    <w:rsid w:val="00980B78"/>
    <w:rsid w:val="009813E2"/>
    <w:rsid w:val="009839FF"/>
    <w:rsid w:val="0098717F"/>
    <w:rsid w:val="00991239"/>
    <w:rsid w:val="0099262F"/>
    <w:rsid w:val="00994FED"/>
    <w:rsid w:val="00996A90"/>
    <w:rsid w:val="009970ED"/>
    <w:rsid w:val="00997AF7"/>
    <w:rsid w:val="009A15C9"/>
    <w:rsid w:val="009A1BDD"/>
    <w:rsid w:val="009A3576"/>
    <w:rsid w:val="009A537B"/>
    <w:rsid w:val="009A5BE9"/>
    <w:rsid w:val="009A67B3"/>
    <w:rsid w:val="009A6B80"/>
    <w:rsid w:val="009A7617"/>
    <w:rsid w:val="009B0852"/>
    <w:rsid w:val="009B0914"/>
    <w:rsid w:val="009B196C"/>
    <w:rsid w:val="009B1FE7"/>
    <w:rsid w:val="009B32DE"/>
    <w:rsid w:val="009B421F"/>
    <w:rsid w:val="009B4BD7"/>
    <w:rsid w:val="009B557D"/>
    <w:rsid w:val="009B6A79"/>
    <w:rsid w:val="009B76F8"/>
    <w:rsid w:val="009C0119"/>
    <w:rsid w:val="009C0CA5"/>
    <w:rsid w:val="009C0CE9"/>
    <w:rsid w:val="009C1FCE"/>
    <w:rsid w:val="009C2607"/>
    <w:rsid w:val="009C28ED"/>
    <w:rsid w:val="009C2BC0"/>
    <w:rsid w:val="009C43B5"/>
    <w:rsid w:val="009C58DA"/>
    <w:rsid w:val="009D148B"/>
    <w:rsid w:val="009D2292"/>
    <w:rsid w:val="009D2946"/>
    <w:rsid w:val="009D33E6"/>
    <w:rsid w:val="009D3594"/>
    <w:rsid w:val="009D3918"/>
    <w:rsid w:val="009D47B8"/>
    <w:rsid w:val="009D505B"/>
    <w:rsid w:val="009D5413"/>
    <w:rsid w:val="009D64AD"/>
    <w:rsid w:val="009D7C0B"/>
    <w:rsid w:val="009E01EC"/>
    <w:rsid w:val="009E08EC"/>
    <w:rsid w:val="009E1C16"/>
    <w:rsid w:val="009E233F"/>
    <w:rsid w:val="009E2617"/>
    <w:rsid w:val="009E6D1B"/>
    <w:rsid w:val="009F02F8"/>
    <w:rsid w:val="009F21D5"/>
    <w:rsid w:val="009F35E8"/>
    <w:rsid w:val="009F3906"/>
    <w:rsid w:val="009F489B"/>
    <w:rsid w:val="00A00698"/>
    <w:rsid w:val="00A00F76"/>
    <w:rsid w:val="00A0168F"/>
    <w:rsid w:val="00A022E3"/>
    <w:rsid w:val="00A05E29"/>
    <w:rsid w:val="00A05E3F"/>
    <w:rsid w:val="00A060EB"/>
    <w:rsid w:val="00A06533"/>
    <w:rsid w:val="00A0699E"/>
    <w:rsid w:val="00A069FD"/>
    <w:rsid w:val="00A10AFD"/>
    <w:rsid w:val="00A11691"/>
    <w:rsid w:val="00A11B44"/>
    <w:rsid w:val="00A11C17"/>
    <w:rsid w:val="00A11C84"/>
    <w:rsid w:val="00A12E98"/>
    <w:rsid w:val="00A13B61"/>
    <w:rsid w:val="00A1405C"/>
    <w:rsid w:val="00A1408B"/>
    <w:rsid w:val="00A17615"/>
    <w:rsid w:val="00A20A47"/>
    <w:rsid w:val="00A213E8"/>
    <w:rsid w:val="00A25C08"/>
    <w:rsid w:val="00A26131"/>
    <w:rsid w:val="00A2737A"/>
    <w:rsid w:val="00A310BC"/>
    <w:rsid w:val="00A3169D"/>
    <w:rsid w:val="00A322EA"/>
    <w:rsid w:val="00A32DBB"/>
    <w:rsid w:val="00A33A4B"/>
    <w:rsid w:val="00A34FA0"/>
    <w:rsid w:val="00A37F0E"/>
    <w:rsid w:val="00A40D63"/>
    <w:rsid w:val="00A41BF8"/>
    <w:rsid w:val="00A423D2"/>
    <w:rsid w:val="00A42949"/>
    <w:rsid w:val="00A42F65"/>
    <w:rsid w:val="00A463D9"/>
    <w:rsid w:val="00A464BE"/>
    <w:rsid w:val="00A505BA"/>
    <w:rsid w:val="00A50B59"/>
    <w:rsid w:val="00A51AB0"/>
    <w:rsid w:val="00A55F53"/>
    <w:rsid w:val="00A56B0C"/>
    <w:rsid w:val="00A56C73"/>
    <w:rsid w:val="00A56F88"/>
    <w:rsid w:val="00A5707C"/>
    <w:rsid w:val="00A5737D"/>
    <w:rsid w:val="00A57715"/>
    <w:rsid w:val="00A57844"/>
    <w:rsid w:val="00A6070B"/>
    <w:rsid w:val="00A60F92"/>
    <w:rsid w:val="00A619B1"/>
    <w:rsid w:val="00A628EE"/>
    <w:rsid w:val="00A63606"/>
    <w:rsid w:val="00A63B2E"/>
    <w:rsid w:val="00A63DC2"/>
    <w:rsid w:val="00A641F0"/>
    <w:rsid w:val="00A64B6E"/>
    <w:rsid w:val="00A6599B"/>
    <w:rsid w:val="00A70402"/>
    <w:rsid w:val="00A70630"/>
    <w:rsid w:val="00A70A9C"/>
    <w:rsid w:val="00A70EBC"/>
    <w:rsid w:val="00A72FF5"/>
    <w:rsid w:val="00A730B6"/>
    <w:rsid w:val="00A74F08"/>
    <w:rsid w:val="00A767A9"/>
    <w:rsid w:val="00A7680C"/>
    <w:rsid w:val="00A76ED3"/>
    <w:rsid w:val="00A77168"/>
    <w:rsid w:val="00A77E26"/>
    <w:rsid w:val="00A81794"/>
    <w:rsid w:val="00A83607"/>
    <w:rsid w:val="00A840C6"/>
    <w:rsid w:val="00A8522B"/>
    <w:rsid w:val="00A8535D"/>
    <w:rsid w:val="00A8564E"/>
    <w:rsid w:val="00A8584D"/>
    <w:rsid w:val="00A860A7"/>
    <w:rsid w:val="00A869EE"/>
    <w:rsid w:val="00A8773E"/>
    <w:rsid w:val="00A87996"/>
    <w:rsid w:val="00A879F7"/>
    <w:rsid w:val="00A90D8E"/>
    <w:rsid w:val="00A90DA3"/>
    <w:rsid w:val="00A9199A"/>
    <w:rsid w:val="00A923B3"/>
    <w:rsid w:val="00A9314A"/>
    <w:rsid w:val="00A961C6"/>
    <w:rsid w:val="00A967F5"/>
    <w:rsid w:val="00AA09BF"/>
    <w:rsid w:val="00AA0FC7"/>
    <w:rsid w:val="00AA146D"/>
    <w:rsid w:val="00AA2C3E"/>
    <w:rsid w:val="00AA486D"/>
    <w:rsid w:val="00AA5DEC"/>
    <w:rsid w:val="00AA68C2"/>
    <w:rsid w:val="00AA6C65"/>
    <w:rsid w:val="00AB1DE2"/>
    <w:rsid w:val="00AB20A1"/>
    <w:rsid w:val="00AB3BE3"/>
    <w:rsid w:val="00AB41FD"/>
    <w:rsid w:val="00AB4247"/>
    <w:rsid w:val="00AB5514"/>
    <w:rsid w:val="00AB67CB"/>
    <w:rsid w:val="00AB6CB6"/>
    <w:rsid w:val="00AB6E67"/>
    <w:rsid w:val="00AB6EA1"/>
    <w:rsid w:val="00AB7E04"/>
    <w:rsid w:val="00AC0372"/>
    <w:rsid w:val="00AC0A14"/>
    <w:rsid w:val="00AC1D24"/>
    <w:rsid w:val="00AC3D7D"/>
    <w:rsid w:val="00AC4BF1"/>
    <w:rsid w:val="00AC55E9"/>
    <w:rsid w:val="00AC64C7"/>
    <w:rsid w:val="00AC6A78"/>
    <w:rsid w:val="00AC7C18"/>
    <w:rsid w:val="00AD0603"/>
    <w:rsid w:val="00AD0806"/>
    <w:rsid w:val="00AD0C84"/>
    <w:rsid w:val="00AD2867"/>
    <w:rsid w:val="00AD2DA1"/>
    <w:rsid w:val="00AD3869"/>
    <w:rsid w:val="00AD5432"/>
    <w:rsid w:val="00AD58F7"/>
    <w:rsid w:val="00AD68FC"/>
    <w:rsid w:val="00AE070C"/>
    <w:rsid w:val="00AE0C12"/>
    <w:rsid w:val="00AE0F9C"/>
    <w:rsid w:val="00AE23B7"/>
    <w:rsid w:val="00AE2520"/>
    <w:rsid w:val="00AE36E9"/>
    <w:rsid w:val="00AE3EF6"/>
    <w:rsid w:val="00AE517C"/>
    <w:rsid w:val="00AE5365"/>
    <w:rsid w:val="00AF1018"/>
    <w:rsid w:val="00AF1E9A"/>
    <w:rsid w:val="00AF2014"/>
    <w:rsid w:val="00AF22E5"/>
    <w:rsid w:val="00AF367C"/>
    <w:rsid w:val="00AF39A2"/>
    <w:rsid w:val="00AF44FA"/>
    <w:rsid w:val="00AF483A"/>
    <w:rsid w:val="00AF4B85"/>
    <w:rsid w:val="00AF4D94"/>
    <w:rsid w:val="00AF5213"/>
    <w:rsid w:val="00AF6ACE"/>
    <w:rsid w:val="00AF6E10"/>
    <w:rsid w:val="00B00783"/>
    <w:rsid w:val="00B01F3D"/>
    <w:rsid w:val="00B02309"/>
    <w:rsid w:val="00B02D7D"/>
    <w:rsid w:val="00B02FAD"/>
    <w:rsid w:val="00B03350"/>
    <w:rsid w:val="00B03515"/>
    <w:rsid w:val="00B03CB0"/>
    <w:rsid w:val="00B05313"/>
    <w:rsid w:val="00B05501"/>
    <w:rsid w:val="00B05B71"/>
    <w:rsid w:val="00B077EB"/>
    <w:rsid w:val="00B10D88"/>
    <w:rsid w:val="00B11607"/>
    <w:rsid w:val="00B11AFB"/>
    <w:rsid w:val="00B131B6"/>
    <w:rsid w:val="00B15475"/>
    <w:rsid w:val="00B157DB"/>
    <w:rsid w:val="00B15E5F"/>
    <w:rsid w:val="00B17512"/>
    <w:rsid w:val="00B20F18"/>
    <w:rsid w:val="00B2106F"/>
    <w:rsid w:val="00B222D3"/>
    <w:rsid w:val="00B228D1"/>
    <w:rsid w:val="00B2393D"/>
    <w:rsid w:val="00B24A48"/>
    <w:rsid w:val="00B24AD0"/>
    <w:rsid w:val="00B24E36"/>
    <w:rsid w:val="00B25219"/>
    <w:rsid w:val="00B25832"/>
    <w:rsid w:val="00B25DE8"/>
    <w:rsid w:val="00B2634B"/>
    <w:rsid w:val="00B268A8"/>
    <w:rsid w:val="00B27301"/>
    <w:rsid w:val="00B273EE"/>
    <w:rsid w:val="00B329D3"/>
    <w:rsid w:val="00B33AA3"/>
    <w:rsid w:val="00B3438C"/>
    <w:rsid w:val="00B350C5"/>
    <w:rsid w:val="00B35916"/>
    <w:rsid w:val="00B36A42"/>
    <w:rsid w:val="00B4096B"/>
    <w:rsid w:val="00B41236"/>
    <w:rsid w:val="00B417A9"/>
    <w:rsid w:val="00B41B90"/>
    <w:rsid w:val="00B42489"/>
    <w:rsid w:val="00B4260D"/>
    <w:rsid w:val="00B42FD7"/>
    <w:rsid w:val="00B44610"/>
    <w:rsid w:val="00B44BCE"/>
    <w:rsid w:val="00B458F7"/>
    <w:rsid w:val="00B45914"/>
    <w:rsid w:val="00B46ACD"/>
    <w:rsid w:val="00B475AD"/>
    <w:rsid w:val="00B508B3"/>
    <w:rsid w:val="00B510D0"/>
    <w:rsid w:val="00B512DB"/>
    <w:rsid w:val="00B51A59"/>
    <w:rsid w:val="00B52A3C"/>
    <w:rsid w:val="00B53270"/>
    <w:rsid w:val="00B55283"/>
    <w:rsid w:val="00B557E6"/>
    <w:rsid w:val="00B559EE"/>
    <w:rsid w:val="00B57E3A"/>
    <w:rsid w:val="00B6186B"/>
    <w:rsid w:val="00B628DA"/>
    <w:rsid w:val="00B62A59"/>
    <w:rsid w:val="00B638FE"/>
    <w:rsid w:val="00B6404C"/>
    <w:rsid w:val="00B64D69"/>
    <w:rsid w:val="00B65172"/>
    <w:rsid w:val="00B66498"/>
    <w:rsid w:val="00B67925"/>
    <w:rsid w:val="00B67E17"/>
    <w:rsid w:val="00B736C4"/>
    <w:rsid w:val="00B73CCF"/>
    <w:rsid w:val="00B74B35"/>
    <w:rsid w:val="00B74CE4"/>
    <w:rsid w:val="00B75B17"/>
    <w:rsid w:val="00B75CDD"/>
    <w:rsid w:val="00B76136"/>
    <w:rsid w:val="00B77A97"/>
    <w:rsid w:val="00B8012B"/>
    <w:rsid w:val="00B816C5"/>
    <w:rsid w:val="00B81E84"/>
    <w:rsid w:val="00B81F51"/>
    <w:rsid w:val="00B8219E"/>
    <w:rsid w:val="00B821A1"/>
    <w:rsid w:val="00B835AC"/>
    <w:rsid w:val="00B84BEA"/>
    <w:rsid w:val="00B84CF1"/>
    <w:rsid w:val="00B87C97"/>
    <w:rsid w:val="00B91AA1"/>
    <w:rsid w:val="00B92D1E"/>
    <w:rsid w:val="00B9441B"/>
    <w:rsid w:val="00B94A2E"/>
    <w:rsid w:val="00B94F65"/>
    <w:rsid w:val="00B97B6C"/>
    <w:rsid w:val="00BA03DD"/>
    <w:rsid w:val="00BA15BA"/>
    <w:rsid w:val="00BA1B4B"/>
    <w:rsid w:val="00BA216E"/>
    <w:rsid w:val="00BA2382"/>
    <w:rsid w:val="00BA2E3E"/>
    <w:rsid w:val="00BA2FA9"/>
    <w:rsid w:val="00BA37F6"/>
    <w:rsid w:val="00BA460A"/>
    <w:rsid w:val="00BA52C3"/>
    <w:rsid w:val="00BA5BF9"/>
    <w:rsid w:val="00BB0A6D"/>
    <w:rsid w:val="00BB0FB4"/>
    <w:rsid w:val="00BB14E3"/>
    <w:rsid w:val="00BB25A4"/>
    <w:rsid w:val="00BB29EC"/>
    <w:rsid w:val="00BB3421"/>
    <w:rsid w:val="00BB44E7"/>
    <w:rsid w:val="00BB67A9"/>
    <w:rsid w:val="00BB6EDA"/>
    <w:rsid w:val="00BB7AC2"/>
    <w:rsid w:val="00BC0AD8"/>
    <w:rsid w:val="00BC2394"/>
    <w:rsid w:val="00BC47A8"/>
    <w:rsid w:val="00BC5558"/>
    <w:rsid w:val="00BC5C55"/>
    <w:rsid w:val="00BC64B7"/>
    <w:rsid w:val="00BC6BCA"/>
    <w:rsid w:val="00BD337B"/>
    <w:rsid w:val="00BD537A"/>
    <w:rsid w:val="00BD74F9"/>
    <w:rsid w:val="00BD7557"/>
    <w:rsid w:val="00BD7CDD"/>
    <w:rsid w:val="00BE0BF5"/>
    <w:rsid w:val="00BE3408"/>
    <w:rsid w:val="00BE4206"/>
    <w:rsid w:val="00BE46A1"/>
    <w:rsid w:val="00BE6C48"/>
    <w:rsid w:val="00BE7F66"/>
    <w:rsid w:val="00BF0C93"/>
    <w:rsid w:val="00BF1959"/>
    <w:rsid w:val="00BF1DE4"/>
    <w:rsid w:val="00BF27B5"/>
    <w:rsid w:val="00BF555E"/>
    <w:rsid w:val="00BF6C0A"/>
    <w:rsid w:val="00BF7B1E"/>
    <w:rsid w:val="00C013C0"/>
    <w:rsid w:val="00C0166B"/>
    <w:rsid w:val="00C01950"/>
    <w:rsid w:val="00C0195F"/>
    <w:rsid w:val="00C01F1B"/>
    <w:rsid w:val="00C034B3"/>
    <w:rsid w:val="00C04264"/>
    <w:rsid w:val="00C04D11"/>
    <w:rsid w:val="00C04E05"/>
    <w:rsid w:val="00C0663C"/>
    <w:rsid w:val="00C06E04"/>
    <w:rsid w:val="00C07C2D"/>
    <w:rsid w:val="00C07E60"/>
    <w:rsid w:val="00C102FA"/>
    <w:rsid w:val="00C107E4"/>
    <w:rsid w:val="00C11CFC"/>
    <w:rsid w:val="00C11EC1"/>
    <w:rsid w:val="00C127AF"/>
    <w:rsid w:val="00C132AC"/>
    <w:rsid w:val="00C13861"/>
    <w:rsid w:val="00C17EE8"/>
    <w:rsid w:val="00C21AFC"/>
    <w:rsid w:val="00C21CF8"/>
    <w:rsid w:val="00C22CD3"/>
    <w:rsid w:val="00C258B6"/>
    <w:rsid w:val="00C259BA"/>
    <w:rsid w:val="00C2667C"/>
    <w:rsid w:val="00C302A1"/>
    <w:rsid w:val="00C30587"/>
    <w:rsid w:val="00C30D95"/>
    <w:rsid w:val="00C30FAD"/>
    <w:rsid w:val="00C31EE9"/>
    <w:rsid w:val="00C32158"/>
    <w:rsid w:val="00C32E47"/>
    <w:rsid w:val="00C35281"/>
    <w:rsid w:val="00C359B7"/>
    <w:rsid w:val="00C369D4"/>
    <w:rsid w:val="00C372A6"/>
    <w:rsid w:val="00C40756"/>
    <w:rsid w:val="00C41795"/>
    <w:rsid w:val="00C448BD"/>
    <w:rsid w:val="00C4494B"/>
    <w:rsid w:val="00C44EF7"/>
    <w:rsid w:val="00C45149"/>
    <w:rsid w:val="00C45367"/>
    <w:rsid w:val="00C45DB6"/>
    <w:rsid w:val="00C51432"/>
    <w:rsid w:val="00C51632"/>
    <w:rsid w:val="00C51788"/>
    <w:rsid w:val="00C51CBC"/>
    <w:rsid w:val="00C51EFE"/>
    <w:rsid w:val="00C53CB6"/>
    <w:rsid w:val="00C54D65"/>
    <w:rsid w:val="00C55A4C"/>
    <w:rsid w:val="00C56138"/>
    <w:rsid w:val="00C57095"/>
    <w:rsid w:val="00C57834"/>
    <w:rsid w:val="00C57AC3"/>
    <w:rsid w:val="00C60E8F"/>
    <w:rsid w:val="00C61F15"/>
    <w:rsid w:val="00C624B1"/>
    <w:rsid w:val="00C62C9E"/>
    <w:rsid w:val="00C63AA0"/>
    <w:rsid w:val="00C63ADF"/>
    <w:rsid w:val="00C65031"/>
    <w:rsid w:val="00C65B7B"/>
    <w:rsid w:val="00C66BCD"/>
    <w:rsid w:val="00C67AB6"/>
    <w:rsid w:val="00C70189"/>
    <w:rsid w:val="00C7057F"/>
    <w:rsid w:val="00C732D2"/>
    <w:rsid w:val="00C734D4"/>
    <w:rsid w:val="00C73C57"/>
    <w:rsid w:val="00C753F4"/>
    <w:rsid w:val="00C75919"/>
    <w:rsid w:val="00C75943"/>
    <w:rsid w:val="00C7598C"/>
    <w:rsid w:val="00C76865"/>
    <w:rsid w:val="00C76BCA"/>
    <w:rsid w:val="00C801C7"/>
    <w:rsid w:val="00C80787"/>
    <w:rsid w:val="00C8220B"/>
    <w:rsid w:val="00C826F7"/>
    <w:rsid w:val="00C82E9B"/>
    <w:rsid w:val="00C83635"/>
    <w:rsid w:val="00C83CB5"/>
    <w:rsid w:val="00C83E7A"/>
    <w:rsid w:val="00C8495E"/>
    <w:rsid w:val="00C851F7"/>
    <w:rsid w:val="00C877CD"/>
    <w:rsid w:val="00C9049C"/>
    <w:rsid w:val="00C90CC9"/>
    <w:rsid w:val="00C90E21"/>
    <w:rsid w:val="00C912AF"/>
    <w:rsid w:val="00C94E4E"/>
    <w:rsid w:val="00C9518C"/>
    <w:rsid w:val="00C96198"/>
    <w:rsid w:val="00C969F6"/>
    <w:rsid w:val="00CA141C"/>
    <w:rsid w:val="00CA1D13"/>
    <w:rsid w:val="00CA2219"/>
    <w:rsid w:val="00CA240B"/>
    <w:rsid w:val="00CA27CA"/>
    <w:rsid w:val="00CA3442"/>
    <w:rsid w:val="00CA3543"/>
    <w:rsid w:val="00CA37DE"/>
    <w:rsid w:val="00CA3AB8"/>
    <w:rsid w:val="00CA40DB"/>
    <w:rsid w:val="00CA4B10"/>
    <w:rsid w:val="00CA5730"/>
    <w:rsid w:val="00CA58C1"/>
    <w:rsid w:val="00CA6470"/>
    <w:rsid w:val="00CA6FB1"/>
    <w:rsid w:val="00CA70C4"/>
    <w:rsid w:val="00CA77C3"/>
    <w:rsid w:val="00CA7A69"/>
    <w:rsid w:val="00CB05A7"/>
    <w:rsid w:val="00CB0BDC"/>
    <w:rsid w:val="00CB0D5F"/>
    <w:rsid w:val="00CB0D69"/>
    <w:rsid w:val="00CB1268"/>
    <w:rsid w:val="00CB1937"/>
    <w:rsid w:val="00CB25EB"/>
    <w:rsid w:val="00CB2730"/>
    <w:rsid w:val="00CB28B5"/>
    <w:rsid w:val="00CB2B19"/>
    <w:rsid w:val="00CB322B"/>
    <w:rsid w:val="00CB563F"/>
    <w:rsid w:val="00CB62D0"/>
    <w:rsid w:val="00CB65B2"/>
    <w:rsid w:val="00CB752C"/>
    <w:rsid w:val="00CC0C3D"/>
    <w:rsid w:val="00CC1EF1"/>
    <w:rsid w:val="00CC21E2"/>
    <w:rsid w:val="00CC2911"/>
    <w:rsid w:val="00CC2ED9"/>
    <w:rsid w:val="00CC471D"/>
    <w:rsid w:val="00CC4789"/>
    <w:rsid w:val="00CC4933"/>
    <w:rsid w:val="00CC5540"/>
    <w:rsid w:val="00CC5CE7"/>
    <w:rsid w:val="00CC75ED"/>
    <w:rsid w:val="00CD207C"/>
    <w:rsid w:val="00CD21D4"/>
    <w:rsid w:val="00CD260C"/>
    <w:rsid w:val="00CD2A13"/>
    <w:rsid w:val="00CD3D10"/>
    <w:rsid w:val="00CD4664"/>
    <w:rsid w:val="00CD4689"/>
    <w:rsid w:val="00CD4812"/>
    <w:rsid w:val="00CD4A51"/>
    <w:rsid w:val="00CD5B10"/>
    <w:rsid w:val="00CD5F89"/>
    <w:rsid w:val="00CD66E8"/>
    <w:rsid w:val="00CE0C8B"/>
    <w:rsid w:val="00CE146D"/>
    <w:rsid w:val="00CE23C3"/>
    <w:rsid w:val="00CF359E"/>
    <w:rsid w:val="00CF42AF"/>
    <w:rsid w:val="00CF5CB9"/>
    <w:rsid w:val="00CF5E51"/>
    <w:rsid w:val="00D003E3"/>
    <w:rsid w:val="00D018EB"/>
    <w:rsid w:val="00D0268E"/>
    <w:rsid w:val="00D0275F"/>
    <w:rsid w:val="00D02D5A"/>
    <w:rsid w:val="00D04C5D"/>
    <w:rsid w:val="00D063B4"/>
    <w:rsid w:val="00D06732"/>
    <w:rsid w:val="00D070B1"/>
    <w:rsid w:val="00D07641"/>
    <w:rsid w:val="00D13991"/>
    <w:rsid w:val="00D14AB6"/>
    <w:rsid w:val="00D1665C"/>
    <w:rsid w:val="00D24C4E"/>
    <w:rsid w:val="00D25089"/>
    <w:rsid w:val="00D25A18"/>
    <w:rsid w:val="00D27540"/>
    <w:rsid w:val="00D27A02"/>
    <w:rsid w:val="00D315FA"/>
    <w:rsid w:val="00D32408"/>
    <w:rsid w:val="00D32B3C"/>
    <w:rsid w:val="00D349D9"/>
    <w:rsid w:val="00D34C71"/>
    <w:rsid w:val="00D36241"/>
    <w:rsid w:val="00D37F7A"/>
    <w:rsid w:val="00D40001"/>
    <w:rsid w:val="00D41815"/>
    <w:rsid w:val="00D43297"/>
    <w:rsid w:val="00D4333B"/>
    <w:rsid w:val="00D435EF"/>
    <w:rsid w:val="00D45D04"/>
    <w:rsid w:val="00D46682"/>
    <w:rsid w:val="00D46A81"/>
    <w:rsid w:val="00D47B52"/>
    <w:rsid w:val="00D47CA0"/>
    <w:rsid w:val="00D51DFF"/>
    <w:rsid w:val="00D5247E"/>
    <w:rsid w:val="00D53788"/>
    <w:rsid w:val="00D538AF"/>
    <w:rsid w:val="00D55B5F"/>
    <w:rsid w:val="00D55ED4"/>
    <w:rsid w:val="00D55F85"/>
    <w:rsid w:val="00D56F37"/>
    <w:rsid w:val="00D61E68"/>
    <w:rsid w:val="00D61F7A"/>
    <w:rsid w:val="00D63728"/>
    <w:rsid w:val="00D66EA8"/>
    <w:rsid w:val="00D67E05"/>
    <w:rsid w:val="00D70F69"/>
    <w:rsid w:val="00D71334"/>
    <w:rsid w:val="00D713C0"/>
    <w:rsid w:val="00D71BAF"/>
    <w:rsid w:val="00D71CA9"/>
    <w:rsid w:val="00D727FF"/>
    <w:rsid w:val="00D72A83"/>
    <w:rsid w:val="00D731D3"/>
    <w:rsid w:val="00D757F7"/>
    <w:rsid w:val="00D76297"/>
    <w:rsid w:val="00D76468"/>
    <w:rsid w:val="00D77455"/>
    <w:rsid w:val="00D8002A"/>
    <w:rsid w:val="00D81087"/>
    <w:rsid w:val="00D8153F"/>
    <w:rsid w:val="00D826B6"/>
    <w:rsid w:val="00D82FB6"/>
    <w:rsid w:val="00D83856"/>
    <w:rsid w:val="00D83C1A"/>
    <w:rsid w:val="00D84281"/>
    <w:rsid w:val="00D84A3C"/>
    <w:rsid w:val="00D8575A"/>
    <w:rsid w:val="00D873CC"/>
    <w:rsid w:val="00D9108F"/>
    <w:rsid w:val="00D917DE"/>
    <w:rsid w:val="00D91978"/>
    <w:rsid w:val="00D92034"/>
    <w:rsid w:val="00D94022"/>
    <w:rsid w:val="00D9419C"/>
    <w:rsid w:val="00D95D9A"/>
    <w:rsid w:val="00D960F3"/>
    <w:rsid w:val="00D97485"/>
    <w:rsid w:val="00D97DAD"/>
    <w:rsid w:val="00DA0788"/>
    <w:rsid w:val="00DA1B3B"/>
    <w:rsid w:val="00DA26A7"/>
    <w:rsid w:val="00DA2C7D"/>
    <w:rsid w:val="00DA371B"/>
    <w:rsid w:val="00DA42F4"/>
    <w:rsid w:val="00DA4837"/>
    <w:rsid w:val="00DA52AA"/>
    <w:rsid w:val="00DA56C9"/>
    <w:rsid w:val="00DA607C"/>
    <w:rsid w:val="00DA6333"/>
    <w:rsid w:val="00DA747E"/>
    <w:rsid w:val="00DB066A"/>
    <w:rsid w:val="00DB1600"/>
    <w:rsid w:val="00DB1ECF"/>
    <w:rsid w:val="00DB3A3C"/>
    <w:rsid w:val="00DB4A72"/>
    <w:rsid w:val="00DB5295"/>
    <w:rsid w:val="00DC04DC"/>
    <w:rsid w:val="00DC2C13"/>
    <w:rsid w:val="00DC3463"/>
    <w:rsid w:val="00DC3574"/>
    <w:rsid w:val="00DC35DF"/>
    <w:rsid w:val="00DC570F"/>
    <w:rsid w:val="00DC5A70"/>
    <w:rsid w:val="00DC61EC"/>
    <w:rsid w:val="00DD0EE7"/>
    <w:rsid w:val="00DD3299"/>
    <w:rsid w:val="00DD37E7"/>
    <w:rsid w:val="00DD3BCB"/>
    <w:rsid w:val="00DD4E8E"/>
    <w:rsid w:val="00DD5111"/>
    <w:rsid w:val="00DD5599"/>
    <w:rsid w:val="00DD5626"/>
    <w:rsid w:val="00DE0499"/>
    <w:rsid w:val="00DE13D5"/>
    <w:rsid w:val="00DE1EEB"/>
    <w:rsid w:val="00DE2EAA"/>
    <w:rsid w:val="00DE2F9F"/>
    <w:rsid w:val="00DE3BB9"/>
    <w:rsid w:val="00DE3CAA"/>
    <w:rsid w:val="00DE4529"/>
    <w:rsid w:val="00DE4D30"/>
    <w:rsid w:val="00DF0BA0"/>
    <w:rsid w:val="00DF112C"/>
    <w:rsid w:val="00DF210E"/>
    <w:rsid w:val="00DF5522"/>
    <w:rsid w:val="00DF5D32"/>
    <w:rsid w:val="00DF665A"/>
    <w:rsid w:val="00DF6B5A"/>
    <w:rsid w:val="00DF6BDA"/>
    <w:rsid w:val="00E00798"/>
    <w:rsid w:val="00E00B06"/>
    <w:rsid w:val="00E0158F"/>
    <w:rsid w:val="00E021CB"/>
    <w:rsid w:val="00E02D46"/>
    <w:rsid w:val="00E03021"/>
    <w:rsid w:val="00E04357"/>
    <w:rsid w:val="00E04363"/>
    <w:rsid w:val="00E0472C"/>
    <w:rsid w:val="00E0481E"/>
    <w:rsid w:val="00E056EA"/>
    <w:rsid w:val="00E05722"/>
    <w:rsid w:val="00E05E50"/>
    <w:rsid w:val="00E0626A"/>
    <w:rsid w:val="00E06AA6"/>
    <w:rsid w:val="00E1197D"/>
    <w:rsid w:val="00E128D1"/>
    <w:rsid w:val="00E12947"/>
    <w:rsid w:val="00E12A20"/>
    <w:rsid w:val="00E13408"/>
    <w:rsid w:val="00E13702"/>
    <w:rsid w:val="00E14692"/>
    <w:rsid w:val="00E148D3"/>
    <w:rsid w:val="00E14FD5"/>
    <w:rsid w:val="00E1580B"/>
    <w:rsid w:val="00E16787"/>
    <w:rsid w:val="00E167C6"/>
    <w:rsid w:val="00E17DAE"/>
    <w:rsid w:val="00E2190D"/>
    <w:rsid w:val="00E235AB"/>
    <w:rsid w:val="00E24369"/>
    <w:rsid w:val="00E2504F"/>
    <w:rsid w:val="00E25FB7"/>
    <w:rsid w:val="00E26E95"/>
    <w:rsid w:val="00E30E56"/>
    <w:rsid w:val="00E31064"/>
    <w:rsid w:val="00E314CE"/>
    <w:rsid w:val="00E3159D"/>
    <w:rsid w:val="00E31715"/>
    <w:rsid w:val="00E31A15"/>
    <w:rsid w:val="00E33867"/>
    <w:rsid w:val="00E37013"/>
    <w:rsid w:val="00E37270"/>
    <w:rsid w:val="00E40093"/>
    <w:rsid w:val="00E40349"/>
    <w:rsid w:val="00E405FA"/>
    <w:rsid w:val="00E427D1"/>
    <w:rsid w:val="00E4323E"/>
    <w:rsid w:val="00E44504"/>
    <w:rsid w:val="00E44874"/>
    <w:rsid w:val="00E44CD5"/>
    <w:rsid w:val="00E4643F"/>
    <w:rsid w:val="00E47A82"/>
    <w:rsid w:val="00E5022E"/>
    <w:rsid w:val="00E50D46"/>
    <w:rsid w:val="00E51C21"/>
    <w:rsid w:val="00E51E41"/>
    <w:rsid w:val="00E51F4B"/>
    <w:rsid w:val="00E538C7"/>
    <w:rsid w:val="00E54130"/>
    <w:rsid w:val="00E54B40"/>
    <w:rsid w:val="00E552E2"/>
    <w:rsid w:val="00E56835"/>
    <w:rsid w:val="00E57617"/>
    <w:rsid w:val="00E57847"/>
    <w:rsid w:val="00E57D35"/>
    <w:rsid w:val="00E57FE3"/>
    <w:rsid w:val="00E61B9D"/>
    <w:rsid w:val="00E623CB"/>
    <w:rsid w:val="00E627EC"/>
    <w:rsid w:val="00E6407A"/>
    <w:rsid w:val="00E64755"/>
    <w:rsid w:val="00E6499D"/>
    <w:rsid w:val="00E64B2B"/>
    <w:rsid w:val="00E64FEA"/>
    <w:rsid w:val="00E657E9"/>
    <w:rsid w:val="00E67D2F"/>
    <w:rsid w:val="00E713B1"/>
    <w:rsid w:val="00E71780"/>
    <w:rsid w:val="00E7203E"/>
    <w:rsid w:val="00E7280A"/>
    <w:rsid w:val="00E739EB"/>
    <w:rsid w:val="00E745A3"/>
    <w:rsid w:val="00E749C5"/>
    <w:rsid w:val="00E75618"/>
    <w:rsid w:val="00E767AD"/>
    <w:rsid w:val="00E76A4B"/>
    <w:rsid w:val="00E77187"/>
    <w:rsid w:val="00E772D0"/>
    <w:rsid w:val="00E80C9C"/>
    <w:rsid w:val="00E8102A"/>
    <w:rsid w:val="00E81195"/>
    <w:rsid w:val="00E8203B"/>
    <w:rsid w:val="00E82F19"/>
    <w:rsid w:val="00E838E5"/>
    <w:rsid w:val="00E83F92"/>
    <w:rsid w:val="00E84137"/>
    <w:rsid w:val="00E84C4B"/>
    <w:rsid w:val="00E8579D"/>
    <w:rsid w:val="00E8583F"/>
    <w:rsid w:val="00E86BC7"/>
    <w:rsid w:val="00E86D94"/>
    <w:rsid w:val="00E90A87"/>
    <w:rsid w:val="00E91931"/>
    <w:rsid w:val="00E925AA"/>
    <w:rsid w:val="00E941FD"/>
    <w:rsid w:val="00E958C4"/>
    <w:rsid w:val="00E95F99"/>
    <w:rsid w:val="00E978BC"/>
    <w:rsid w:val="00E97F08"/>
    <w:rsid w:val="00EA01A7"/>
    <w:rsid w:val="00EA2956"/>
    <w:rsid w:val="00EA3C53"/>
    <w:rsid w:val="00EA4616"/>
    <w:rsid w:val="00EA5D21"/>
    <w:rsid w:val="00EA72F0"/>
    <w:rsid w:val="00EB0DD3"/>
    <w:rsid w:val="00EB136F"/>
    <w:rsid w:val="00EB200F"/>
    <w:rsid w:val="00EB23B2"/>
    <w:rsid w:val="00EB4BCD"/>
    <w:rsid w:val="00EB546D"/>
    <w:rsid w:val="00EB5AC2"/>
    <w:rsid w:val="00EB6BA9"/>
    <w:rsid w:val="00EB7046"/>
    <w:rsid w:val="00EC00CE"/>
    <w:rsid w:val="00EC023B"/>
    <w:rsid w:val="00EC0F1B"/>
    <w:rsid w:val="00EC10DE"/>
    <w:rsid w:val="00EC1E64"/>
    <w:rsid w:val="00EC2067"/>
    <w:rsid w:val="00EC28D1"/>
    <w:rsid w:val="00EC2C47"/>
    <w:rsid w:val="00EC32D1"/>
    <w:rsid w:val="00EC509D"/>
    <w:rsid w:val="00EC5297"/>
    <w:rsid w:val="00EC692B"/>
    <w:rsid w:val="00EC7596"/>
    <w:rsid w:val="00ED0C6A"/>
    <w:rsid w:val="00ED0F61"/>
    <w:rsid w:val="00ED2674"/>
    <w:rsid w:val="00ED394F"/>
    <w:rsid w:val="00ED3C9E"/>
    <w:rsid w:val="00ED4190"/>
    <w:rsid w:val="00ED5DBA"/>
    <w:rsid w:val="00ED706E"/>
    <w:rsid w:val="00EE04F4"/>
    <w:rsid w:val="00EE06AA"/>
    <w:rsid w:val="00EE08BD"/>
    <w:rsid w:val="00EE143B"/>
    <w:rsid w:val="00EE1C14"/>
    <w:rsid w:val="00EE1DCB"/>
    <w:rsid w:val="00EE2B6E"/>
    <w:rsid w:val="00EE3168"/>
    <w:rsid w:val="00EE3DAD"/>
    <w:rsid w:val="00EE5293"/>
    <w:rsid w:val="00EE5523"/>
    <w:rsid w:val="00EE61EE"/>
    <w:rsid w:val="00EE6D17"/>
    <w:rsid w:val="00EE713D"/>
    <w:rsid w:val="00EF1C12"/>
    <w:rsid w:val="00EF2D61"/>
    <w:rsid w:val="00EF35E1"/>
    <w:rsid w:val="00EF41FA"/>
    <w:rsid w:val="00EF50CA"/>
    <w:rsid w:val="00EF540A"/>
    <w:rsid w:val="00EF6E8E"/>
    <w:rsid w:val="00EF7A1A"/>
    <w:rsid w:val="00EF7A85"/>
    <w:rsid w:val="00F005B4"/>
    <w:rsid w:val="00F009C7"/>
    <w:rsid w:val="00F02C95"/>
    <w:rsid w:val="00F02CDB"/>
    <w:rsid w:val="00F02FBE"/>
    <w:rsid w:val="00F03875"/>
    <w:rsid w:val="00F03E34"/>
    <w:rsid w:val="00F04517"/>
    <w:rsid w:val="00F04F54"/>
    <w:rsid w:val="00F04FC6"/>
    <w:rsid w:val="00F05377"/>
    <w:rsid w:val="00F060AB"/>
    <w:rsid w:val="00F064A6"/>
    <w:rsid w:val="00F06EA7"/>
    <w:rsid w:val="00F10F52"/>
    <w:rsid w:val="00F11942"/>
    <w:rsid w:val="00F13418"/>
    <w:rsid w:val="00F13A08"/>
    <w:rsid w:val="00F14065"/>
    <w:rsid w:val="00F151C4"/>
    <w:rsid w:val="00F1553D"/>
    <w:rsid w:val="00F1572C"/>
    <w:rsid w:val="00F17FD9"/>
    <w:rsid w:val="00F205D4"/>
    <w:rsid w:val="00F21586"/>
    <w:rsid w:val="00F2182F"/>
    <w:rsid w:val="00F2266E"/>
    <w:rsid w:val="00F23199"/>
    <w:rsid w:val="00F23D38"/>
    <w:rsid w:val="00F26DDF"/>
    <w:rsid w:val="00F26DF6"/>
    <w:rsid w:val="00F27039"/>
    <w:rsid w:val="00F272BD"/>
    <w:rsid w:val="00F27E83"/>
    <w:rsid w:val="00F30215"/>
    <w:rsid w:val="00F318C2"/>
    <w:rsid w:val="00F32E45"/>
    <w:rsid w:val="00F32E91"/>
    <w:rsid w:val="00F34000"/>
    <w:rsid w:val="00F3419F"/>
    <w:rsid w:val="00F3625C"/>
    <w:rsid w:val="00F37C4B"/>
    <w:rsid w:val="00F40067"/>
    <w:rsid w:val="00F41663"/>
    <w:rsid w:val="00F41D68"/>
    <w:rsid w:val="00F42863"/>
    <w:rsid w:val="00F4382E"/>
    <w:rsid w:val="00F43B59"/>
    <w:rsid w:val="00F455DE"/>
    <w:rsid w:val="00F458FA"/>
    <w:rsid w:val="00F45A11"/>
    <w:rsid w:val="00F46E78"/>
    <w:rsid w:val="00F473E3"/>
    <w:rsid w:val="00F5085A"/>
    <w:rsid w:val="00F5135A"/>
    <w:rsid w:val="00F541FD"/>
    <w:rsid w:val="00F54589"/>
    <w:rsid w:val="00F5463C"/>
    <w:rsid w:val="00F54F24"/>
    <w:rsid w:val="00F568A2"/>
    <w:rsid w:val="00F57CE1"/>
    <w:rsid w:val="00F608BA"/>
    <w:rsid w:val="00F61664"/>
    <w:rsid w:val="00F61B1F"/>
    <w:rsid w:val="00F61C8D"/>
    <w:rsid w:val="00F64C66"/>
    <w:rsid w:val="00F65152"/>
    <w:rsid w:val="00F66CBC"/>
    <w:rsid w:val="00F6734D"/>
    <w:rsid w:val="00F70C7C"/>
    <w:rsid w:val="00F71DDF"/>
    <w:rsid w:val="00F7664E"/>
    <w:rsid w:val="00F76A83"/>
    <w:rsid w:val="00F80C91"/>
    <w:rsid w:val="00F81BAA"/>
    <w:rsid w:val="00F82F74"/>
    <w:rsid w:val="00F8467B"/>
    <w:rsid w:val="00F86582"/>
    <w:rsid w:val="00F86D6D"/>
    <w:rsid w:val="00F870D0"/>
    <w:rsid w:val="00F878EA"/>
    <w:rsid w:val="00F9093C"/>
    <w:rsid w:val="00F92EA6"/>
    <w:rsid w:val="00F9391E"/>
    <w:rsid w:val="00F939CC"/>
    <w:rsid w:val="00F93BA1"/>
    <w:rsid w:val="00F944BC"/>
    <w:rsid w:val="00F9455F"/>
    <w:rsid w:val="00F94CD0"/>
    <w:rsid w:val="00F96A8F"/>
    <w:rsid w:val="00F97AE4"/>
    <w:rsid w:val="00FA0427"/>
    <w:rsid w:val="00FA112E"/>
    <w:rsid w:val="00FA275D"/>
    <w:rsid w:val="00FA2E8B"/>
    <w:rsid w:val="00FA3695"/>
    <w:rsid w:val="00FA3D8D"/>
    <w:rsid w:val="00FA489A"/>
    <w:rsid w:val="00FA5071"/>
    <w:rsid w:val="00FA512B"/>
    <w:rsid w:val="00FA6142"/>
    <w:rsid w:val="00FA6421"/>
    <w:rsid w:val="00FA6912"/>
    <w:rsid w:val="00FB0BB7"/>
    <w:rsid w:val="00FB1966"/>
    <w:rsid w:val="00FB2093"/>
    <w:rsid w:val="00FB2312"/>
    <w:rsid w:val="00FB39AE"/>
    <w:rsid w:val="00FB3C15"/>
    <w:rsid w:val="00FB3EE1"/>
    <w:rsid w:val="00FB4001"/>
    <w:rsid w:val="00FB5BAE"/>
    <w:rsid w:val="00FB77A2"/>
    <w:rsid w:val="00FC006B"/>
    <w:rsid w:val="00FC26FB"/>
    <w:rsid w:val="00FC2DA3"/>
    <w:rsid w:val="00FC3195"/>
    <w:rsid w:val="00FC3559"/>
    <w:rsid w:val="00FC4B94"/>
    <w:rsid w:val="00FC4C4B"/>
    <w:rsid w:val="00FC55C8"/>
    <w:rsid w:val="00FC5B6D"/>
    <w:rsid w:val="00FC5DA0"/>
    <w:rsid w:val="00FC6167"/>
    <w:rsid w:val="00FC7B0C"/>
    <w:rsid w:val="00FC7CCB"/>
    <w:rsid w:val="00FD04F8"/>
    <w:rsid w:val="00FD0579"/>
    <w:rsid w:val="00FD1F3A"/>
    <w:rsid w:val="00FD32F9"/>
    <w:rsid w:val="00FD620F"/>
    <w:rsid w:val="00FD6E6D"/>
    <w:rsid w:val="00FE0F58"/>
    <w:rsid w:val="00FE1892"/>
    <w:rsid w:val="00FE2303"/>
    <w:rsid w:val="00FE2EE9"/>
    <w:rsid w:val="00FE4C67"/>
    <w:rsid w:val="00FE6A48"/>
    <w:rsid w:val="00FF0307"/>
    <w:rsid w:val="00FF0342"/>
    <w:rsid w:val="00FF1737"/>
    <w:rsid w:val="00FF1A77"/>
    <w:rsid w:val="00FF53E7"/>
    <w:rsid w:val="00FF5A05"/>
    <w:rsid w:val="00FF72CF"/>
    <w:rsid w:val="00FF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numPr>
        <w:numId w:val="1"/>
      </w:numPr>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uiPriority w:val="99"/>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27846"/>
    <w:rPr>
      <w:sz w:val="20"/>
      <w:szCs w:val="20"/>
    </w:rPr>
  </w:style>
  <w:style w:type="character" w:styleId="Odwoanieprzypisukocowego">
    <w:name w:val="endnote reference"/>
    <w:basedOn w:val="Domylnaczcionkaakapitu"/>
    <w:uiPriority w:val="99"/>
    <w:semiHidden/>
    <w:unhideWhenUsed/>
    <w:rsid w:val="00327846"/>
    <w:rPr>
      <w:vertAlign w:val="superscript"/>
    </w:rPr>
  </w:style>
  <w:style w:type="character" w:styleId="Odwoaniedokomentarza">
    <w:name w:val="annotation reference"/>
    <w:basedOn w:val="Domylnaczcionkaakapitu"/>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99"/>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N_Para"/>
    <w:basedOn w:val="Normalny"/>
    <w:link w:val="JuParaChar"/>
    <w:uiPriority w:val="4"/>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qFormat/>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qFormat/>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8913EF"/>
    <w:pPr>
      <w:spacing w:after="100"/>
    </w:pPr>
  </w:style>
  <w:style w:type="paragraph" w:styleId="Spistreci2">
    <w:name w:val="toc 2"/>
    <w:basedOn w:val="Normalny"/>
    <w:next w:val="Normalny"/>
    <w:autoRedefine/>
    <w:uiPriority w:val="39"/>
    <w:unhideWhenUsed/>
    <w:rsid w:val="008913EF"/>
    <w:pPr>
      <w:spacing w:after="100"/>
      <w:ind w:left="220"/>
    </w:pPr>
  </w:style>
  <w:style w:type="character" w:customStyle="1" w:styleId="s7d2086b4">
    <w:name w:val="s7d2086b4"/>
    <w:basedOn w:val="Domylnaczcionkaakapitu"/>
    <w:rsid w:val="006C0553"/>
  </w:style>
  <w:style w:type="character" w:customStyle="1" w:styleId="sb8d990e2">
    <w:name w:val="sb8d990e2"/>
    <w:basedOn w:val="Domylnaczcionkaakapitu"/>
    <w:rsid w:val="00C45367"/>
  </w:style>
  <w:style w:type="paragraph" w:styleId="Tekstprzypisudolnego">
    <w:name w:val="footnote text"/>
    <w:basedOn w:val="Normalny"/>
    <w:link w:val="TekstprzypisudolnegoZnak"/>
    <w:unhideWhenUsed/>
    <w:rsid w:val="004D3D89"/>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TekstprzypisudolnegoZnak">
    <w:name w:val="Tekst przypisu dolnego Znak"/>
    <w:basedOn w:val="Domylnaczcionkaakapitu"/>
    <w:link w:val="Tekstprzypisudolnego"/>
    <w:rsid w:val="004D3D89"/>
    <w:rPr>
      <w:rFonts w:ascii="Calibri" w:eastAsia="Calibri" w:hAnsi="Calibri" w:cs="Calibri"/>
      <w:color w:val="000000"/>
      <w:sz w:val="20"/>
      <w:szCs w:val="20"/>
      <w:u w:color="000000"/>
      <w:bdr w:val="nil"/>
      <w:lang w:val="en-US"/>
    </w:rPr>
  </w:style>
  <w:style w:type="character" w:styleId="Odwoanieprzypisudolnego">
    <w:name w:val="footnote reference"/>
    <w:basedOn w:val="Domylnaczcionkaakapitu"/>
    <w:uiPriority w:val="99"/>
    <w:semiHidden/>
    <w:unhideWhenUsed/>
    <w:rsid w:val="004D3D89"/>
    <w:rPr>
      <w:vertAlign w:val="superscript"/>
    </w:rPr>
  </w:style>
  <w:style w:type="paragraph" w:customStyle="1" w:styleId="s1bd70772">
    <w:name w:val="s1bd70772"/>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fbbfee58">
    <w:name w:val="sfbbfee58"/>
    <w:basedOn w:val="Domylnaczcionkaakapitu"/>
    <w:rsid w:val="004D3D89"/>
  </w:style>
  <w:style w:type="paragraph" w:customStyle="1" w:styleId="s6c429373">
    <w:name w:val="s6c429373"/>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ps">
    <w:name w:val="hps"/>
    <w:basedOn w:val="Domylnaczcionkaakapitu"/>
    <w:rsid w:val="004D3D89"/>
  </w:style>
  <w:style w:type="character" w:customStyle="1" w:styleId="atn">
    <w:name w:val="atn"/>
    <w:basedOn w:val="Domylnaczcionkaakapitu"/>
    <w:rsid w:val="004D3D89"/>
  </w:style>
  <w:style w:type="paragraph" w:styleId="Spistreci3">
    <w:name w:val="toc 3"/>
    <w:basedOn w:val="Normalny"/>
    <w:next w:val="Normalny"/>
    <w:autoRedefine/>
    <w:uiPriority w:val="39"/>
    <w:unhideWhenUsed/>
    <w:rsid w:val="00694FAD"/>
    <w:pPr>
      <w:spacing w:after="100"/>
      <w:ind w:left="440"/>
    </w:pPr>
  </w:style>
  <w:style w:type="paragraph" w:customStyle="1" w:styleId="JuList">
    <w:name w:val="Ju_List"/>
    <w:basedOn w:val="Normalny"/>
    <w:uiPriority w:val="28"/>
    <w:qFormat/>
    <w:rsid w:val="004C6C49"/>
    <w:pPr>
      <w:spacing w:after="0" w:line="240" w:lineRule="auto"/>
      <w:ind w:left="340" w:hanging="340"/>
      <w:jc w:val="both"/>
    </w:pPr>
    <w:rPr>
      <w:rFonts w:eastAsiaTheme="minorEastAsia"/>
      <w:sz w:val="24"/>
      <w:lang w:val="en-US"/>
    </w:rPr>
  </w:style>
  <w:style w:type="paragraph" w:customStyle="1" w:styleId="ECHRParaQuote">
    <w:name w:val="ECHR_Para_Quote"/>
    <w:aliases w:val="Ju_Quot,Para_Quote"/>
    <w:basedOn w:val="Normalny"/>
    <w:link w:val="JuQuotChar"/>
    <w:qFormat/>
    <w:rsid w:val="007E0D7C"/>
    <w:pPr>
      <w:spacing w:before="120" w:after="120" w:line="240" w:lineRule="auto"/>
      <w:ind w:left="425" w:firstLine="142"/>
      <w:jc w:val="both"/>
    </w:pPr>
    <w:rPr>
      <w:rFonts w:eastAsiaTheme="minorEastAsia"/>
      <w:sz w:val="20"/>
      <w:lang w:val="en-US"/>
    </w:rPr>
  </w:style>
  <w:style w:type="character" w:customStyle="1" w:styleId="s1a844bc0">
    <w:name w:val="s1a844bc0"/>
    <w:basedOn w:val="Domylnaczcionkaakapitu"/>
    <w:rsid w:val="004E4FF7"/>
  </w:style>
  <w:style w:type="character" w:customStyle="1" w:styleId="JuQuotChar">
    <w:name w:val="Ju_Quot Char"/>
    <w:link w:val="ECHRParaQuote"/>
    <w:rsid w:val="00FC4C4B"/>
    <w:rPr>
      <w:rFonts w:eastAsiaTheme="minorEastAsia"/>
      <w:sz w:val="20"/>
      <w:lang w:val="en-US"/>
    </w:rPr>
  </w:style>
  <w:style w:type="character" w:styleId="UyteHipercze">
    <w:name w:val="FollowedHyperlink"/>
    <w:basedOn w:val="Domylnaczcionkaakapitu"/>
    <w:uiPriority w:val="99"/>
    <w:semiHidden/>
    <w:unhideWhenUsed/>
    <w:rsid w:val="00FC7CCB"/>
    <w:rPr>
      <w:color w:val="800080" w:themeColor="followedHyperlink"/>
      <w:u w:val="single"/>
    </w:rPr>
  </w:style>
  <w:style w:type="character" w:styleId="Pogrubienie">
    <w:name w:val="Strong"/>
    <w:basedOn w:val="Domylnaczcionkaakapitu"/>
    <w:uiPriority w:val="22"/>
    <w:qFormat/>
    <w:rsid w:val="00CB2730"/>
    <w:rPr>
      <w:b/>
      <w:bCs/>
    </w:rPr>
  </w:style>
  <w:style w:type="paragraph" w:customStyle="1" w:styleId="ClinMainKeywordCode">
    <w:name w:val="ClinMainKeywordCode"/>
    <w:basedOn w:val="Normalny"/>
    <w:next w:val="Normalny"/>
    <w:qFormat/>
    <w:rsid w:val="00465D81"/>
    <w:pPr>
      <w:keepNext/>
      <w:spacing w:before="240" w:after="240" w:line="240" w:lineRule="auto"/>
    </w:pPr>
    <w:rPr>
      <w:rFonts w:ascii="Verdana" w:eastAsia="Times New Roman" w:hAnsi="Verdana" w:cs="Times New Roman"/>
      <w:b/>
      <w:sz w:val="24"/>
      <w:szCs w:val="32"/>
      <w:lang w:eastAsia="en-GB"/>
    </w:rPr>
  </w:style>
  <w:style w:type="paragraph" w:customStyle="1" w:styleId="ClinChildKeywordCode">
    <w:name w:val="ClinChildKeywordCode"/>
    <w:basedOn w:val="Normalny"/>
    <w:next w:val="Normalny"/>
    <w:qFormat/>
    <w:rsid w:val="00465D81"/>
    <w:pPr>
      <w:spacing w:before="240" w:after="240" w:line="240" w:lineRule="auto"/>
    </w:pPr>
    <w:rPr>
      <w:rFonts w:ascii="Verdana" w:eastAsia="Times New Roman" w:hAnsi="Verdana" w:cs="Times New Roman"/>
      <w:b/>
      <w:sz w:val="20"/>
      <w:lang w:eastAsia="en-GB"/>
    </w:rPr>
  </w:style>
  <w:style w:type="paragraph" w:customStyle="1" w:styleId="ClinKeyword">
    <w:name w:val="ClinKeyword"/>
    <w:basedOn w:val="Normalny"/>
    <w:qFormat/>
    <w:rsid w:val="00465D81"/>
    <w:pPr>
      <w:keepNext/>
      <w:spacing w:before="240" w:after="100" w:afterAutospacing="1" w:line="240" w:lineRule="auto"/>
    </w:pPr>
    <w:rPr>
      <w:rFonts w:ascii="Verdana" w:eastAsia="Times New Roman" w:hAnsi="Verdana" w:cs="Times New Roman"/>
      <w:b/>
      <w:sz w:val="20"/>
      <w:szCs w:val="24"/>
      <w:lang w:eastAsia="en-GB"/>
    </w:rPr>
  </w:style>
  <w:style w:type="character" w:customStyle="1" w:styleId="ClinHeadNote">
    <w:name w:val="ClinHeadNote"/>
    <w:basedOn w:val="Domylnaczcionkaakapitu"/>
    <w:qFormat/>
    <w:rsid w:val="00465D81"/>
    <w:rPr>
      <w:rFonts w:cs="Times New Roman"/>
    </w:rPr>
  </w:style>
  <w:style w:type="character" w:customStyle="1" w:styleId="ClinCaseTitle">
    <w:name w:val="ClinCaseTitle"/>
    <w:basedOn w:val="Domylnaczcionkaakapitu"/>
    <w:qFormat/>
    <w:rsid w:val="00AB1DE2"/>
    <w:rPr>
      <w:rFonts w:ascii="Verdana" w:hAnsi="Verdana" w:cs="Times New Roman"/>
      <w:b/>
      <w:i/>
      <w:sz w:val="24"/>
    </w:rPr>
  </w:style>
  <w:style w:type="character" w:customStyle="1" w:styleId="ClinHudocDocumentTitle">
    <w:name w:val="ClinHudocDocumentTitle"/>
    <w:basedOn w:val="Domylnaczcionkaakapitu"/>
    <w:qFormat/>
    <w:rsid w:val="00AB1DE2"/>
    <w:rPr>
      <w:rFonts w:ascii="Verdana" w:hAnsi="Verdana" w:cs="Times New Roman"/>
      <w:color w:val="auto"/>
    </w:rPr>
  </w:style>
  <w:style w:type="character" w:customStyle="1" w:styleId="ClinApplicationNumber">
    <w:name w:val="ClinApplicationNumber"/>
    <w:basedOn w:val="Domylnaczcionkaakapitu"/>
    <w:qFormat/>
    <w:rsid w:val="00AB1DE2"/>
    <w:rPr>
      <w:rFonts w:ascii="Verdana" w:hAnsi="Verdana" w:cs="Times New Roman"/>
      <w:b/>
      <w:sz w:val="24"/>
    </w:rPr>
  </w:style>
  <w:style w:type="character" w:customStyle="1" w:styleId="ClinSectionName">
    <w:name w:val="ClinSectionName"/>
    <w:basedOn w:val="Domylnaczcionkaakapitu"/>
    <w:qFormat/>
    <w:rsid w:val="00AB1DE2"/>
    <w:rPr>
      <w:rFonts w:ascii="Verdana" w:hAnsi="Verdana" w:cs="Times New Roman"/>
    </w:rPr>
  </w:style>
  <w:style w:type="paragraph" w:customStyle="1" w:styleId="ECHRCoverTitle1">
    <w:name w:val="ECHR_Cover_Title_1"/>
    <w:aliases w:val="Cover_1"/>
    <w:basedOn w:val="Normalny"/>
    <w:next w:val="Normalny"/>
    <w:uiPriority w:val="24"/>
    <w:qFormat/>
    <w:rsid w:val="00EE6D17"/>
    <w:pPr>
      <w:spacing w:before="840" w:after="0" w:line="240" w:lineRule="auto"/>
      <w:contextualSpacing/>
      <w:jc w:val="center"/>
    </w:pPr>
    <w:rPr>
      <w:color w:val="4F6228" w:themeColor="accent3" w:themeShade="80"/>
      <w:sz w:val="36"/>
      <w:lang w:val="en-US"/>
    </w:rPr>
  </w:style>
  <w:style w:type="paragraph" w:styleId="Tytu">
    <w:name w:val="Title"/>
    <w:basedOn w:val="Normalny"/>
    <w:next w:val="Normalny"/>
    <w:link w:val="TytuZnak"/>
    <w:uiPriority w:val="10"/>
    <w:qFormat/>
    <w:rsid w:val="00EC00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C00C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numPr>
        <w:numId w:val="1"/>
      </w:numPr>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uiPriority w:val="99"/>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27846"/>
    <w:rPr>
      <w:sz w:val="20"/>
      <w:szCs w:val="20"/>
    </w:rPr>
  </w:style>
  <w:style w:type="character" w:styleId="Odwoanieprzypisukocowego">
    <w:name w:val="endnote reference"/>
    <w:basedOn w:val="Domylnaczcionkaakapitu"/>
    <w:uiPriority w:val="99"/>
    <w:semiHidden/>
    <w:unhideWhenUsed/>
    <w:rsid w:val="00327846"/>
    <w:rPr>
      <w:vertAlign w:val="superscript"/>
    </w:rPr>
  </w:style>
  <w:style w:type="character" w:styleId="Odwoaniedokomentarza">
    <w:name w:val="annotation reference"/>
    <w:basedOn w:val="Domylnaczcionkaakapitu"/>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99"/>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N_Para"/>
    <w:basedOn w:val="Normalny"/>
    <w:link w:val="JuParaChar"/>
    <w:uiPriority w:val="4"/>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qFormat/>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qFormat/>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8913EF"/>
    <w:pPr>
      <w:spacing w:after="100"/>
    </w:pPr>
  </w:style>
  <w:style w:type="paragraph" w:styleId="Spistreci2">
    <w:name w:val="toc 2"/>
    <w:basedOn w:val="Normalny"/>
    <w:next w:val="Normalny"/>
    <w:autoRedefine/>
    <w:uiPriority w:val="39"/>
    <w:unhideWhenUsed/>
    <w:rsid w:val="008913EF"/>
    <w:pPr>
      <w:spacing w:after="100"/>
      <w:ind w:left="220"/>
    </w:pPr>
  </w:style>
  <w:style w:type="character" w:customStyle="1" w:styleId="s7d2086b4">
    <w:name w:val="s7d2086b4"/>
    <w:basedOn w:val="Domylnaczcionkaakapitu"/>
    <w:rsid w:val="006C0553"/>
  </w:style>
  <w:style w:type="character" w:customStyle="1" w:styleId="sb8d990e2">
    <w:name w:val="sb8d990e2"/>
    <w:basedOn w:val="Domylnaczcionkaakapitu"/>
    <w:rsid w:val="00C45367"/>
  </w:style>
  <w:style w:type="paragraph" w:styleId="Tekstprzypisudolnego">
    <w:name w:val="footnote text"/>
    <w:basedOn w:val="Normalny"/>
    <w:link w:val="TekstprzypisudolnegoZnak"/>
    <w:unhideWhenUsed/>
    <w:rsid w:val="004D3D89"/>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TekstprzypisudolnegoZnak">
    <w:name w:val="Tekst przypisu dolnego Znak"/>
    <w:basedOn w:val="Domylnaczcionkaakapitu"/>
    <w:link w:val="Tekstprzypisudolnego"/>
    <w:rsid w:val="004D3D89"/>
    <w:rPr>
      <w:rFonts w:ascii="Calibri" w:eastAsia="Calibri" w:hAnsi="Calibri" w:cs="Calibri"/>
      <w:color w:val="000000"/>
      <w:sz w:val="20"/>
      <w:szCs w:val="20"/>
      <w:u w:color="000000"/>
      <w:bdr w:val="nil"/>
      <w:lang w:val="en-US"/>
    </w:rPr>
  </w:style>
  <w:style w:type="character" w:styleId="Odwoanieprzypisudolnego">
    <w:name w:val="footnote reference"/>
    <w:basedOn w:val="Domylnaczcionkaakapitu"/>
    <w:uiPriority w:val="99"/>
    <w:semiHidden/>
    <w:unhideWhenUsed/>
    <w:rsid w:val="004D3D89"/>
    <w:rPr>
      <w:vertAlign w:val="superscript"/>
    </w:rPr>
  </w:style>
  <w:style w:type="paragraph" w:customStyle="1" w:styleId="s1bd70772">
    <w:name w:val="s1bd70772"/>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fbbfee58">
    <w:name w:val="sfbbfee58"/>
    <w:basedOn w:val="Domylnaczcionkaakapitu"/>
    <w:rsid w:val="004D3D89"/>
  </w:style>
  <w:style w:type="paragraph" w:customStyle="1" w:styleId="s6c429373">
    <w:name w:val="s6c429373"/>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ps">
    <w:name w:val="hps"/>
    <w:basedOn w:val="Domylnaczcionkaakapitu"/>
    <w:rsid w:val="004D3D89"/>
  </w:style>
  <w:style w:type="character" w:customStyle="1" w:styleId="atn">
    <w:name w:val="atn"/>
    <w:basedOn w:val="Domylnaczcionkaakapitu"/>
    <w:rsid w:val="004D3D89"/>
  </w:style>
  <w:style w:type="paragraph" w:styleId="Spistreci3">
    <w:name w:val="toc 3"/>
    <w:basedOn w:val="Normalny"/>
    <w:next w:val="Normalny"/>
    <w:autoRedefine/>
    <w:uiPriority w:val="39"/>
    <w:unhideWhenUsed/>
    <w:rsid w:val="00694FAD"/>
    <w:pPr>
      <w:spacing w:after="100"/>
      <w:ind w:left="440"/>
    </w:pPr>
  </w:style>
  <w:style w:type="paragraph" w:customStyle="1" w:styleId="JuList">
    <w:name w:val="Ju_List"/>
    <w:basedOn w:val="Normalny"/>
    <w:uiPriority w:val="28"/>
    <w:qFormat/>
    <w:rsid w:val="004C6C49"/>
    <w:pPr>
      <w:spacing w:after="0" w:line="240" w:lineRule="auto"/>
      <w:ind w:left="340" w:hanging="340"/>
      <w:jc w:val="both"/>
    </w:pPr>
    <w:rPr>
      <w:rFonts w:eastAsiaTheme="minorEastAsia"/>
      <w:sz w:val="24"/>
      <w:lang w:val="en-US"/>
    </w:rPr>
  </w:style>
  <w:style w:type="paragraph" w:customStyle="1" w:styleId="ECHRParaQuote">
    <w:name w:val="ECHR_Para_Quote"/>
    <w:aliases w:val="Ju_Quot,Para_Quote"/>
    <w:basedOn w:val="Normalny"/>
    <w:link w:val="JuQuotChar"/>
    <w:qFormat/>
    <w:rsid w:val="007E0D7C"/>
    <w:pPr>
      <w:spacing w:before="120" w:after="120" w:line="240" w:lineRule="auto"/>
      <w:ind w:left="425" w:firstLine="142"/>
      <w:jc w:val="both"/>
    </w:pPr>
    <w:rPr>
      <w:rFonts w:eastAsiaTheme="minorEastAsia"/>
      <w:sz w:val="20"/>
      <w:lang w:val="en-US"/>
    </w:rPr>
  </w:style>
  <w:style w:type="character" w:customStyle="1" w:styleId="s1a844bc0">
    <w:name w:val="s1a844bc0"/>
    <w:basedOn w:val="Domylnaczcionkaakapitu"/>
    <w:rsid w:val="004E4FF7"/>
  </w:style>
  <w:style w:type="character" w:customStyle="1" w:styleId="JuQuotChar">
    <w:name w:val="Ju_Quot Char"/>
    <w:link w:val="ECHRParaQuote"/>
    <w:rsid w:val="00FC4C4B"/>
    <w:rPr>
      <w:rFonts w:eastAsiaTheme="minorEastAsia"/>
      <w:sz w:val="20"/>
      <w:lang w:val="en-US"/>
    </w:rPr>
  </w:style>
  <w:style w:type="character" w:styleId="UyteHipercze">
    <w:name w:val="FollowedHyperlink"/>
    <w:basedOn w:val="Domylnaczcionkaakapitu"/>
    <w:uiPriority w:val="99"/>
    <w:semiHidden/>
    <w:unhideWhenUsed/>
    <w:rsid w:val="00FC7CCB"/>
    <w:rPr>
      <w:color w:val="800080" w:themeColor="followedHyperlink"/>
      <w:u w:val="single"/>
    </w:rPr>
  </w:style>
  <w:style w:type="character" w:styleId="Pogrubienie">
    <w:name w:val="Strong"/>
    <w:basedOn w:val="Domylnaczcionkaakapitu"/>
    <w:uiPriority w:val="22"/>
    <w:qFormat/>
    <w:rsid w:val="00CB2730"/>
    <w:rPr>
      <w:b/>
      <w:bCs/>
    </w:rPr>
  </w:style>
  <w:style w:type="paragraph" w:customStyle="1" w:styleId="ClinMainKeywordCode">
    <w:name w:val="ClinMainKeywordCode"/>
    <w:basedOn w:val="Normalny"/>
    <w:next w:val="Normalny"/>
    <w:qFormat/>
    <w:rsid w:val="00465D81"/>
    <w:pPr>
      <w:keepNext/>
      <w:spacing w:before="240" w:after="240" w:line="240" w:lineRule="auto"/>
    </w:pPr>
    <w:rPr>
      <w:rFonts w:ascii="Verdana" w:eastAsia="Times New Roman" w:hAnsi="Verdana" w:cs="Times New Roman"/>
      <w:b/>
      <w:sz w:val="24"/>
      <w:szCs w:val="32"/>
      <w:lang w:eastAsia="en-GB"/>
    </w:rPr>
  </w:style>
  <w:style w:type="paragraph" w:customStyle="1" w:styleId="ClinChildKeywordCode">
    <w:name w:val="ClinChildKeywordCode"/>
    <w:basedOn w:val="Normalny"/>
    <w:next w:val="Normalny"/>
    <w:qFormat/>
    <w:rsid w:val="00465D81"/>
    <w:pPr>
      <w:spacing w:before="240" w:after="240" w:line="240" w:lineRule="auto"/>
    </w:pPr>
    <w:rPr>
      <w:rFonts w:ascii="Verdana" w:eastAsia="Times New Roman" w:hAnsi="Verdana" w:cs="Times New Roman"/>
      <w:b/>
      <w:sz w:val="20"/>
      <w:lang w:eastAsia="en-GB"/>
    </w:rPr>
  </w:style>
  <w:style w:type="paragraph" w:customStyle="1" w:styleId="ClinKeyword">
    <w:name w:val="ClinKeyword"/>
    <w:basedOn w:val="Normalny"/>
    <w:qFormat/>
    <w:rsid w:val="00465D81"/>
    <w:pPr>
      <w:keepNext/>
      <w:spacing w:before="240" w:after="100" w:afterAutospacing="1" w:line="240" w:lineRule="auto"/>
    </w:pPr>
    <w:rPr>
      <w:rFonts w:ascii="Verdana" w:eastAsia="Times New Roman" w:hAnsi="Verdana" w:cs="Times New Roman"/>
      <w:b/>
      <w:sz w:val="20"/>
      <w:szCs w:val="24"/>
      <w:lang w:eastAsia="en-GB"/>
    </w:rPr>
  </w:style>
  <w:style w:type="character" w:customStyle="1" w:styleId="ClinHeadNote">
    <w:name w:val="ClinHeadNote"/>
    <w:basedOn w:val="Domylnaczcionkaakapitu"/>
    <w:qFormat/>
    <w:rsid w:val="00465D81"/>
    <w:rPr>
      <w:rFonts w:cs="Times New Roman"/>
    </w:rPr>
  </w:style>
  <w:style w:type="character" w:customStyle="1" w:styleId="ClinCaseTitle">
    <w:name w:val="ClinCaseTitle"/>
    <w:basedOn w:val="Domylnaczcionkaakapitu"/>
    <w:qFormat/>
    <w:rsid w:val="00AB1DE2"/>
    <w:rPr>
      <w:rFonts w:ascii="Verdana" w:hAnsi="Verdana" w:cs="Times New Roman"/>
      <w:b/>
      <w:i/>
      <w:sz w:val="24"/>
    </w:rPr>
  </w:style>
  <w:style w:type="character" w:customStyle="1" w:styleId="ClinHudocDocumentTitle">
    <w:name w:val="ClinHudocDocumentTitle"/>
    <w:basedOn w:val="Domylnaczcionkaakapitu"/>
    <w:qFormat/>
    <w:rsid w:val="00AB1DE2"/>
    <w:rPr>
      <w:rFonts w:ascii="Verdana" w:hAnsi="Verdana" w:cs="Times New Roman"/>
      <w:color w:val="auto"/>
    </w:rPr>
  </w:style>
  <w:style w:type="character" w:customStyle="1" w:styleId="ClinApplicationNumber">
    <w:name w:val="ClinApplicationNumber"/>
    <w:basedOn w:val="Domylnaczcionkaakapitu"/>
    <w:qFormat/>
    <w:rsid w:val="00AB1DE2"/>
    <w:rPr>
      <w:rFonts w:ascii="Verdana" w:hAnsi="Verdana" w:cs="Times New Roman"/>
      <w:b/>
      <w:sz w:val="24"/>
    </w:rPr>
  </w:style>
  <w:style w:type="character" w:customStyle="1" w:styleId="ClinSectionName">
    <w:name w:val="ClinSectionName"/>
    <w:basedOn w:val="Domylnaczcionkaakapitu"/>
    <w:qFormat/>
    <w:rsid w:val="00AB1DE2"/>
    <w:rPr>
      <w:rFonts w:ascii="Verdana" w:hAnsi="Verdana" w:cs="Times New Roman"/>
    </w:rPr>
  </w:style>
  <w:style w:type="paragraph" w:customStyle="1" w:styleId="ECHRCoverTitle1">
    <w:name w:val="ECHR_Cover_Title_1"/>
    <w:aliases w:val="Cover_1"/>
    <w:basedOn w:val="Normalny"/>
    <w:next w:val="Normalny"/>
    <w:uiPriority w:val="24"/>
    <w:qFormat/>
    <w:rsid w:val="00EE6D17"/>
    <w:pPr>
      <w:spacing w:before="840" w:after="0" w:line="240" w:lineRule="auto"/>
      <w:contextualSpacing/>
      <w:jc w:val="center"/>
    </w:pPr>
    <w:rPr>
      <w:color w:val="4F6228" w:themeColor="accent3" w:themeShade="80"/>
      <w:sz w:val="36"/>
      <w:lang w:val="en-US"/>
    </w:rPr>
  </w:style>
  <w:style w:type="paragraph" w:styleId="Tytu">
    <w:name w:val="Title"/>
    <w:basedOn w:val="Normalny"/>
    <w:next w:val="Normalny"/>
    <w:link w:val="TytuZnak"/>
    <w:uiPriority w:val="10"/>
    <w:qFormat/>
    <w:rsid w:val="00EC00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C00C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55345">
      <w:bodyDiv w:val="1"/>
      <w:marLeft w:val="0"/>
      <w:marRight w:val="0"/>
      <w:marTop w:val="0"/>
      <w:marBottom w:val="0"/>
      <w:divBdr>
        <w:top w:val="none" w:sz="0" w:space="0" w:color="auto"/>
        <w:left w:val="none" w:sz="0" w:space="0" w:color="auto"/>
        <w:bottom w:val="none" w:sz="0" w:space="0" w:color="auto"/>
        <w:right w:val="none" w:sz="0" w:space="0" w:color="auto"/>
      </w:divBdr>
    </w:div>
    <w:div w:id="452558179">
      <w:bodyDiv w:val="1"/>
      <w:marLeft w:val="0"/>
      <w:marRight w:val="0"/>
      <w:marTop w:val="0"/>
      <w:marBottom w:val="0"/>
      <w:divBdr>
        <w:top w:val="none" w:sz="0" w:space="0" w:color="auto"/>
        <w:left w:val="none" w:sz="0" w:space="0" w:color="auto"/>
        <w:bottom w:val="none" w:sz="0" w:space="0" w:color="auto"/>
        <w:right w:val="none" w:sz="0" w:space="0" w:color="auto"/>
      </w:divBdr>
    </w:div>
    <w:div w:id="466705279">
      <w:bodyDiv w:val="1"/>
      <w:marLeft w:val="0"/>
      <w:marRight w:val="0"/>
      <w:marTop w:val="0"/>
      <w:marBottom w:val="0"/>
      <w:divBdr>
        <w:top w:val="none" w:sz="0" w:space="0" w:color="auto"/>
        <w:left w:val="none" w:sz="0" w:space="0" w:color="auto"/>
        <w:bottom w:val="none" w:sz="0" w:space="0" w:color="auto"/>
        <w:right w:val="none" w:sz="0" w:space="0" w:color="auto"/>
      </w:divBdr>
      <w:divsChild>
        <w:div w:id="875122244">
          <w:marLeft w:val="0"/>
          <w:marRight w:val="0"/>
          <w:marTop w:val="0"/>
          <w:marBottom w:val="0"/>
          <w:divBdr>
            <w:top w:val="none" w:sz="0" w:space="0" w:color="auto"/>
            <w:left w:val="none" w:sz="0" w:space="0" w:color="auto"/>
            <w:bottom w:val="none" w:sz="0" w:space="0" w:color="auto"/>
            <w:right w:val="none" w:sz="0" w:space="0" w:color="auto"/>
          </w:divBdr>
        </w:div>
      </w:divsChild>
    </w:div>
    <w:div w:id="525867237">
      <w:bodyDiv w:val="1"/>
      <w:marLeft w:val="0"/>
      <w:marRight w:val="0"/>
      <w:marTop w:val="0"/>
      <w:marBottom w:val="0"/>
      <w:divBdr>
        <w:top w:val="none" w:sz="0" w:space="0" w:color="auto"/>
        <w:left w:val="none" w:sz="0" w:space="0" w:color="auto"/>
        <w:bottom w:val="none" w:sz="0" w:space="0" w:color="auto"/>
        <w:right w:val="none" w:sz="0" w:space="0" w:color="auto"/>
      </w:divBdr>
    </w:div>
    <w:div w:id="621571394">
      <w:bodyDiv w:val="1"/>
      <w:marLeft w:val="0"/>
      <w:marRight w:val="0"/>
      <w:marTop w:val="0"/>
      <w:marBottom w:val="0"/>
      <w:divBdr>
        <w:top w:val="none" w:sz="0" w:space="0" w:color="auto"/>
        <w:left w:val="none" w:sz="0" w:space="0" w:color="auto"/>
        <w:bottom w:val="none" w:sz="0" w:space="0" w:color="auto"/>
        <w:right w:val="none" w:sz="0" w:space="0" w:color="auto"/>
      </w:divBdr>
    </w:div>
    <w:div w:id="700010406">
      <w:bodyDiv w:val="1"/>
      <w:marLeft w:val="0"/>
      <w:marRight w:val="0"/>
      <w:marTop w:val="0"/>
      <w:marBottom w:val="0"/>
      <w:divBdr>
        <w:top w:val="none" w:sz="0" w:space="0" w:color="auto"/>
        <w:left w:val="none" w:sz="0" w:space="0" w:color="auto"/>
        <w:bottom w:val="none" w:sz="0" w:space="0" w:color="auto"/>
        <w:right w:val="none" w:sz="0" w:space="0" w:color="auto"/>
      </w:divBdr>
      <w:divsChild>
        <w:div w:id="197789491">
          <w:marLeft w:val="0"/>
          <w:marRight w:val="0"/>
          <w:marTop w:val="0"/>
          <w:marBottom w:val="0"/>
          <w:divBdr>
            <w:top w:val="none" w:sz="0" w:space="0" w:color="auto"/>
            <w:left w:val="none" w:sz="0" w:space="0" w:color="auto"/>
            <w:bottom w:val="none" w:sz="0" w:space="0" w:color="auto"/>
            <w:right w:val="none" w:sz="0" w:space="0" w:color="auto"/>
          </w:divBdr>
        </w:div>
      </w:divsChild>
    </w:div>
    <w:div w:id="1009989761">
      <w:bodyDiv w:val="1"/>
      <w:marLeft w:val="0"/>
      <w:marRight w:val="0"/>
      <w:marTop w:val="0"/>
      <w:marBottom w:val="0"/>
      <w:divBdr>
        <w:top w:val="none" w:sz="0" w:space="0" w:color="auto"/>
        <w:left w:val="none" w:sz="0" w:space="0" w:color="auto"/>
        <w:bottom w:val="none" w:sz="0" w:space="0" w:color="auto"/>
        <w:right w:val="none" w:sz="0" w:space="0" w:color="auto"/>
      </w:divBdr>
    </w:div>
    <w:div w:id="1099715149">
      <w:bodyDiv w:val="1"/>
      <w:marLeft w:val="0"/>
      <w:marRight w:val="0"/>
      <w:marTop w:val="0"/>
      <w:marBottom w:val="0"/>
      <w:divBdr>
        <w:top w:val="none" w:sz="0" w:space="0" w:color="auto"/>
        <w:left w:val="none" w:sz="0" w:space="0" w:color="auto"/>
        <w:bottom w:val="none" w:sz="0" w:space="0" w:color="auto"/>
        <w:right w:val="none" w:sz="0" w:space="0" w:color="auto"/>
      </w:divBdr>
    </w:div>
    <w:div w:id="1122965042">
      <w:bodyDiv w:val="1"/>
      <w:marLeft w:val="0"/>
      <w:marRight w:val="0"/>
      <w:marTop w:val="0"/>
      <w:marBottom w:val="0"/>
      <w:divBdr>
        <w:top w:val="none" w:sz="0" w:space="0" w:color="auto"/>
        <w:left w:val="none" w:sz="0" w:space="0" w:color="auto"/>
        <w:bottom w:val="none" w:sz="0" w:space="0" w:color="auto"/>
        <w:right w:val="none" w:sz="0" w:space="0" w:color="auto"/>
      </w:divBdr>
      <w:divsChild>
        <w:div w:id="717246715">
          <w:marLeft w:val="0"/>
          <w:marRight w:val="0"/>
          <w:marTop w:val="0"/>
          <w:marBottom w:val="0"/>
          <w:divBdr>
            <w:top w:val="none" w:sz="0" w:space="0" w:color="auto"/>
            <w:left w:val="none" w:sz="0" w:space="0" w:color="auto"/>
            <w:bottom w:val="none" w:sz="0" w:space="0" w:color="auto"/>
            <w:right w:val="none" w:sz="0" w:space="0" w:color="auto"/>
          </w:divBdr>
          <w:divsChild>
            <w:div w:id="1947732540">
              <w:marLeft w:val="0"/>
              <w:marRight w:val="0"/>
              <w:marTop w:val="0"/>
              <w:marBottom w:val="0"/>
              <w:divBdr>
                <w:top w:val="none" w:sz="0" w:space="0" w:color="auto"/>
                <w:left w:val="none" w:sz="0" w:space="0" w:color="auto"/>
                <w:bottom w:val="none" w:sz="0" w:space="0" w:color="auto"/>
                <w:right w:val="none" w:sz="0" w:space="0" w:color="auto"/>
              </w:divBdr>
              <w:divsChild>
                <w:div w:id="807014207">
                  <w:marLeft w:val="0"/>
                  <w:marRight w:val="0"/>
                  <w:marTop w:val="0"/>
                  <w:marBottom w:val="0"/>
                  <w:divBdr>
                    <w:top w:val="none" w:sz="0" w:space="0" w:color="auto"/>
                    <w:left w:val="none" w:sz="0" w:space="0" w:color="auto"/>
                    <w:bottom w:val="none" w:sz="0" w:space="0" w:color="auto"/>
                    <w:right w:val="none" w:sz="0" w:space="0" w:color="auto"/>
                  </w:divBdr>
                  <w:divsChild>
                    <w:div w:id="1168711910">
                      <w:marLeft w:val="0"/>
                      <w:marRight w:val="0"/>
                      <w:marTop w:val="0"/>
                      <w:marBottom w:val="0"/>
                      <w:divBdr>
                        <w:top w:val="none" w:sz="0" w:space="0" w:color="auto"/>
                        <w:left w:val="none" w:sz="0" w:space="0" w:color="auto"/>
                        <w:bottom w:val="none" w:sz="0" w:space="0" w:color="auto"/>
                        <w:right w:val="none" w:sz="0" w:space="0" w:color="auto"/>
                      </w:divBdr>
                      <w:divsChild>
                        <w:div w:id="1139568242">
                          <w:marLeft w:val="0"/>
                          <w:marRight w:val="0"/>
                          <w:marTop w:val="0"/>
                          <w:marBottom w:val="0"/>
                          <w:divBdr>
                            <w:top w:val="none" w:sz="0" w:space="0" w:color="auto"/>
                            <w:left w:val="none" w:sz="0" w:space="0" w:color="auto"/>
                            <w:bottom w:val="none" w:sz="0" w:space="0" w:color="auto"/>
                            <w:right w:val="none" w:sz="0" w:space="0" w:color="auto"/>
                          </w:divBdr>
                          <w:divsChild>
                            <w:div w:id="12808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982405">
      <w:bodyDiv w:val="1"/>
      <w:marLeft w:val="0"/>
      <w:marRight w:val="0"/>
      <w:marTop w:val="0"/>
      <w:marBottom w:val="0"/>
      <w:divBdr>
        <w:top w:val="none" w:sz="0" w:space="0" w:color="auto"/>
        <w:left w:val="none" w:sz="0" w:space="0" w:color="auto"/>
        <w:bottom w:val="none" w:sz="0" w:space="0" w:color="auto"/>
        <w:right w:val="none" w:sz="0" w:space="0" w:color="auto"/>
      </w:divBdr>
      <w:divsChild>
        <w:div w:id="816579036">
          <w:marLeft w:val="0"/>
          <w:marRight w:val="0"/>
          <w:marTop w:val="0"/>
          <w:marBottom w:val="0"/>
          <w:divBdr>
            <w:top w:val="none" w:sz="0" w:space="0" w:color="auto"/>
            <w:left w:val="none" w:sz="0" w:space="0" w:color="auto"/>
            <w:bottom w:val="none" w:sz="0" w:space="0" w:color="auto"/>
            <w:right w:val="none" w:sz="0" w:space="0" w:color="auto"/>
          </w:divBdr>
        </w:div>
      </w:divsChild>
    </w:div>
    <w:div w:id="1307590433">
      <w:bodyDiv w:val="1"/>
      <w:marLeft w:val="0"/>
      <w:marRight w:val="0"/>
      <w:marTop w:val="0"/>
      <w:marBottom w:val="0"/>
      <w:divBdr>
        <w:top w:val="none" w:sz="0" w:space="0" w:color="auto"/>
        <w:left w:val="none" w:sz="0" w:space="0" w:color="auto"/>
        <w:bottom w:val="none" w:sz="0" w:space="0" w:color="auto"/>
        <w:right w:val="none" w:sz="0" w:space="0" w:color="auto"/>
      </w:divBdr>
    </w:div>
    <w:div w:id="1444765469">
      <w:bodyDiv w:val="1"/>
      <w:marLeft w:val="0"/>
      <w:marRight w:val="0"/>
      <w:marTop w:val="0"/>
      <w:marBottom w:val="0"/>
      <w:divBdr>
        <w:top w:val="none" w:sz="0" w:space="0" w:color="auto"/>
        <w:left w:val="none" w:sz="0" w:space="0" w:color="auto"/>
        <w:bottom w:val="none" w:sz="0" w:space="0" w:color="auto"/>
        <w:right w:val="none" w:sz="0" w:space="0" w:color="auto"/>
      </w:divBdr>
    </w:div>
    <w:div w:id="1507356850">
      <w:bodyDiv w:val="1"/>
      <w:marLeft w:val="0"/>
      <w:marRight w:val="0"/>
      <w:marTop w:val="0"/>
      <w:marBottom w:val="0"/>
      <w:divBdr>
        <w:top w:val="none" w:sz="0" w:space="0" w:color="auto"/>
        <w:left w:val="none" w:sz="0" w:space="0" w:color="auto"/>
        <w:bottom w:val="none" w:sz="0" w:space="0" w:color="auto"/>
        <w:right w:val="none" w:sz="0" w:space="0" w:color="auto"/>
      </w:divBdr>
    </w:div>
    <w:div w:id="1531189547">
      <w:bodyDiv w:val="1"/>
      <w:marLeft w:val="0"/>
      <w:marRight w:val="0"/>
      <w:marTop w:val="0"/>
      <w:marBottom w:val="0"/>
      <w:divBdr>
        <w:top w:val="none" w:sz="0" w:space="0" w:color="auto"/>
        <w:left w:val="none" w:sz="0" w:space="0" w:color="auto"/>
        <w:bottom w:val="none" w:sz="0" w:space="0" w:color="auto"/>
        <w:right w:val="none" w:sz="0" w:space="0" w:color="auto"/>
      </w:divBdr>
    </w:div>
    <w:div w:id="1563520498">
      <w:bodyDiv w:val="1"/>
      <w:marLeft w:val="0"/>
      <w:marRight w:val="0"/>
      <w:marTop w:val="0"/>
      <w:marBottom w:val="0"/>
      <w:divBdr>
        <w:top w:val="none" w:sz="0" w:space="0" w:color="auto"/>
        <w:left w:val="none" w:sz="0" w:space="0" w:color="auto"/>
        <w:bottom w:val="none" w:sz="0" w:space="0" w:color="auto"/>
        <w:right w:val="none" w:sz="0" w:space="0" w:color="auto"/>
      </w:divBdr>
    </w:div>
    <w:div w:id="1731072785">
      <w:bodyDiv w:val="1"/>
      <w:marLeft w:val="0"/>
      <w:marRight w:val="0"/>
      <w:marTop w:val="0"/>
      <w:marBottom w:val="0"/>
      <w:divBdr>
        <w:top w:val="none" w:sz="0" w:space="0" w:color="auto"/>
        <w:left w:val="none" w:sz="0" w:space="0" w:color="auto"/>
        <w:bottom w:val="none" w:sz="0" w:space="0" w:color="auto"/>
        <w:right w:val="none" w:sz="0" w:space="0" w:color="auto"/>
      </w:divBdr>
    </w:div>
    <w:div w:id="1764180216">
      <w:bodyDiv w:val="1"/>
      <w:marLeft w:val="0"/>
      <w:marRight w:val="0"/>
      <w:marTop w:val="0"/>
      <w:marBottom w:val="0"/>
      <w:divBdr>
        <w:top w:val="none" w:sz="0" w:space="0" w:color="auto"/>
        <w:left w:val="none" w:sz="0" w:space="0" w:color="auto"/>
        <w:bottom w:val="none" w:sz="0" w:space="0" w:color="auto"/>
        <w:right w:val="none" w:sz="0" w:space="0" w:color="auto"/>
      </w:divBdr>
    </w:div>
    <w:div w:id="1777284577">
      <w:bodyDiv w:val="1"/>
      <w:marLeft w:val="0"/>
      <w:marRight w:val="0"/>
      <w:marTop w:val="0"/>
      <w:marBottom w:val="0"/>
      <w:divBdr>
        <w:top w:val="none" w:sz="0" w:space="0" w:color="auto"/>
        <w:left w:val="none" w:sz="0" w:space="0" w:color="auto"/>
        <w:bottom w:val="none" w:sz="0" w:space="0" w:color="auto"/>
        <w:right w:val="none" w:sz="0" w:space="0" w:color="auto"/>
      </w:divBdr>
    </w:div>
    <w:div w:id="1777481543">
      <w:bodyDiv w:val="1"/>
      <w:marLeft w:val="0"/>
      <w:marRight w:val="0"/>
      <w:marTop w:val="0"/>
      <w:marBottom w:val="0"/>
      <w:divBdr>
        <w:top w:val="none" w:sz="0" w:space="0" w:color="auto"/>
        <w:left w:val="none" w:sz="0" w:space="0" w:color="auto"/>
        <w:bottom w:val="none" w:sz="0" w:space="0" w:color="auto"/>
        <w:right w:val="none" w:sz="0" w:space="0" w:color="auto"/>
      </w:divBdr>
    </w:div>
    <w:div w:id="1780292895">
      <w:bodyDiv w:val="1"/>
      <w:marLeft w:val="0"/>
      <w:marRight w:val="0"/>
      <w:marTop w:val="0"/>
      <w:marBottom w:val="0"/>
      <w:divBdr>
        <w:top w:val="none" w:sz="0" w:space="0" w:color="auto"/>
        <w:left w:val="none" w:sz="0" w:space="0" w:color="auto"/>
        <w:bottom w:val="none" w:sz="0" w:space="0" w:color="auto"/>
        <w:right w:val="none" w:sz="0" w:space="0" w:color="auto"/>
      </w:divBdr>
    </w:div>
    <w:div w:id="1940989641">
      <w:bodyDiv w:val="1"/>
      <w:marLeft w:val="0"/>
      <w:marRight w:val="0"/>
      <w:marTop w:val="0"/>
      <w:marBottom w:val="0"/>
      <w:divBdr>
        <w:top w:val="none" w:sz="0" w:space="0" w:color="auto"/>
        <w:left w:val="none" w:sz="0" w:space="0" w:color="auto"/>
        <w:bottom w:val="none" w:sz="0" w:space="0" w:color="auto"/>
        <w:right w:val="none" w:sz="0" w:space="0" w:color="auto"/>
      </w:divBdr>
      <w:divsChild>
        <w:div w:id="1506357444">
          <w:marLeft w:val="0"/>
          <w:marRight w:val="0"/>
          <w:marTop w:val="0"/>
          <w:marBottom w:val="0"/>
          <w:divBdr>
            <w:top w:val="none" w:sz="0" w:space="0" w:color="auto"/>
            <w:left w:val="none" w:sz="0" w:space="0" w:color="auto"/>
            <w:bottom w:val="none" w:sz="0" w:space="0" w:color="auto"/>
            <w:right w:val="none" w:sz="0" w:space="0" w:color="auto"/>
          </w:divBdr>
        </w:div>
      </w:divsChild>
    </w:div>
    <w:div w:id="2028676495">
      <w:bodyDiv w:val="1"/>
      <w:marLeft w:val="0"/>
      <w:marRight w:val="0"/>
      <w:marTop w:val="0"/>
      <w:marBottom w:val="0"/>
      <w:divBdr>
        <w:top w:val="none" w:sz="0" w:space="0" w:color="auto"/>
        <w:left w:val="none" w:sz="0" w:space="0" w:color="auto"/>
        <w:bottom w:val="none" w:sz="0" w:space="0" w:color="auto"/>
        <w:right w:val="none" w:sz="0" w:space="0" w:color="auto"/>
      </w:divBdr>
    </w:div>
    <w:div w:id="2117476342">
      <w:bodyDiv w:val="1"/>
      <w:marLeft w:val="0"/>
      <w:marRight w:val="0"/>
      <w:marTop w:val="0"/>
      <w:marBottom w:val="0"/>
      <w:divBdr>
        <w:top w:val="none" w:sz="0" w:space="0" w:color="auto"/>
        <w:left w:val="none" w:sz="0" w:space="0" w:color="auto"/>
        <w:bottom w:val="none" w:sz="0" w:space="0" w:color="auto"/>
        <w:right w:val="none" w:sz="0" w:space="0" w:color="auto"/>
      </w:divBdr>
    </w:div>
    <w:div w:id="214014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bip.ms.gov.pl/pl/prawa-czlowieka/europejski-trybunal-praw-czlowieka/orzecznictwo-europejskiego-trybunalu-praw-czlowieka/download,944,1.html" TargetMode="External"/><Relationship Id="rId13" Type="http://schemas.openxmlformats.org/officeDocument/2006/relationships/hyperlink" Target="https://bip.ms.gov.pl/pl/prawa-czlowieka/europejski-trybunal-praw-czlowieka/orzecznictwo-europejskiego-trybunalu-praw-czlowieka/download,752,0.html" TargetMode="External"/><Relationship Id="rId18" Type="http://schemas.openxmlformats.org/officeDocument/2006/relationships/hyperlink" Target="http://www2.ohchr.org/english/bodies/crc/docs/AdvanceVersions/GeneralComment10-02feb07.pdf" TargetMode="External"/><Relationship Id="rId26" Type="http://schemas.openxmlformats.org/officeDocument/2006/relationships/hyperlink" Target="https://bip.ms.gov.pl/pl/prawa-czlowieka/europejski-trybunal-praw-czlowieka/orzecznictwo-europejskiego-trybunalu-praw-czlowieka/download,951,0.html" TargetMode="External"/><Relationship Id="rId3" Type="http://schemas.openxmlformats.org/officeDocument/2006/relationships/hyperlink" Target="http://www.giodo.gov.pl/230/id_art/8618/j/pl" TargetMode="External"/><Relationship Id="rId21" Type="http://schemas.openxmlformats.org/officeDocument/2006/relationships/hyperlink" Target="https://bip.ms.gov.pl/pl/prawa-czlowieka/europejski-trybunal-praw-czlowieka/orzecznictwo-europejskiego-trybunalu-praw-czlowieka/download,805,0.html" TargetMode="External"/><Relationship Id="rId7" Type="http://schemas.openxmlformats.org/officeDocument/2006/relationships/hyperlink" Target="http://isap.sejm.gov.pl/isap.nsf/DocDetails.xsp?id=WDU20050180160" TargetMode="External"/><Relationship Id="rId12" Type="http://schemas.openxmlformats.org/officeDocument/2006/relationships/hyperlink" Target="https://bip.ms.gov.pl/pl/prawa-czlowieka/europejski-trybunal-praw-czlowieka/orzecznictwo-europejskiego-trybunalu-praw-czlowieka/download,616,0.html" TargetMode="External"/><Relationship Id="rId17" Type="http://schemas.openxmlformats.org/officeDocument/2006/relationships/hyperlink" Target="https://bip.ms.gov.pl/pl/prawa-czlowieka/europejski-trybunal-praw-czlowieka/orzecznictwo-europejskiego-trybunalu-praw-czlowieka/download,616,0.html" TargetMode="External"/><Relationship Id="rId25" Type="http://schemas.openxmlformats.org/officeDocument/2006/relationships/hyperlink" Target="https://bip.ms.gov.pl/pl/prawa-czlowieka/europejski-trybunal-praw-czlowieka/orzecznictwo-europejskiego-trybunalu-praw-czlowieka/download,748,0.html" TargetMode="External"/><Relationship Id="rId2" Type="http://schemas.openxmlformats.org/officeDocument/2006/relationships/hyperlink" Target="http://eur-lex.europa.eu/legal-content/PL/TXT/HTML/?uri=CELEX:31995L0046&amp;from=PL" TargetMode="External"/><Relationship Id="rId16" Type="http://schemas.openxmlformats.org/officeDocument/2006/relationships/hyperlink" Target="https://bip.ms.gov.pl/pl/prawa-czlowieka/europejski-trybunal-praw-czlowieka/orzecznictwo-europejskiego-trybunalu-praw-czlowieka/download,944,1.html" TargetMode="External"/><Relationship Id="rId20" Type="http://schemas.openxmlformats.org/officeDocument/2006/relationships/hyperlink" Target="http://www.wango.org/codeofethics/ComplianceManual.pdf" TargetMode="External"/><Relationship Id="rId1" Type="http://schemas.openxmlformats.org/officeDocument/2006/relationships/hyperlink" Target="https://bip.ms.gov.pl/pl/prawa-czlowieka/europejski-trybunal-praw-czlowieka/orzecznictwo-europejskiego-trybunalu-praw-czlowieka/download,528,0.html" TargetMode="External"/><Relationship Id="rId6" Type="http://schemas.openxmlformats.org/officeDocument/2006/relationships/hyperlink" Target="http://isap.sejm.gov.pl/isap.nsf/DocDetails.xsp?id=WDU20090200107" TargetMode="External"/><Relationship Id="rId11" Type="http://schemas.openxmlformats.org/officeDocument/2006/relationships/hyperlink" Target="https://bip.ms.gov.pl/pl/prawa-czlowieka/europejski-trybunal-praw-czlowieka/orzecznictwo-europejskiego-trybunalu-praw-czlowieka/download,616,0.html" TargetMode="External"/><Relationship Id="rId24" Type="http://schemas.openxmlformats.org/officeDocument/2006/relationships/hyperlink" Target="https://bip.ms.gov.pl/pl/prawa-czlowieka/europejski-trybunal-praw-czlowieka/orzecznictwo-europejskiego-trybunalu-praw-czlowieka/download,561,0.html" TargetMode="External"/><Relationship Id="rId5" Type="http://schemas.openxmlformats.org/officeDocument/2006/relationships/hyperlink" Target="https://bip.ms.gov.pl/pl/prawa-czlowieka/europejski-trybunal-praw-czlowieka/orzecznictwo-europejskiego-trybunalu-praw-czlowieka/download,596,0.html" TargetMode="External"/><Relationship Id="rId15" Type="http://schemas.openxmlformats.org/officeDocument/2006/relationships/hyperlink" Target="http://isap.sejm.gov.pl/isap.nsf/DocDetails.xsp?id=WDU20090200107" TargetMode="External"/><Relationship Id="rId23" Type="http://schemas.openxmlformats.org/officeDocument/2006/relationships/hyperlink" Target="http://curia.europa.eu/juris/document/document.jsf;jsessionid=9ea7d2dc30dd03a11f8eea974c4fa27bc15880b50ca0.e34KaxiLc3qMb40Rch0SaxyNbhf0?text=&amp;docid=76075&amp;pageIndex=0&amp;doclang=PL&amp;mode=lst&amp;dir=&amp;occ=first&amp;part=1&amp;cid=751300" TargetMode="External"/><Relationship Id="rId28" Type="http://schemas.openxmlformats.org/officeDocument/2006/relationships/hyperlink" Target="https://bip.ms.gov.pl/pl/prawa-czlowieka/europejski-trybunal-praw-czlowieka/orzecznictwo-europejskiego-trybunalu-praw-czlowieka/download,953,0.html" TargetMode="External"/><Relationship Id="rId10" Type="http://schemas.openxmlformats.org/officeDocument/2006/relationships/hyperlink" Target="https://bip.ms.gov.pl/pl/prawa-czlowieka/europejski-trybunal-praw-czlowieka/orzecznictwo-europejskiego-trybunalu-praw-czlowieka/download,843,0.html" TargetMode="External"/><Relationship Id="rId19" Type="http://schemas.openxmlformats.org/officeDocument/2006/relationships/hyperlink" Target="http://www.un.org/en/ga/search/view_doc.asp?symbol=A/RES/67/166" TargetMode="External"/><Relationship Id="rId4" Type="http://schemas.openxmlformats.org/officeDocument/2006/relationships/hyperlink" Target="https://bip.ms.gov.pl/pl/prawa-czlowieka/europejski-trybunal-praw-czlowieka/orzecznictwo-europejskiego-trybunalu-praw-czlowieka/download,122,0.html" TargetMode="External"/><Relationship Id="rId9" Type="http://schemas.openxmlformats.org/officeDocument/2006/relationships/hyperlink" Target="http://www.venice.coe.int/webforms/documents/default.aspx?pdffile=CDL-AD(2002)023rev-e" TargetMode="External"/><Relationship Id="rId14" Type="http://schemas.openxmlformats.org/officeDocument/2006/relationships/hyperlink" Target="http://isap.sejm.gov.pl/isap.nsf/DocDetails.xsp?id=WDU20050180160" TargetMode="External"/><Relationship Id="rId22" Type="http://schemas.openxmlformats.org/officeDocument/2006/relationships/hyperlink" Target="http://eur-lex.europa.eu/legal-content/PL/TXT/HTML/?uri=CELEX:31995L0046&amp;from=EN" TargetMode="External"/><Relationship Id="rId27" Type="http://schemas.openxmlformats.org/officeDocument/2006/relationships/hyperlink" Target="https://bip.ms.gov.pl/pl/prawa-czlowieka/europejski-trybunal-praw-czlowieka/orzecznictwo-europejskiego-trybunalu-praw-czlowieka/download,747,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ED3EE-0BC1-4815-B174-8B28C9764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34788</Words>
  <Characters>208734</Characters>
  <Application>Microsoft Office Word</Application>
  <DocSecurity>0</DocSecurity>
  <Lines>1739</Lines>
  <Paragraphs>486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2018-09-12T15:22:00Z</dcterms:created>
  <dcterms:modified xsi:type="dcterms:W3CDTF">2018-09-14T12:12:00Z</dcterms:modified>
  <cp:contentStatus>Wersja ostateczna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