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160" w:firstLine="0"/>
        <w:jc w:val="right"/>
        <w:rPr>
          <w:sz w:val="22"/>
          <w:szCs w:val="22"/>
        </w:rPr>
      </w:pPr>
      <w:r>
        <w:rPr>
          <w:rStyle w:val="CharStyle3"/>
          <w:sz w:val="22"/>
          <w:szCs w:val="22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/>
        <w:ind w:left="0" w:right="0" w:firstLine="0"/>
        <w:jc w:val="center"/>
      </w:pPr>
      <w:r>
        <w:rPr>
          <w:rStyle w:val="CharStyle3"/>
          <w:b/>
          <w:bCs/>
        </w:rPr>
        <w:t>Zestawienie zużytych składników rzeczowych majątku ruchomego użytkowanych</w:t>
        <w:br/>
        <w:t>w Prokuraturze Rejonowej w Szczecinku</w:t>
      </w:r>
    </w:p>
    <w:tbl>
      <w:tblPr>
        <w:tblOverlap w:val="never"/>
        <w:jc w:val="center"/>
        <w:tblLayout w:type="fixed"/>
      </w:tblPr>
      <w:tblGrid>
        <w:gridCol w:w="710"/>
        <w:gridCol w:w="2986"/>
        <w:gridCol w:w="1992"/>
        <w:gridCol w:w="1560"/>
        <w:gridCol w:w="2002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6"/>
                <w:b/>
                <w:bCs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b/>
                <w:bCs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b/>
                <w:bCs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b/>
                <w:bCs/>
              </w:rPr>
              <w:t>Rok zakupu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b/>
                <w:bCs/>
              </w:rPr>
              <w:t>Wartość księgowa brutto (zł)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dywan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PN-000-0009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1992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245,00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dywan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PN-000-0020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2 013,05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telefax Canon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PN-702-0005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2011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1 092,24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kserokopiarka Kyocera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PN-3 00-0008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2012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1 485,01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urządzenie wielofunkcyjne Kyocera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PN-300-0077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2014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1 125,00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kserokopiarka Kyocera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PN-3 00-0009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2012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1 485,01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urządzenie wielofunkcyjne Kyocera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PN-3 00-0007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2011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1 650,00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002" w:right="1189" w:bottom="642" w:left="1462" w:header="574" w:footer="21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Inne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 w:line="25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